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firstLineChars="0" w:firstLine="0"/>
        <w:rPr>
          <w:rFonts w:eastAsia="方正小标宋简体" w:cs="Times New Roman"/>
          <w:sz w:val="40"/>
          <w:szCs w:val="28"/>
        </w:rPr>
      </w:pPr>
      <w:r>
        <w:rPr>
          <w:rFonts w:eastAsia="方正小标宋简体" w:cs="Times New Roman" w:hint="eastAsia"/>
          <w:sz w:val="40"/>
          <w:szCs w:val="28"/>
        </w:rPr>
        <w:t>《</w:t>
      </w:r>
      <w:r>
        <w:rPr>
          <w:rFonts w:eastAsia="方正小标宋简体" w:cs="Times New Roman"/>
          <w:sz w:val="40"/>
          <w:szCs w:val="28"/>
        </w:rPr>
        <w:t>钦北区平吉镇国土空间规划（2021-2035年）</w:t>
      </w:r>
      <w:r>
        <w:rPr>
          <w:rFonts w:eastAsia="方正小标宋简体" w:cs="Times New Roman" w:hint="eastAsia"/>
          <w:sz w:val="40"/>
          <w:szCs w:val="28"/>
        </w:rPr>
        <w:t>》</w:t>
      </w:r>
    </w:p>
    <w:p>
      <w:pPr>
        <w:ind w:firstLineChars="0" w:firstLine="0"/>
        <w:jc w:val="center"/>
        <w:rPr>
          <w:rFonts w:eastAsia="方正小标宋简体" w:cs="Times New Roman"/>
          <w:sz w:val="40"/>
          <w:szCs w:val="28"/>
        </w:rPr>
      </w:pPr>
      <w:r>
        <w:rPr>
          <w:rFonts w:eastAsia="方正小标宋简体" w:cs="Times New Roman" w:hint="eastAsia"/>
          <w:sz w:val="40"/>
          <w:szCs w:val="28"/>
        </w:rPr>
        <w:t>征求公众意见稿主要内容</w:t>
      </w:r>
    </w:p>
    <w:p>
      <w:pPr>
        <w:ind w:firstLineChars="0" w:firstLine="0"/>
        <w:rPr>
          <w:rFonts w:eastAsia="方正小标宋简体" w:cs="Times New Roman"/>
          <w:sz w:val="40"/>
          <w:szCs w:val="28"/>
        </w:rPr>
      </w:pP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黑体" w:eastAsia="黑体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一、规划范围与期限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规划范围：乡镇域涵盖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19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个行政村与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个林场，总规划面积约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300.41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平方公里。其中，行政村包括平吉、古秀、八仙、</w:t>
      </w:r>
      <w:r>
        <w:rPr>
          <w:rFonts w:ascii="仿宋" w:eastAsia="仿宋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榃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兰、平沙、新胜、古隆、</w:t>
      </w:r>
      <w:r>
        <w:rPr>
          <w:rFonts w:ascii="仿宋" w:eastAsia="仿宋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榃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标、牛江、白鹤垌、贤架、广平、平里、大田坪、永隆、</w:t>
      </w:r>
      <w:r>
        <w:rPr>
          <w:rFonts w:ascii="仿宋" w:eastAsia="仿宋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湴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塘、彭良、朱林、三冬；林场为那拉紫胶林场。乡镇人民政府驻地（平吉镇区）规划面积约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175.89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公顷。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规划期限：规划基期年为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2020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年，远期目标年与上位国土空间规划期限一致为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2035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年，近期、中期目标与国民经济和社会发展规划期限相衔接为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2025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年、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2030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年。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黑体" w:eastAsia="黑体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二、规划定位与目标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（一）发展定位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1.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城镇职能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立足城市化地区主体功能区，平吉镇作为钦北区中心镇，需依托平陆运河经济带建设，以强化产业集聚、推动城乡融合为核心方向，打造以临港工业为核心、现代农业为基础、交通物流为纽带、生态旅游为特色的复合型城镇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2.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城镇定位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平吉镇是平陆运河经济带内河临港关键枢纽、钦北区东部核心中心镇、宜居宜业的现代化临港产业新城。其发展以平陆运河建设为总牵引，依托“公铁水”多式联运优势与产业基础，深度承接钦州港片区产业延伸，联动现代农业资源，成为北部湾经济区衔接东盟的内陆重要节点与城乡融合发展典范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区域战略定位：平陆运河经济带核心功能节点。依托平吉作业区内河港口与综合交通网络，打造“公铁水”多式联运体系，承接西南货物出海中转与钦州港物流分拨；纳入中国—东盟产业合作区，联动钦州港石化产业园发展石化下游新材料产业；作为钦北区东部中心镇，辐射青塘镇、板城镇等周边乡镇，共建平陆运河沿线乡村振兴示范带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产业核心定位：临港产业与现代农业双轮驱动高地。以平吉临港产业园为载体，聚焦碳材料、化纤纺织等石化下游产业，配套发展运河关联产业，目标建成自治区级重点产业园区；以九佰垌国家级现代农业产业园为核心，推进高标准农田建设与预制菜产业发展，延伸“种植—加工—物流”产业链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城乡发展定位：钦北区产城融合示范镇。建设现代化产业园区，完善城镇基础设施与“十五分钟生活圈”；引导农民参与产业配套、乡村旅游等业态发展，推进“美丽村屯”建设，实现城镇服务向乡村延伸、乡村资源向城镇集聚；强化教育、医疗、商业等公共服务设施建设，完善养老、文化等配套功能，承担周边乡镇优质服务需求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（二）规划目标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近期目标（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2021-2025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年），以“保障运河先导工程、启动核心产业空间、筑牢生态底线”为核心，完成国土空间开发保护的基础性布局，支撑平陆运河经济带建设开局破题。严守三条控制线，推进高标准农田建设与运河沿线生态缓冲带管控，筑牢发展底线；同步启动平吉临港产业园核心区、作业区起步码头首期建设，引入石化下游企业，初步形成“公路—港口”联动雏形，初步搭建“十五分钟生活圈”基本框架；通过盘活低效用地、开展“美丽村屯”试点，破解用地瓶颈与改善城乡环境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中期目标（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2026-2030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年），以“完善联运体系、壮大双轮产业、深化城乡融合”为重点，推动国土空间开发保护效率显著提升，建成平陆运河经济带核心功能节点雏形。实施运河沿线生态修复与临港产业园污水回用，扩展九佰垌高标准农田建设，提升保护效能；推动临港产业园扩容，建成自治区级特色产业园区，九佰垌农文旅融合项目形成“农业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+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旅游”特色空间品牌，建成“公铁水”多式联运中心，完善城镇“十五分钟生活圈”覆盖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80%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人口；以乡镇为单元实施全域土地综合整治，优化产业用地投资强度，实现产业空间集聚高效，建成平陆运河经济带核心功能节点雏形。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远期目标（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2031-2035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年），以“建成临港产业新城、实现产城深度融合、打造生态发展典范”为目标，达成国土空间保护、开发、整治的动态平衡，成为北部湾经济区城乡融合标杆。构建生态保护长效机制，实现森林覆盖率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38%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以上、临港产业园“零碳”运营，耕地保护红线守牢，永久基本农田保护面积达标规划目标；推动临港产业园纳入中国—东盟产业合作区，九佰垌产业园建成区域性农产品物流集散中心，依托“公铁水”多式联运体系成为西南货物出海的核心内陆节点，完成现代化临港产业新城建设，“十五分钟生活圈”全域覆盖；完成全域土地综合整治，实现“城镇服务向乡村延伸、乡村资源向城镇集聚”的双向流动，建立国土空间动态监测与整治长效机制，城乡人居环境质量达到自治区示范标准，成为“美丽运河”建设的平吉样板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黑体" w:eastAsia="黑体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三、全域国土空间保护与开发布局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（一）总体格局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统筹农业、生态、城乡三类空间，结合镇域自然地理格局与社会经济发展趋势，构建“一带、两屏、两轴、四区、五心”国土空间保护开发总体格局：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“一带”：钦江生态保障带；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“两屏”：东部生态保护屏障、西部生态保护屏障；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“两轴”：南北向产业活力轴、东西向城乡发展轴；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“四区”：港城融合发展区、休闲农业示范区、特色农业发展区、农耕林园经济区；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“五心”：城镇发展核心与四大产业核心（平吉临港产业园、九佰垌国家级现代农业产业园、平吉农产品加工物流园、天鹅湖生态园）。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（二）三条控制线落实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永久基本农田：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u w:val="single"/>
          <w:vertAlign w:val="baseline"/>
        </w:rPr>
        <w:t>永久基本农田保护红线规模为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u w:val="single"/>
          <w:vertAlign w:val="baseline"/>
        </w:rPr>
        <w:t>106200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u w:val="single"/>
          <w:vertAlign w:val="baseline"/>
        </w:rPr>
        <w:t>亩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，主要集中于镇域中部平原、东部河谷平原、西部丘陵缓坡及山间盆地，严守“数量不减少、质量不降低、布局稳定”原则。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生态保护红线：暂不涉及生态保护线。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城镇开发边界：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u w:val="single"/>
          <w:vertAlign w:val="baseline"/>
        </w:rPr>
        <w:t>城镇开发边界划定规模为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u w:val="single"/>
          <w:vertAlign w:val="baseline"/>
        </w:rPr>
        <w:t>166.53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u w:val="single"/>
          <w:vertAlign w:val="baseline"/>
        </w:rPr>
        <w:t>公顷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，占镇域国土空间总面积的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0.55%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，主要分布于平吉村、八仙村、古隆村、那拉紫胶林场等区域，严格执行红线管理，严禁擅自突破。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（三）规划分区与用途结构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规划分区：划分为生态控制区（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3.07%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）、农田保护区（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24.16%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）、城镇发展区（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0.55%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）、乡村发展区（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72.01%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）、矿产能源发展区（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0.20%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），实行差异化管控。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用途结构：规划至目标年，耕地图斑面积不低于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7772.43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公顷，占镇域国土面积的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25.87%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，其中地类面积不低于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113800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亩；园地、林地面积保持稳定，草地面积逐步降低；城镇用地遵循“严控总量、优化结构、提升效能”原则，规模控制在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166.53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公顷以内，占镇域国土空间总面积的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0.55%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；村庄用地通过“减量提质、盘活增效、分类引导”实现空间重构，确保规模不超过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2020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年度国土变更调查村庄用地（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203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公顷）规模，为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1012.82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公顷，占镇域国土空间总面积的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3.37%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；区域基础设施用地以“集约高效、绿色低碳、城乡融合”为核心，面积持续增加；其他建设用地聚焦特殊用地整合提升与采矿用地绿色转型，面积保持稳定；陆地水域以“生态优先、系统治理”为核心，确保镇域内平陆运河相关配套水域、钦江流域陆地水域面积整体保持稳定，同时保障镇域水域空间保有量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黑体" w:eastAsia="黑体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四、镇村空间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（一）镇村体系规划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平吉镇构建“乡镇人民政府驻地—中心村—基层村”三级镇村等级体系，结合区域人口分布、地理空间格局、经济发展水平及公共服务配套能力，进一步明确各村庄的层级定位。其中，乡镇人民政府驻地为古隆村；中心村共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3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个，分别为平吉村、八仙村、</w:t>
      </w:r>
      <w:r>
        <w:rPr>
          <w:rFonts w:ascii="仿宋" w:eastAsia="仿宋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湴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塘村；其余均为基层村，共计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个。依据上位规划定位及相关政策文件要求，结合平吉镇发展实际，辖区内的村庄主导职能划分为四类：城镇服务型、临港产业型、农文旅融合型、农业生产型。具体为：城镇服务型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个、临港产业型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个、农文旅融合型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6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个、农业生产型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11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个。根据人口规模预测结果，对平吉镇村庄的规模划分为以下两档：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万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-0.5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万、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0.5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万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-0.3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万。具体为：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万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-0.5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万规模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12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个，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0.5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万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-0.3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万规模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7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楷体_GB2312" w:eastAsia="楷体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（二）优化乡村空间布局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结合平吉镇村庄人口规模、区位特征及空间布局特点，将辖区内村庄划分为城郊融合类与集聚提升类两大类型：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城郊融合类，共划定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3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个。该类型村庄需主动融入区域城镇化进程，承接城镇功能外溢，加快推进与城镇公共服务设施共建共享、基础设施互联互通，推动城乡土地市场一体化建设，实施城郊空间品质协同管控。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rFonts w:ascii="Sans-serif" w:hAnsi="Sans-serif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0"/>
          <w:szCs w:val="20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集聚提升类，共划定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16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vertAlign w:val="baseline"/>
        </w:rPr>
        <w:t>个。该类型村庄聚焦补齐产业发展、基础设施及空间品质等领域短板弱项，着力推动品质提升，增强人口和产业吸引力，保障“集聚”与“提升”的合理用地需求。</w:t>
      </w:r>
    </w:p>
    <w:p>
      <w:pPr>
        <w:ind w:firstLineChars="0" w:firstLine="0"/>
        <w:jc w:val="center"/>
        <w:rPr>
          <w:rFonts w:ascii="黑体" w:eastAsia="黑体" w:hAnsi="黑体" w:hint="eastAsia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t>表 镇村体系及村庄分类一览表</w:t>
      </w:r>
    </w:p>
    <w:tbl>
      <w:tblPr>
        <w:jc w:val="lef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78"/>
        <w:gridCol w:w="1843"/>
        <w:gridCol w:w="2268"/>
        <w:gridCol w:w="1638"/>
      </w:tblGrid>
      <w:tr>
        <w:trPr>
          <w:trHeight w:val="20"/>
          <w:tblHeader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4"/>
              <w:spacing w:line="240" w:lineRule="auto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行政区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4"/>
              <w:spacing w:line="240" w:lineRule="auto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人口规模</w:t>
            </w:r>
          </w:p>
          <w:p>
            <w:pPr>
              <w:pStyle w:val="24"/>
              <w:spacing w:line="240" w:lineRule="auto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（人）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4"/>
              <w:spacing w:line="240" w:lineRule="auto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主导职能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4"/>
              <w:spacing w:line="240" w:lineRule="auto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等级结构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4"/>
              <w:spacing w:line="240" w:lineRule="auto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村庄类型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平吉村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城镇服务型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中心村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城郊融合类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古秀村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0.5-0.3万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八仙村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中心村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城郊融合类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cs="Times New Roman" w:hAnsi="仿宋"/>
                <w:sz w:val="24"/>
                <w:szCs w:val="24"/>
              </w:rPr>
              <w:t>榃</w:t>
            </w:r>
            <w:r>
              <w:rPr>
                <w:rFonts w:cs="Times New Roman"/>
                <w:sz w:val="24"/>
                <w:szCs w:val="24"/>
              </w:rPr>
              <w:t>兰村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平沙村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0.5-0.3万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新胜村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古隆村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乡镇人民政府驻地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城郊融合类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cs="Times New Roman" w:hAnsi="仿宋"/>
                <w:sz w:val="24"/>
                <w:szCs w:val="24"/>
              </w:rPr>
              <w:t>榃</w:t>
            </w:r>
            <w:r>
              <w:rPr>
                <w:rFonts w:cs="Times New Roman"/>
                <w:sz w:val="24"/>
                <w:szCs w:val="24"/>
              </w:rPr>
              <w:t>标村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农文旅融合型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牛江村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农文旅融合型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白鹤垌村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0.5-0.3万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农文旅融合型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贤架村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农文旅融合型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广平村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平里村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农文旅融合型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大田坪村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0.5-0.3万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永隆村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cs="Times New Roman" w:hAnsi="仿宋"/>
                <w:sz w:val="24"/>
                <w:szCs w:val="24"/>
              </w:rPr>
              <w:t>湴</w:t>
            </w:r>
            <w:r>
              <w:rPr>
                <w:rFonts w:cs="Times New Roman"/>
                <w:sz w:val="24"/>
                <w:szCs w:val="24"/>
              </w:rPr>
              <w:t>塘村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0.5-0.3万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农文旅融合型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中心村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彭良村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0.5-0.3万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朱林村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1-0.5万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农业生产型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  <w:tr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三冬村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0.5-0.3万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临港产业型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基层村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集聚提升类</w:t>
            </w:r>
          </w:p>
        </w:tc>
      </w:tr>
    </w:tbl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vanish w:val="0"/>
        </w:rPr>
      </w:pPr>
      <w:r>
        <w:rPr>
          <w:rFonts w:ascii="黑体" w:eastAsia="黑体" w:hint="eastAsia"/>
          <w:vanish w:val="0"/>
          <w:color w:val="auto"/>
          <w:sz w:val="32"/>
          <w:szCs w:val="32"/>
          <w:vertAlign w:val="baseline"/>
        </w:rPr>
        <w:t>五、乡镇人民政府驻地布局规划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vanish w:val="0"/>
        </w:rPr>
      </w:pPr>
      <w:r>
        <w:rPr>
          <w:rFonts w:ascii="楷体_GB2312" w:eastAsia="楷体_GB2312" w:hint="eastAsia"/>
          <w:vanish w:val="0"/>
          <w:color w:val="auto"/>
          <w:sz w:val="32"/>
          <w:szCs w:val="32"/>
          <w:vertAlign w:val="baseline"/>
        </w:rPr>
        <w:t>（一）用地布局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vanish w:val="0"/>
        </w:rPr>
      </w:pP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平吉镇区规划范围北至平吉糖厂，南至平陆运河，西至八仙村委，东至古隆村委，面积约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175.89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公顷。优化镇区用地结构，规划居住用地面积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44.95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公顷，占镇区总面积的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33.51%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，人均居住用地面积控制在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40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平方米以内；规划公共管理与公共服务用地面积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22.34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公顷，占镇区总面积的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16.65%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，人均公共管理与公共服务用地面积不低于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5.5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平方米；规划商业服务业用地面积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12.68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公顷，占镇区总面积的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9.45%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；规划工矿用地面积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17.71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公顷，占镇区总面积的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13.20%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，均为工业用地，主要位于镇区北部；规划仓储用地面积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2.89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公顷，占镇区总面积的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2.15%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；规划交通运输用地面积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24.07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公顷，占镇区总面积的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17.95%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，人均城镇道路与交通设施用地面积不小于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12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平方米；规划公用设施用地面积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1.20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公顷，占镇区总面积的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0.89%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；规划绿地与开敞空间用地面积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8.30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公顷，占镇区总面积的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6.19%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，规划人均绿地与开敞空间用地面积不小于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8.0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平方米，人均公园绿地面积不低于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6.0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平方米。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vanish w:val="0"/>
        </w:rPr>
      </w:pPr>
      <w:r>
        <w:rPr>
          <w:rFonts w:ascii="楷体_GB2312" w:eastAsia="楷体_GB2312" w:hint="eastAsia"/>
          <w:vanish w:val="0"/>
          <w:color w:val="auto"/>
          <w:sz w:val="32"/>
          <w:szCs w:val="32"/>
          <w:vertAlign w:val="baseline"/>
        </w:rPr>
        <w:t>（二）重点规划内容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vanish w:val="0"/>
        </w:rPr>
      </w:pP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住房建设聚焦刚需性需求，配套保障性住房和安置住房，推进老旧小区更新改造，同时严格落实自建房“先规划后建设”要求，规范建筑高度、容积率等管控指标。公共服务设施构建“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5-10-15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”分钟生活圈，按标准改扩建中小学、幼儿园，完善文化站、体育场馆、卫生院、敬老院等设施，实现教育、医疗、养老、文化等服务全覆盖。蓝绿网络以三踏水为核心，打造“一廊多点”绿地体系，保护河湖水系并建设生态护岸，布局公园、广场等开敞空间，确保人均公园绿地面积不低于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6.0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平方米。道路交通形成“对外辐射、对内成网”格局，优化主干路、次干路、支路密度，配套汽车客运站、停车场与慢行系统，推进新能源汽车充电设施覆盖。市政基础设施方面，升级供水、排水管网，完善供电、燃气、邮政通信系统，建设垃圾收运与污水处理设施，规划地下综合管廊实现管线集约化管理。公共安全领域，布局应急指挥中心、消防设施、防洪排涝工程和避震疏散场所，严格管控加油站、危险品储存点等重大危险源，构建全方位综合防灾体系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vanish w:val="0"/>
        </w:rPr>
      </w:pPr>
      <w:r>
        <w:rPr>
          <w:rFonts w:ascii="黑体" w:eastAsia="黑体" w:hint="eastAsia"/>
          <w:vanish w:val="0"/>
          <w:color w:val="auto"/>
          <w:sz w:val="32"/>
          <w:szCs w:val="32"/>
          <w:vertAlign w:val="baseline"/>
        </w:rPr>
        <w:t>六、自然资源统筹保护利用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vanish w:val="0"/>
        </w:rPr>
      </w:pP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明确水域空间保有量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1586.15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公顷，强化饮用水水源保护区管控，优化农业、工业、生活及生态用水结构，全面推进水资源循环利用。规范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9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处矿区开采秩序，兼顾生态保护、资源利用与安全生产，明确矿产地上地下开发空间布局，协调与三条控制线的关系。实施天然林与人工商品林分类管控，推动林地合理开发，发展林下经济，构建“一心两区多节点”林地重点开发空间格局，规划布局油茶产业核心区、商品林集约开发区及林下经济节点。严守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1582.87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公顷湿地生态安全底线，规范湿地合理利用，培育生态旅游、生态农业等业态，提升湿地生态功能价值。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vanish w:val="0"/>
        </w:rPr>
      </w:pPr>
      <w:r>
        <w:rPr>
          <w:rFonts w:ascii="黑体" w:eastAsia="黑体" w:hint="eastAsia"/>
          <w:vanish w:val="0"/>
          <w:color w:val="auto"/>
          <w:sz w:val="32"/>
          <w:szCs w:val="32"/>
          <w:vertAlign w:val="baseline"/>
        </w:rPr>
        <w:t>七、历史文化保护与城乡风貌塑造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vanish w:val="0"/>
        </w:rPr>
      </w:pP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构建地方特色保护体系，保护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2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处市级文物保护单位（古城角遗址、下红泥沟古城址）、多处古建筑与民间文化活动场所，挖掘非物质文化遗产，建立历史文化保护名录。确立“一核引领、多带串联、片区差异化”的风貌格局，从村庄布局、建筑风貌、文化融入三个维度提出引导要求，突出“山水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-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田园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-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村落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-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运河”的风貌基底。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vanish w:val="0"/>
        </w:rPr>
      </w:pPr>
      <w:r>
        <w:rPr>
          <w:rFonts w:ascii="黑体" w:eastAsia="黑体" w:hint="eastAsia"/>
          <w:vanish w:val="0"/>
          <w:color w:val="auto"/>
          <w:sz w:val="32"/>
          <w:szCs w:val="32"/>
          <w:vertAlign w:val="baseline"/>
        </w:rPr>
        <w:t>八、镇域发展支撑体系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vanish w:val="0"/>
        </w:rPr>
      </w:pP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构建“高速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+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国省干道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+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内河港口”的对外交通体系，完善镇域路网，配置公交与货运站场，明确道路控制要求与技术标准，推进重点交通项目建设。实现乡镇级公共服务设施“功能完善、服务优质”，村级公共服务设施“全覆盖、便利化”，形成“层级清晰、功能完善、共享便捷”的公共服务体系。推进供水、排水、供电、燃气、环卫、通信等设施建设，规划基础设施廊道，管控重大邻避设施。建立应急管理机制，完善防洪排涝、抗震、消防、人防、地灾防治等防灾减灾措施，规划“平急两用”公共基础设施。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0"/>
        <w:rPr>
          <w:vanish w:val="0"/>
        </w:rPr>
      </w:pPr>
      <w:r>
        <w:rPr>
          <w:rFonts w:ascii="黑体" w:eastAsia="黑体" w:hint="eastAsia"/>
          <w:vanish w:val="0"/>
          <w:color w:val="auto"/>
          <w:sz w:val="32"/>
          <w:szCs w:val="32"/>
          <w:vertAlign w:val="baseline"/>
        </w:rPr>
        <w:t>九、国土综合整治与生态修复</w:t>
      </w:r>
    </w:p>
    <w:p>
      <w:pPr>
        <w:pStyle w:val="9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 w:val="0"/>
        <w:spacing w:before="0" w:beforeAutospacing="0" w:after="0" w:afterAutospacing="0" w:line="554" w:lineRule="atLeast"/>
        <w:ind w:left="0" w:right="0" w:firstLine="644"/>
        <w:rPr>
          <w:vanish w:val="0"/>
        </w:rPr>
      </w:pP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以“优化空间格局、保障粮食安全、激活生态价值、促进城乡融合”为目标，划定农业生产核心区、运河经济联动区、生态与文化保护区三大重点区域，实施农用地整理、建设用地整理、生态与人文修复等核心措施。近期完成钦江中游平吉段废弃矿山修复率不低于</w:t>
      </w:r>
      <w:r>
        <w:rPr>
          <w:rFonts w:ascii="Times New Roman" w:hAnsi="Times New Roman"/>
          <w:vanish w:val="0"/>
          <w:color w:val="auto"/>
          <w:sz w:val="32"/>
          <w:szCs w:val="32"/>
          <w:vertAlign w:val="baseline"/>
        </w:rPr>
        <w:t>50%</w:t>
      </w:r>
      <w:r>
        <w:rPr>
          <w:rFonts w:ascii="仿宋_GB2312" w:eastAsia="仿宋_GB2312" w:hint="eastAsia"/>
          <w:vanish w:val="0"/>
          <w:color w:val="auto"/>
          <w:sz w:val="32"/>
          <w:szCs w:val="32"/>
          <w:vertAlign w:val="baseline"/>
        </w:rPr>
        <w:t>，中远期实现矿山全面生态化转型，重点推进矿山生态修复、水环境与水生态修复工程。</w:t>
      </w:r>
    </w:p>
    <w:p>
      <w:r>
        <w:rPr>
          <w:vanish w:val="0"/>
        </w:rPr>
        <w:br/>
      </w:r>
      <w:bookmarkStart w:id="0" w:name="_GoBack"/>
      <w:bookmarkEnd w:id="0"/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Sans-serif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rPr>
        <w:sz w:val="21"/>
        <w:szCs w:val="21"/>
      </w:rPr>
      <w:id w:val="-1865982226"/>
      <w:docPartObj>
        <w:docPartGallery w:val="Page Numbers (Bottom of Page)"/>
        <w:docPartUnique/>
      </w:docPartObj>
    </w:sdtPr>
    <w:sdtContent>
      <w:p>
        <w:pPr>
          <w:pStyle w:val="23"/>
          <w:tabs>
            <w:tab w:val="center" w:pos="4153"/>
            <w:tab w:val="right" w:pos="8306"/>
          </w:tabs>
          <w:spacing w:line="240" w:lineRule="auto"/>
          <w:ind w:firstLineChars="0" w:firstLine="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cs="Arial" w:hAnsi="Times New Roman"/>
      <w:kern w:val="2"/>
      <w:sz w:val="3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0F4761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0F4761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0F4761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6">
    <w:name w:val="heading 6"/>
    <w:basedOn w:val="0"/>
    <w:next w:val="0"/>
    <w:pPr>
      <w:keepNext/>
      <w:keepLines/>
      <w:widowControl w:val="0"/>
      <w:spacing w:before="40"/>
      <w:outlineLvl w:val="5"/>
    </w:pPr>
    <w:rPr>
      <w:rFonts w:cs="Times New Roman"/>
      <w:b/>
      <w:bCs/>
      <w:color w:val="0F4761"/>
    </w:rPr>
  </w:style>
  <w:style w:type="paragraph" w:styleId="7">
    <w:name w:val="heading 7"/>
    <w:basedOn w:val="0"/>
    <w:next w:val="0"/>
    <w:pPr>
      <w:keepNext/>
      <w:keepLines/>
      <w:widowControl w:val="0"/>
      <w:spacing w:before="4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0"/>
    <w:next w:val="0"/>
    <w:pPr>
      <w:keepNext/>
      <w:keepLines/>
      <w:widowControl w:val="0"/>
      <w:outlineLvl w:val="7"/>
    </w:pPr>
    <w:rPr>
      <w:rFonts w:cs="Times New Roman"/>
      <w:color w:val="595959"/>
    </w:rPr>
  </w:style>
  <w:style w:type="paragraph" w:styleId="9">
    <w:name w:val="heading 9"/>
    <w:basedOn w:val="0"/>
    <w:next w:val="0"/>
    <w:pPr>
      <w:keepNext/>
      <w:keepLines/>
      <w:widowControl w:val="0"/>
      <w:outlineLvl w:val="8"/>
    </w:pPr>
    <w:rPr>
      <w:rFonts w:eastAsia="等线 Light" w:cs="Times New Roman"/>
      <w:color w:val="595959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styleId="16">
    <w:name w:val="Subtitle"/>
    <w:basedOn w:val="0"/>
    <w:next w:val="0"/>
    <w:pPr>
      <w:spacing w:after="160"/>
      <w:ind w:left="0" w:firstLineChars="200" w:firstLine="20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17">
    <w:name w:val="Quote"/>
    <w:basedOn w:val="0"/>
    <w:next w:val="0"/>
    <w:pPr>
      <w:spacing w:before="160" w:after="160"/>
      <w:jc w:val="center"/>
    </w:pPr>
    <w:rPr>
      <w:i/>
      <w:iCs/>
      <w:color w:val="404040"/>
    </w:rPr>
  </w:style>
  <w:style w:type="paragraph" w:styleId="18">
    <w:name w:val="List Paragraph"/>
    <w:basedOn w:val="0"/>
    <w:pPr>
      <w:ind w:left="720"/>
      <w:contextualSpacing/>
    </w:pPr>
  </w:style>
  <w:style w:type="character" w:styleId="19">
    <w:name w:val="Intense Emphasis"/>
    <w:basedOn w:val="10"/>
    <w:rPr>
      <w:i/>
      <w:iCs/>
      <w:color w:val="0F4761"/>
    </w:rPr>
  </w:style>
  <w:style w:type="paragraph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21">
    <w:name w:val="Intense Reference"/>
    <w:basedOn w:val="10"/>
    <w:rPr>
      <w:b/>
      <w:bCs/>
      <w:caps w:val="0"/>
      <w:smallCaps/>
      <w:color w:val="0F4761"/>
      <w:spacing w:val="5"/>
    </w:rPr>
  </w:style>
  <w:style w:type="paragraph" w:styleId="22">
    <w:name w:val="header"/>
    <w:basedOn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3">
    <w:name w:val="footer"/>
    <w:basedOn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24">
    <w:name w:val="表格"/>
    <w:basedOn w:val="0"/>
    <w:pPr>
      <w:spacing w:line="360" w:lineRule="exact"/>
      <w:ind w:firstLineChars="0" w:firstLine="0"/>
      <w:jc w:val="center"/>
    </w:pPr>
    <w:rPr>
      <w:sz w:val="28"/>
    </w:rPr>
  </w:style>
  <w:style w:type="paragraph" w:styleId="98">
    <w:name w:val="Normal (Web)"/>
    <w:basedOn w:val="0"/>
    <w:next w:val="15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Chars="0" w:firstLine="0"/>
      <w:contextualSpacing w:val="0"/>
      <w:jc w:val="left"/>
      <w:textAlignment w:val="auto"/>
      <w:outlineLvl w:val="9"/>
    </w:pPr>
    <w:rPr>
      <w:rFonts w:ascii="宋体" w:eastAsia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1474</TotalTime>
  <Application>Yozo_Office27021597764231179</Application>
  <Pages>11</Pages>
  <Words>0</Words>
  <Characters>4228</Characters>
  <Lines>0</Lines>
  <Paragraphs>57</Paragraphs>
  <CharactersWithSpaces>5638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18</cp:revision>
  <cp:lastPrinted>2025-11-29T09:02:00Z</cp:lastPrinted>
  <dcterms:created xsi:type="dcterms:W3CDTF">2025-11-06T02:46:00Z</dcterms:created>
  <dcterms:modified xsi:type="dcterms:W3CDTF">2025-12-04T07:35:05Z</dcterms:modified>
</cp:coreProperties>
</file>