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Lines="0" w:before="0" w:afterLines="0" w:after="0" w:line="560" w:lineRule="exact"/>
        <w:ind w:firstLineChars="0" w:firstLine="0"/>
        <w:rPr>
          <w:rFonts w:eastAsia="方正小标宋简体" w:cs="Times New Roman"/>
          <w:sz w:val="40"/>
          <w:szCs w:val="28"/>
        </w:rPr>
      </w:pPr>
      <w:r>
        <w:rPr>
          <w:rFonts w:eastAsia="方正小标宋简体" w:cs="Times New Roman"/>
          <w:sz w:val="40"/>
          <w:szCs w:val="28"/>
        </w:rPr>
        <w:t>《钦北区</w:t>
      </w:r>
      <w:r>
        <w:rPr>
          <w:rFonts w:eastAsia="方正小标宋简体" w:cs="Times New Roman" w:hint="eastAsia"/>
          <w:sz w:val="40"/>
          <w:szCs w:val="28"/>
        </w:rPr>
        <w:t>小董</w:t>
      </w:r>
      <w:r>
        <w:rPr>
          <w:rFonts w:eastAsia="方正小标宋简体" w:cs="Times New Roman"/>
          <w:sz w:val="40"/>
          <w:szCs w:val="28"/>
        </w:rPr>
        <w:t>镇国土空间规划（2021-2035年）》</w:t>
      </w:r>
    </w:p>
    <w:p>
      <w:pPr>
        <w:spacing w:beforeLines="0" w:before="0" w:afterLines="0" w:after="0" w:line="560" w:lineRule="exact"/>
        <w:ind w:firstLineChars="0" w:firstLine="0"/>
        <w:jc w:val="center"/>
        <w:rPr>
          <w:rFonts w:eastAsia="方正小标宋简体" w:cs="Times New Roman"/>
          <w:sz w:val="40"/>
          <w:szCs w:val="28"/>
        </w:rPr>
      </w:pPr>
      <w:r>
        <w:rPr>
          <w:rFonts w:eastAsia="方正小标宋简体" w:cs="Times New Roman"/>
          <w:sz w:val="40"/>
          <w:szCs w:val="28"/>
        </w:rPr>
        <w:t>征求公众意见稿主要内容</w:t>
      </w:r>
    </w:p>
    <w:p>
      <w:pPr>
        <w:spacing w:beforeLines="0" w:before="0" w:afterLines="0" w:after="0" w:line="560" w:lineRule="exact"/>
        <w:ind w:firstLineChars="0" w:firstLine="0"/>
        <w:jc w:val="center"/>
        <w:rPr>
          <w:rFonts w:eastAsia="方正小标宋简体" w:cs="Times New Roman"/>
          <w:sz w:val="44"/>
          <w:szCs w:val="44"/>
        </w:rPr>
      </w:pPr>
    </w:p>
    <w:p>
      <w:pPr>
        <w:pStyle w:val="15"/>
        <w:numPr>
          <w:ilvl w:val="0"/>
          <w:numId w:val="1"/>
        </w:numPr>
        <w:spacing w:beforeLines="0" w:before="0" w:afterLines="0" w:after="0" w:line="560" w:lineRule="exact"/>
        <w:ind w:firstLineChars="0"/>
        <w:jc w:val="left"/>
        <w:rPr>
          <w:rFonts w:eastAsia="黑体" w:cs="Times New Roman"/>
          <w:sz w:val="32"/>
          <w:szCs w:val="32"/>
        </w:rPr>
      </w:pPr>
      <w:r>
        <w:rPr>
          <w:rFonts w:eastAsia="黑体" w:cs="Times New Roman"/>
          <w:sz w:val="32"/>
          <w:szCs w:val="32"/>
        </w:rPr>
        <w:t>规划范围与期限</w:t>
      </w:r>
    </w:p>
    <w:p>
      <w:pPr>
        <w:pStyle w:val="15"/>
        <w:spacing w:beforeLines="0" w:before="0" w:afterLines="0" w:after="0" w:line="560" w:lineRule="exact"/>
        <w:ind w:left="640" w:firstLineChars="0" w:firstLine="0"/>
        <w:jc w:val="left"/>
        <w:rPr>
          <w:rFonts w:eastAsia="楷体_GB2312" w:cs="Times New Roman"/>
          <w:sz w:val="32"/>
          <w:szCs w:val="32"/>
        </w:rPr>
      </w:pPr>
      <w:r>
        <w:rPr>
          <w:rFonts w:eastAsia="楷体_GB2312" w:cs="Times New Roman" w:hint="eastAsia"/>
          <w:sz w:val="32"/>
          <w:szCs w:val="32"/>
        </w:rPr>
        <w:t>（一）</w:t>
      </w:r>
      <w:r>
        <w:rPr>
          <w:rFonts w:eastAsia="楷体_GB2312" w:cs="Times New Roman"/>
          <w:sz w:val="32"/>
          <w:szCs w:val="32"/>
        </w:rPr>
        <w:t>规划范围与层次</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镇域层次：镇域层次包含小董镇行政辖区内的全部陆域空间,辖1个社区和16个行政村。</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镇人民政府驻地层次：镇人民政府驻地包括镇政府所在地建成区域以及其他因镇区建设与发展需要实行规划控制的区域。</w:t>
      </w:r>
    </w:p>
    <w:p>
      <w:pPr>
        <w:pStyle w:val="15"/>
        <w:spacing w:beforeLines="0" w:before="0" w:afterLines="0" w:after="0" w:line="560" w:lineRule="exact"/>
        <w:ind w:left="640" w:firstLineChars="0" w:firstLine="0"/>
        <w:jc w:val="left"/>
        <w:rPr>
          <w:rFonts w:eastAsia="楷体_GB2312" w:cs="Times New Roman"/>
          <w:sz w:val="32"/>
          <w:szCs w:val="32"/>
        </w:rPr>
      </w:pPr>
      <w:r>
        <w:rPr>
          <w:rFonts w:eastAsia="楷体_GB2312" w:cs="Times New Roman" w:hint="eastAsia"/>
          <w:sz w:val="32"/>
          <w:szCs w:val="32"/>
        </w:rPr>
        <w:t>（二）</w:t>
      </w:r>
      <w:r>
        <w:rPr>
          <w:rFonts w:eastAsia="楷体_GB2312" w:cs="Times New Roman"/>
          <w:sz w:val="32"/>
          <w:szCs w:val="32"/>
        </w:rPr>
        <w:t>规划期限</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规划期限为2021至2035年，规划基期年为2020年，规划近期年为2030年，规划目标年为2035年，远景展望至2050年。</w:t>
      </w:r>
    </w:p>
    <w:p>
      <w:pPr>
        <w:spacing w:beforeLines="0" w:before="0" w:afterLines="0" w:after="0" w:line="560" w:lineRule="exact"/>
        <w:ind w:firstLineChars="0" w:firstLine="0"/>
        <w:rPr>
          <w:rFonts w:eastAsia="仿宋_GB2312" w:cs="Times New Roman"/>
          <w:sz w:val="32"/>
          <w:szCs w:val="32"/>
        </w:rPr>
      </w:pPr>
      <w:r>
        <w:rPr>
          <w:rFonts w:eastAsia="黑体" w:cs="Times New Roman" w:hint="eastAsia"/>
          <w:sz w:val="32"/>
          <w:szCs w:val="32"/>
        </w:rPr>
        <w:t>二、</w:t>
      </w:r>
      <w:r>
        <w:rPr>
          <w:rFonts w:eastAsia="黑体" w:cs="Times New Roman"/>
          <w:sz w:val="32"/>
          <w:szCs w:val="32"/>
        </w:rPr>
        <w:t>发展定位与目标</w:t>
      </w:r>
    </w:p>
    <w:p>
      <w:pPr>
        <w:spacing w:beforeLines="0" w:before="0" w:afterLines="0" w:after="0" w:line="560" w:lineRule="exact"/>
        <w:jc w:val="left"/>
        <w:rPr>
          <w:rFonts w:eastAsia="楷体_GB2312" w:cs="Times New Roman"/>
          <w:sz w:val="32"/>
          <w:szCs w:val="32"/>
        </w:rPr>
      </w:pPr>
      <w:r>
        <w:rPr>
          <w:rFonts w:eastAsia="楷体_GB2312" w:cs="Times New Roman" w:hint="eastAsia"/>
          <w:sz w:val="32"/>
          <w:szCs w:val="32"/>
        </w:rPr>
        <w:t>（一）</w:t>
      </w:r>
      <w:r>
        <w:rPr>
          <w:rFonts w:eastAsia="楷体_GB2312" w:cs="Times New Roman"/>
          <w:sz w:val="32"/>
          <w:szCs w:val="32"/>
        </w:rPr>
        <w:t>发展定位</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立足资源禀赋，突出比较优势，推进镇域高质量发展，全力打造发展强劲、特色鲜明、生态宜居新小董。落实自治区、钦州市、钦北区的区域发展战略、主体功能区定位以及上位规划的要求，结合小董镇的自身发展条件和特点，以及与周边区域的竞合关系，明确小董镇的城镇发展定位。</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桂南生态农业与乡村旅游融合发展示范镇。严守耕地保护红线，依托六万山水源涵养区生态屏障功能，重点加强境内茅岭江（小董江）、九曲里河生态廊道保护与林地保育，筑牢生态农业发展基底。以规模化生态种植为核心，整合多隆村优质农产品种植基地，推进农牧分拣车间、冷链仓库等配套设施建设，打造“生态种植+仓储保鲜”一体化农业体系。同步挖掘农业生态价值，开发“农田观光+农事体验+农产品采摘”乡村旅游线路，联动农产品加工物流园打造“从田间到餐桌”的沉浸式体验场景，推动生态农业与乡村旅游深度融合，形成桂南地区特色农业旅游样板。</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钦州市非遗美食与红色文旅融合发展标杆。以非遗美食为核心IP，重点培育小董麻通等“桂字号”非遗品牌，推进农产品加工物流园主体工程建设，规划打造江滨美食广场及非遗美食人才驿站，构建“非遗美食展示—制作体验—产品销售”全链条业态。深挖镇域及周边红色资源，联动板城镇红色文化片区，打造“红色研学路线+非遗美食体验”融合产品，设计“走红色足迹、品非遗味道”主题文旅线路，配套建设红色文化展示点、非遗美食体验工坊等设施。推动非遗美食与红色文旅场景深度绑定，通过节庆活动提升影响力，成为钦州市文旅融合发展的标杆镇。</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钦北区城乡融合与基础设施提升服务枢纽。落实“专业功能镇”定位，以基础设施提升为抓手，推进集镇区功能优化：升级供水设施，扩建污水处理厂，整治城镇低效用地，补齐市政设施短板。强化公共服务辐射能力，完善集镇区教育、医疗设施配套，通过农村道路硬化、便民服务中心建设等民生工程，提升对中心村、基层村的服务覆盖。依托五条公路交汇、南防铁路穿境的交通枢纽优势，借力灵山至寨圩一级公路升级机遇，布局农产品专业物流节点，打通城乡物资流通通道；引导农村人口有序向集镇集聚，推动产业园区与镇区功能互补，构建“基础设施完善、公共服务均衡、城乡联动紧密”的服务枢纽，成为钦北区城乡融合发展的核心支撑节点。</w:t>
      </w:r>
    </w:p>
    <w:p>
      <w:pPr>
        <w:pStyle w:val="15"/>
        <w:spacing w:beforeLines="0" w:before="0" w:afterLines="0" w:after="0" w:line="560" w:lineRule="exact"/>
        <w:ind w:left="640" w:firstLineChars="0" w:firstLine="0"/>
        <w:jc w:val="left"/>
        <w:rPr>
          <w:rFonts w:eastAsia="楷体_GB2312" w:cs="Times New Roman"/>
          <w:sz w:val="32"/>
          <w:szCs w:val="32"/>
        </w:rPr>
      </w:pPr>
      <w:r>
        <w:rPr>
          <w:rFonts w:eastAsia="楷体_GB2312" w:cs="Times New Roman" w:hint="eastAsia"/>
          <w:sz w:val="32"/>
          <w:szCs w:val="32"/>
        </w:rPr>
        <w:t>（二）</w:t>
      </w:r>
      <w:r>
        <w:rPr>
          <w:rFonts w:eastAsia="楷体_GB2312" w:cs="Times New Roman"/>
          <w:sz w:val="32"/>
          <w:szCs w:val="32"/>
        </w:rPr>
        <w:t>规划目标</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规划至20</w:t>
      </w:r>
      <w:r>
        <w:rPr>
          <w:rFonts w:eastAsia="仿宋_GB2312" w:cs="Times New Roman" w:hint="eastAsia"/>
          <w:sz w:val="32"/>
          <w:szCs w:val="32"/>
        </w:rPr>
        <w:t>30</w:t>
      </w:r>
      <w:r>
        <w:rPr>
          <w:rFonts w:eastAsia="仿宋_GB2312" w:cs="Times New Roman"/>
          <w:sz w:val="32"/>
          <w:szCs w:val="32"/>
        </w:rPr>
        <w:t>年，聚焦“基础筑牢、融合起步、特色初显”，推动三大定位取得阶段性突破。生态农业与乡村旅游方面，严格落实耕地保护红线，推进茅岭江（小董江）、九曲里河生态廊道重点整治，初步开展六万山水源涵养区周边林地保育；整合多隆村优质农产品种植基地，启动农牧分拣车间、冷链仓库建设，搭建“生态种植+仓储保鲜”初步框架；开发短途“农田观光+农事体验”乡村旅游线路，联动农产品加工物流园打造简易沉浸式体验场景。城乡融合与基建方面，完成集镇区基础设施升级工作，启动城镇低效用地整治试点；补齐集镇区学校、卫生院配套短板，推进中心村农村道路硬化；依托交通枢纽优势，布局农产品临时物流节点，引导农村人口有序向集镇集聚，常住人口城镇化率稳步提升。基本实现“生态有守护、文旅有起步、城乡有提升”。</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规划至2035年，实现“融合深化、标杆成型、枢纽强化”，全面达成三大定位核心目标。生态农业与乡村旅游方面，建成以六万山水源涵养区为核心、茅岭江（小董江）等生态廊道为纽带的生态保护体系，林地保育水平显著提升；多隆村种植基地实现规模化运营，“生态种植+仓储保鲜”一体化体系成熟，农产品加工转化能力大幅增强；打造多条成熟“农田观光+农事体验+农产品采摘”旅游线路，联动物流园建成“从田间到餐桌”完整沉浸式体验链，成为桂南生态农业与乡村旅游融合示范样板。城乡融合与基建方面，集镇区市政设施实现全域覆盖，城镇低效用地整治成效显著；教育、医疗设施达到县域优质水平，公共服务辐射所有中心村与基层村；依托灵山至寨圩一级公路升级机遇，布局专业化农产品物流节点，打通城乡物资流通“快速通道”；常住人口城镇化率大幅提升，产业园区与镇区功能深度互补，构建起“基建完善、服务均衡、城乡联动”的服务体系，成为钦北区城乡融合发展核心支撑枢纽，全面达成“发展强劲、特色鲜明、生态宜居新小董”发展愿景。</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展望2050年，建成“生态优美、文旅知名、城乡共富”的广西特色城镇典范，推动三大定位实现更高层次发展。生态方面，镇域生态系统实现良性循环，绿色低碳发展模式全面普及，六万山水源涵养区、茅岭江（小董江）生态廊道成为北部湾区域生态保护标杆，生态农业与乡村旅游融合发展水平居广西前列，形成“生态保护-产业发展-民生改善”良性闭环。城乡方面，城乡空间布局实现最优配置，公共服务设施与基础设施达到现代化标准，人居环境达到“推窗见绿、出门享服务”的宜居水平；城乡要素自由流动，农村人口与城镇人口享受同等优质公共服务，常住人口城镇化率保持较高水平，成为广西城乡融合发展样板。整体建成广西地区生态农业、特色文旅、城乡融合协同发展的现代化特色城镇，成为兼具生态魅力、产业活力、人文底蕴的广西知名宜居镇。</w:t>
      </w:r>
    </w:p>
    <w:p>
      <w:pPr>
        <w:pStyle w:val="15"/>
        <w:spacing w:beforeLines="0" w:before="0" w:afterLines="0" w:after="0" w:line="560" w:lineRule="exact"/>
        <w:ind w:firstLineChars="0" w:firstLine="0"/>
        <w:jc w:val="left"/>
        <w:rPr>
          <w:rFonts w:eastAsia="黑体" w:cs="Times New Roman"/>
          <w:sz w:val="32"/>
          <w:szCs w:val="32"/>
        </w:rPr>
      </w:pPr>
      <w:r>
        <w:rPr>
          <w:rFonts w:eastAsia="黑体" w:cs="Times New Roman" w:hint="eastAsia"/>
          <w:sz w:val="32"/>
          <w:szCs w:val="32"/>
        </w:rPr>
        <w:t>三、</w:t>
      </w:r>
      <w:r>
        <w:rPr>
          <w:rFonts w:eastAsia="黑体" w:cs="Times New Roman"/>
          <w:sz w:val="32"/>
          <w:szCs w:val="32"/>
        </w:rPr>
        <w:t>国土空间总体格局</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以“全域统筹、三生协调、城乡一体”为核心导向，系统整合生态、农业、城镇三大空间的要素配置与布局，构建“一心两翼、双轴三区”的国土空间开发保护总体框架</w:t>
      </w:r>
      <w:r>
        <w:rPr>
          <w:rFonts w:eastAsia="仿宋_GB2312" w:cs="Times New Roman" w:hint="eastAsia"/>
          <w:sz w:val="32"/>
          <w:szCs w:val="32"/>
        </w:rPr>
        <w:t>，</w:t>
      </w:r>
      <w:r>
        <w:rPr>
          <w:rFonts w:eastAsia="仿宋_GB2312" w:cs="Times New Roman"/>
          <w:sz w:val="32"/>
          <w:szCs w:val="32"/>
        </w:rPr>
        <w:t>推动城镇组团式发展、产业沿轴线集聚、村庄串珠成链、农业规模化连片布局，助力规划区摆脱分散无序的发展状态，形成一体化、整体性的城乡空间形态。</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“一心”为小董镇区商贸综合服务</w:t>
      </w:r>
      <w:r>
        <w:rPr>
          <w:rFonts w:eastAsia="仿宋_GB2312" w:cs="Times New Roman" w:hint="eastAsia"/>
          <w:sz w:val="32"/>
          <w:szCs w:val="32"/>
        </w:rPr>
        <w:t>核心</w:t>
      </w:r>
      <w:r>
        <w:rPr>
          <w:rFonts w:eastAsia="仿宋_GB2312" w:cs="Times New Roman"/>
          <w:sz w:val="32"/>
          <w:szCs w:val="32"/>
        </w:rPr>
        <w:t>；</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“两翼”为镇区北面的物流产业园</w:t>
      </w:r>
      <w:r>
        <w:rPr>
          <w:rFonts w:eastAsia="仿宋_GB2312" w:cs="Times New Roman" w:hint="eastAsia"/>
          <w:sz w:val="32"/>
          <w:szCs w:val="32"/>
        </w:rPr>
        <w:t>核心</w:t>
      </w:r>
      <w:r>
        <w:rPr>
          <w:rFonts w:eastAsia="仿宋_GB2312" w:cs="Times New Roman"/>
          <w:sz w:val="32"/>
          <w:szCs w:val="32"/>
        </w:rPr>
        <w:t>、镇区南面的特色种植</w:t>
      </w:r>
      <w:r>
        <w:rPr>
          <w:rFonts w:eastAsia="仿宋_GB2312" w:cs="Times New Roman" w:hint="eastAsia"/>
          <w:sz w:val="32"/>
          <w:szCs w:val="32"/>
        </w:rPr>
        <w:t>园核心</w:t>
      </w:r>
      <w:r>
        <w:rPr>
          <w:rFonts w:eastAsia="仿宋_GB2312" w:cs="Times New Roman"/>
          <w:sz w:val="32"/>
          <w:szCs w:val="32"/>
        </w:rPr>
        <w:t>；</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w:t>
      </w:r>
      <w:r>
        <w:rPr>
          <w:rFonts w:eastAsia="仿宋_GB2312" w:cs="Times New Roman" w:hint="eastAsia"/>
          <w:sz w:val="32"/>
          <w:szCs w:val="32"/>
        </w:rPr>
        <w:t>双轴</w:t>
      </w:r>
      <w:r>
        <w:rPr>
          <w:rFonts w:eastAsia="仿宋_GB2312" w:cs="Times New Roman"/>
          <w:sz w:val="32"/>
          <w:szCs w:val="32"/>
        </w:rPr>
        <w:t>”为南北向城镇发展主轴和东西向镇村发展次轴；</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“三区”分别为南部特色苗木种植经济区、西部绿色农业耕作区</w:t>
      </w:r>
      <w:r>
        <w:rPr>
          <w:rFonts w:eastAsia="仿宋_GB2312" w:cs="Times New Roman" w:hint="eastAsia"/>
          <w:sz w:val="32"/>
          <w:szCs w:val="32"/>
        </w:rPr>
        <w:t>以及</w:t>
      </w:r>
      <w:r>
        <w:rPr>
          <w:rFonts w:eastAsia="仿宋_GB2312" w:cs="Times New Roman"/>
          <w:sz w:val="32"/>
          <w:szCs w:val="32"/>
        </w:rPr>
        <w:t>东部绿色农业耕作区</w:t>
      </w:r>
      <w:r>
        <w:rPr>
          <w:rFonts w:eastAsia="仿宋_GB2312" w:cs="Times New Roman" w:hint="eastAsia"/>
          <w:sz w:val="32"/>
          <w:szCs w:val="32"/>
        </w:rPr>
        <w:t>。</w:t>
      </w:r>
    </w:p>
    <w:p>
      <w:pPr>
        <w:pStyle w:val="15"/>
        <w:spacing w:beforeLines="0" w:before="0" w:afterLines="0" w:after="0" w:line="560" w:lineRule="exact"/>
        <w:ind w:firstLineChars="0" w:firstLine="0"/>
        <w:jc w:val="left"/>
        <w:rPr>
          <w:rFonts w:eastAsia="黑体" w:cs="Times New Roman"/>
          <w:sz w:val="32"/>
          <w:szCs w:val="32"/>
        </w:rPr>
      </w:pPr>
      <w:r>
        <w:rPr>
          <w:rFonts w:eastAsia="黑体" w:cs="Times New Roman" w:hint="eastAsia"/>
          <w:sz w:val="32"/>
          <w:szCs w:val="32"/>
        </w:rPr>
        <w:t>四、</w:t>
      </w:r>
      <w:r>
        <w:rPr>
          <w:rFonts w:eastAsia="黑体" w:cs="Times New Roman"/>
          <w:sz w:val="32"/>
          <w:szCs w:val="32"/>
        </w:rPr>
        <w:t>村庄布局优化</w:t>
      </w:r>
    </w:p>
    <w:p>
      <w:pPr>
        <w:spacing w:beforeLines="0" w:before="0" w:afterLines="0" w:after="0" w:line="560" w:lineRule="exact"/>
        <w:jc w:val="left"/>
        <w:rPr>
          <w:rFonts w:eastAsia="楷体_GB2312" w:cs="Times New Roman"/>
          <w:sz w:val="32"/>
          <w:szCs w:val="32"/>
        </w:rPr>
      </w:pPr>
      <w:r>
        <w:rPr>
          <w:rFonts w:eastAsia="楷体_GB2312" w:cs="Times New Roman" w:hint="eastAsia"/>
          <w:sz w:val="32"/>
          <w:szCs w:val="32"/>
        </w:rPr>
        <w:t>（一）</w:t>
      </w:r>
      <w:r>
        <w:rPr>
          <w:rFonts w:eastAsia="楷体_GB2312" w:cs="Times New Roman"/>
          <w:sz w:val="32"/>
          <w:szCs w:val="32"/>
        </w:rPr>
        <w:t>镇村体系</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构筑“镇区—中心村—基层村”三级的镇村体系结构，形成1个镇区，4个中心村，12个基层村。其中镇区为中心镇区；规划东联村、</w:t>
      </w:r>
      <w:r>
        <w:rPr>
          <w:rFonts w:eastAsia="微软雅黑" w:cs="Times New Roman"/>
          <w:sz w:val="32"/>
          <w:szCs w:val="32"/>
        </w:rPr>
        <w:t>榃</w:t>
      </w:r>
      <w:r>
        <w:rPr>
          <w:rFonts w:eastAsia="仿宋_GB2312" w:cs="Times New Roman"/>
          <w:sz w:val="32"/>
          <w:szCs w:val="32"/>
        </w:rPr>
        <w:t>头村、多隆村、那道村四个中心村，每个中心村规划人口规模约为3000-6000人；规划其余12个村为基层村，每个基层村规划人口规模约为1000-3000人。</w:t>
      </w:r>
    </w:p>
    <w:p>
      <w:pPr>
        <w:pStyle w:val="15"/>
        <w:spacing w:beforeLines="0" w:before="0" w:afterLines="0" w:after="0" w:line="560" w:lineRule="exact"/>
        <w:ind w:firstLineChars="0" w:firstLine="0"/>
        <w:jc w:val="center"/>
        <w:rPr>
          <w:rFonts w:eastAsia="黑体" w:cs="Times New Roman"/>
          <w:sz w:val="30"/>
          <w:szCs w:val="30"/>
        </w:rPr>
      </w:pPr>
      <w:r>
        <w:rPr>
          <w:rFonts w:eastAsia="黑体" w:cs="Times New Roman"/>
          <w:sz w:val="30"/>
          <w:szCs w:val="30"/>
        </w:rPr>
        <w:t>表</w:t>
      </w:r>
      <w:r>
        <w:rPr>
          <w:rFonts w:eastAsia="黑体" w:cs="Times New Roman" w:hint="eastAsia"/>
          <w:sz w:val="30"/>
          <w:szCs w:val="30"/>
        </w:rPr>
        <w:t>1</w:t>
      </w:r>
      <w:r>
        <w:rPr>
          <w:rFonts w:eastAsia="黑体" w:cs="Times New Roman"/>
          <w:sz w:val="30"/>
          <w:szCs w:val="30"/>
        </w:rPr>
        <w:t xml:space="preserve"> 镇村体系一览表</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49"/>
        <w:gridCol w:w="2248"/>
        <w:gridCol w:w="4399"/>
      </w:tblGrid>
      <w:tr>
        <w:tc>
          <w:tcPr>
            <w:tcW w:w="994" w:type="pct"/>
            <w:vAlign w:val="center"/>
          </w:tcPr>
          <w:p>
            <w:pPr>
              <w:pStyle w:val="20"/>
              <w:widowControl w:val="0"/>
              <w:numPr>
                <w:ilvl w:val="0"/>
                <w:numId w:val="0"/>
              </w:numPr>
              <w:adjustRightInd w:val="0"/>
              <w:snapToGrid w:val="0"/>
              <w:rPr>
                <w:rFonts w:hAnsi="黑体" w:hint="eastAsia"/>
                <w:kern w:val="0"/>
                <w:sz w:val="28"/>
                <w:szCs w:val="21"/>
              </w:rPr>
            </w:pPr>
            <w:r>
              <w:rPr>
                <w:rFonts w:hAnsi="黑体"/>
                <w:kern w:val="0"/>
                <w:sz w:val="28"/>
                <w:szCs w:val="21"/>
              </w:rPr>
              <w:t>等级结构</w:t>
            </w:r>
          </w:p>
        </w:tc>
        <w:tc>
          <w:tcPr>
            <w:tcW w:w="1355" w:type="pct"/>
            <w:vAlign w:val="center"/>
          </w:tcPr>
          <w:p>
            <w:pPr>
              <w:pStyle w:val="20"/>
              <w:widowControl w:val="0"/>
              <w:numPr>
                <w:ilvl w:val="0"/>
                <w:numId w:val="0"/>
              </w:numPr>
              <w:adjustRightInd w:val="0"/>
              <w:snapToGrid w:val="0"/>
              <w:rPr>
                <w:rFonts w:hAnsi="黑体" w:hint="eastAsia"/>
                <w:kern w:val="0"/>
                <w:sz w:val="28"/>
                <w:szCs w:val="21"/>
              </w:rPr>
            </w:pPr>
            <w:r>
              <w:rPr>
                <w:rFonts w:hAnsi="黑体"/>
                <w:kern w:val="0"/>
                <w:sz w:val="28"/>
                <w:szCs w:val="21"/>
              </w:rPr>
              <w:t>规划人口规模</w:t>
            </w:r>
          </w:p>
        </w:tc>
        <w:tc>
          <w:tcPr>
            <w:tcW w:w="2651" w:type="pct"/>
            <w:vAlign w:val="center"/>
          </w:tcPr>
          <w:p>
            <w:pPr>
              <w:pStyle w:val="20"/>
              <w:widowControl w:val="0"/>
              <w:numPr>
                <w:ilvl w:val="0"/>
                <w:numId w:val="0"/>
              </w:numPr>
              <w:adjustRightInd w:val="0"/>
              <w:snapToGrid w:val="0"/>
              <w:rPr>
                <w:rFonts w:hAnsi="黑体" w:hint="eastAsia"/>
                <w:kern w:val="0"/>
                <w:sz w:val="28"/>
                <w:szCs w:val="21"/>
              </w:rPr>
            </w:pPr>
            <w:r>
              <w:rPr>
                <w:rFonts w:hAnsi="黑体"/>
                <w:kern w:val="0"/>
                <w:sz w:val="28"/>
                <w:szCs w:val="21"/>
              </w:rPr>
              <w:t>村庄名称</w:t>
            </w:r>
          </w:p>
        </w:tc>
      </w:tr>
      <w:tr>
        <w:tc>
          <w:tcPr>
            <w:tcW w:w="994" w:type="pct"/>
            <w:vAlign w:val="center"/>
          </w:tcPr>
          <w:p>
            <w:pPr>
              <w:pStyle w:val="20"/>
              <w:widowControl w:val="0"/>
              <w:numPr>
                <w:ilvl w:val="0"/>
                <w:numId w:val="0"/>
              </w:numPr>
              <w:adjustRightInd w:val="0"/>
              <w:snapToGrid w:val="0"/>
              <w:rPr>
                <w:rFonts w:ascii="Times New Roman" w:eastAsia="仿宋_GB2312" w:hAnsi="Times New Roman"/>
                <w:kern w:val="0"/>
                <w:sz w:val="28"/>
                <w:szCs w:val="21"/>
              </w:rPr>
            </w:pPr>
            <w:r>
              <w:rPr>
                <w:rFonts w:ascii="Times New Roman" w:eastAsia="仿宋_GB2312" w:hAnsi="Times New Roman"/>
                <w:kern w:val="0"/>
                <w:sz w:val="28"/>
                <w:szCs w:val="21"/>
              </w:rPr>
              <w:t>中心村</w:t>
            </w:r>
          </w:p>
        </w:tc>
        <w:tc>
          <w:tcPr>
            <w:tcW w:w="1355" w:type="pct"/>
            <w:vAlign w:val="center"/>
          </w:tcPr>
          <w:p>
            <w:pPr>
              <w:pStyle w:val="20"/>
              <w:widowControl w:val="0"/>
              <w:numPr>
                <w:ilvl w:val="0"/>
                <w:numId w:val="0"/>
              </w:numPr>
              <w:adjustRightInd w:val="0"/>
              <w:snapToGrid w:val="0"/>
              <w:rPr>
                <w:rFonts w:ascii="Times New Roman" w:eastAsia="仿宋_GB2312" w:hAnsi="Times New Roman"/>
                <w:kern w:val="0"/>
                <w:sz w:val="28"/>
                <w:szCs w:val="21"/>
              </w:rPr>
            </w:pPr>
            <w:r>
              <w:rPr>
                <w:rFonts w:ascii="Times New Roman" w:eastAsia="仿宋_GB2312" w:hAnsi="Times New Roman"/>
                <w:kern w:val="0"/>
                <w:sz w:val="28"/>
                <w:szCs w:val="21"/>
              </w:rPr>
              <w:t>3000-6000人</w:t>
            </w:r>
          </w:p>
        </w:tc>
        <w:tc>
          <w:tcPr>
            <w:tcW w:w="2651" w:type="pct"/>
            <w:vAlign w:val="center"/>
          </w:tcPr>
          <w:p>
            <w:pPr>
              <w:pStyle w:val="20"/>
              <w:widowControl w:val="0"/>
              <w:numPr>
                <w:ilvl w:val="0"/>
                <w:numId w:val="0"/>
              </w:numPr>
              <w:adjustRightInd w:val="0"/>
              <w:snapToGrid w:val="0"/>
              <w:jc w:val="both"/>
              <w:rPr>
                <w:rFonts w:ascii="Times New Roman" w:eastAsia="仿宋_GB2312" w:hAnsi="Times New Roman"/>
                <w:kern w:val="0"/>
                <w:sz w:val="28"/>
                <w:szCs w:val="21"/>
              </w:rPr>
            </w:pPr>
            <w:r>
              <w:rPr>
                <w:rFonts w:ascii="Times New Roman" w:eastAsia="仿宋_GB2312" w:hAnsi="Times New Roman"/>
                <w:kern w:val="0"/>
                <w:sz w:val="28"/>
                <w:szCs w:val="21"/>
              </w:rPr>
              <w:t>东联村、</w:t>
            </w:r>
            <w:r>
              <w:rPr>
                <w:rFonts w:ascii="仿宋" w:eastAsia="仿宋" w:hAnsi="仿宋"/>
                <w:kern w:val="0"/>
                <w:sz w:val="28"/>
                <w:szCs w:val="21"/>
              </w:rPr>
              <w:t>榃</w:t>
            </w:r>
            <w:r>
              <w:rPr>
                <w:rFonts w:ascii="Times New Roman" w:eastAsia="仿宋_GB2312" w:hAnsi="Times New Roman"/>
                <w:kern w:val="0"/>
                <w:sz w:val="28"/>
                <w:szCs w:val="21"/>
              </w:rPr>
              <w:t>头村、多隆村、那道村</w:t>
            </w:r>
          </w:p>
        </w:tc>
      </w:tr>
      <w:tr>
        <w:tc>
          <w:tcPr>
            <w:tcW w:w="994" w:type="pct"/>
            <w:vAlign w:val="center"/>
          </w:tcPr>
          <w:p>
            <w:pPr>
              <w:pStyle w:val="20"/>
              <w:widowControl w:val="0"/>
              <w:numPr>
                <w:ilvl w:val="0"/>
                <w:numId w:val="0"/>
              </w:numPr>
              <w:adjustRightInd w:val="0"/>
              <w:snapToGrid w:val="0"/>
              <w:rPr>
                <w:rFonts w:ascii="Times New Roman" w:eastAsia="仿宋_GB2312" w:hAnsi="Times New Roman"/>
                <w:kern w:val="0"/>
                <w:sz w:val="28"/>
                <w:szCs w:val="21"/>
              </w:rPr>
            </w:pPr>
            <w:r>
              <w:rPr>
                <w:rFonts w:ascii="Times New Roman" w:eastAsia="仿宋_GB2312" w:hAnsi="Times New Roman"/>
                <w:kern w:val="0"/>
                <w:sz w:val="28"/>
                <w:szCs w:val="21"/>
              </w:rPr>
              <w:t>基层村</w:t>
            </w:r>
          </w:p>
        </w:tc>
        <w:tc>
          <w:tcPr>
            <w:tcW w:w="1355" w:type="pct"/>
            <w:vAlign w:val="center"/>
          </w:tcPr>
          <w:p>
            <w:pPr>
              <w:pStyle w:val="20"/>
              <w:widowControl w:val="0"/>
              <w:numPr>
                <w:ilvl w:val="0"/>
                <w:numId w:val="0"/>
              </w:numPr>
              <w:adjustRightInd w:val="0"/>
              <w:snapToGrid w:val="0"/>
              <w:rPr>
                <w:rFonts w:ascii="Times New Roman" w:eastAsia="仿宋_GB2312" w:hAnsi="Times New Roman"/>
                <w:kern w:val="0"/>
                <w:sz w:val="28"/>
                <w:szCs w:val="21"/>
              </w:rPr>
            </w:pPr>
            <w:r>
              <w:rPr>
                <w:rFonts w:ascii="Times New Roman" w:eastAsia="仿宋_GB2312" w:hAnsi="Times New Roman"/>
                <w:kern w:val="0"/>
                <w:sz w:val="28"/>
                <w:szCs w:val="21"/>
              </w:rPr>
              <w:t>1000-3000人</w:t>
            </w:r>
          </w:p>
        </w:tc>
        <w:tc>
          <w:tcPr>
            <w:tcW w:w="2651" w:type="pct"/>
            <w:vAlign w:val="center"/>
          </w:tcPr>
          <w:p>
            <w:pPr>
              <w:pStyle w:val="20"/>
              <w:widowControl w:val="0"/>
              <w:numPr>
                <w:ilvl w:val="0"/>
                <w:numId w:val="0"/>
              </w:numPr>
              <w:adjustRightInd w:val="0"/>
              <w:snapToGrid w:val="0"/>
              <w:jc w:val="both"/>
              <w:rPr>
                <w:rFonts w:ascii="Times New Roman" w:eastAsia="仿宋_GB2312" w:hAnsi="Times New Roman"/>
                <w:kern w:val="0"/>
                <w:sz w:val="28"/>
                <w:szCs w:val="21"/>
              </w:rPr>
            </w:pPr>
            <w:r>
              <w:rPr>
                <w:rFonts w:ascii="Times New Roman" w:eastAsia="仿宋_GB2312" w:hAnsi="Times New Roman"/>
                <w:kern w:val="0"/>
                <w:sz w:val="28"/>
                <w:szCs w:val="21"/>
              </w:rPr>
              <w:t>那学村、中花村、那料村、那兰村、吉水村、逍遥村、板董村、奇陵村、</w:t>
            </w:r>
            <w:r>
              <w:rPr>
                <w:rFonts w:ascii="仿宋" w:eastAsia="仿宋" w:hAnsi="仿宋"/>
                <w:kern w:val="0"/>
                <w:sz w:val="28"/>
                <w:szCs w:val="21"/>
              </w:rPr>
              <w:t>榃</w:t>
            </w:r>
            <w:r>
              <w:rPr>
                <w:rFonts w:ascii="Times New Roman" w:eastAsia="仿宋_GB2312" w:hAnsi="Times New Roman"/>
                <w:kern w:val="0"/>
                <w:sz w:val="28"/>
                <w:szCs w:val="21"/>
              </w:rPr>
              <w:t>楼村、龙眼村、西陵村、那陵村</w:t>
            </w:r>
          </w:p>
        </w:tc>
      </w:tr>
    </w:tbl>
    <w:p>
      <w:pPr>
        <w:pStyle w:val="15"/>
        <w:spacing w:beforeLines="0" w:before="0" w:afterLines="0" w:after="0" w:line="560" w:lineRule="exact"/>
        <w:ind w:left="640" w:firstLineChars="0" w:firstLine="0"/>
        <w:jc w:val="left"/>
        <w:rPr>
          <w:rFonts w:eastAsia="楷体_GB2312" w:cs="Times New Roman"/>
          <w:sz w:val="32"/>
          <w:szCs w:val="32"/>
        </w:rPr>
      </w:pPr>
      <w:r>
        <w:rPr>
          <w:rFonts w:eastAsia="楷体_GB2312" w:cs="Times New Roman" w:hint="eastAsia"/>
          <w:sz w:val="32"/>
          <w:szCs w:val="32"/>
        </w:rPr>
        <w:t>（二）村庄</w:t>
      </w:r>
      <w:r>
        <w:rPr>
          <w:rFonts w:eastAsia="楷体_GB2312" w:cs="Times New Roman"/>
          <w:sz w:val="32"/>
          <w:szCs w:val="32"/>
        </w:rPr>
        <w:t>分类</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规划将镇域村庄划分为集聚提升类、城郊融合类、其他一般类村庄共3种类型。</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集聚提升类村庄。划定集聚提升类村庄2个，是镇域规模较大的中心村，也是实现农业农村现代化的重点突破区。村庄应优先集聚建设，优先安排村庄建设用地指标，构建新型乡村社区，完善基础设施和公共服务设施，承接周边村庄迁出人口及部分城市逆向流动人口。同时强化集约利用土地，推进农业规模化、集约化发展。</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城郊融合类村庄。</w:t>
      </w:r>
      <w:bookmarkStart w:id="0" w:name="OLE_LINK13"/>
      <w:r>
        <w:rPr>
          <w:rFonts w:eastAsia="仿宋_GB2312" w:cs="Times New Roman"/>
          <w:sz w:val="32"/>
          <w:szCs w:val="32"/>
        </w:rPr>
        <w:t>划定城郊融合类村庄2个，</w:t>
      </w:r>
      <w:bookmarkEnd w:id="0"/>
      <w:r>
        <w:rPr>
          <w:rFonts w:eastAsia="仿宋_GB2312" w:cs="Times New Roman"/>
          <w:sz w:val="32"/>
          <w:szCs w:val="32"/>
        </w:rPr>
        <w:t>此类村庄的发展要注重做好与城镇的衔接，积极推动村改居，承接新型城镇化人口转移与产业发展的功能，延伸农业产业链，统筹工业化、城镇化和村庄自身发展，加快城乡产业融合发展、基础设施互联互通、公共服务共建共享，在形态上保留乡村风貌，服务城镇发展，为城乡融合发展提供实践经验。以发展城镇相关的服务业为主，逐渐引导村民入园务工，实现就地城镇化，基础设施和公共服务设施按照城镇居住区标准进行配套建设。</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其它一般类。</w:t>
      </w:r>
      <w:bookmarkStart w:id="1" w:name="_Hlk213426760"/>
      <w:r>
        <w:rPr>
          <w:rFonts w:eastAsia="仿宋_GB2312" w:cs="Times New Roman"/>
          <w:sz w:val="32"/>
          <w:szCs w:val="32"/>
        </w:rPr>
        <w:t>划定其他一般类村庄12个，</w:t>
      </w:r>
      <w:bookmarkEnd w:id="1"/>
      <w:r>
        <w:rPr>
          <w:rFonts w:eastAsia="仿宋_GB2312" w:cs="Times New Roman"/>
          <w:sz w:val="32"/>
          <w:szCs w:val="32"/>
        </w:rPr>
        <w:t>此类村庄发展现状、区位条件、资源禀赋等无明显的特色；以传统产业为主，人口相对稳定，未出现大规模空心化和大规模外来人口。对于此类村庄，近期合理控制其规模，因地制宜完善村庄各项配套设施，合理保障村庄民生发展和三产融合发展需要的建设用地。未来根据实际情况，因地制宜的调整此类村庄分类，推动实现乡村振兴。</w:t>
      </w:r>
    </w:p>
    <w:p>
      <w:pPr>
        <w:pStyle w:val="15"/>
        <w:spacing w:beforeLines="0" w:before="0" w:afterLines="0" w:after="0" w:line="560" w:lineRule="exact"/>
        <w:ind w:firstLineChars="0" w:firstLine="0"/>
        <w:jc w:val="center"/>
        <w:rPr>
          <w:rFonts w:eastAsia="仿宋_GB2312" w:cs="Times New Roman"/>
          <w:sz w:val="32"/>
          <w:szCs w:val="32"/>
        </w:rPr>
      </w:pPr>
      <w:r>
        <w:rPr>
          <w:rFonts w:eastAsia="黑体" w:cs="Times New Roman"/>
          <w:sz w:val="30"/>
          <w:szCs w:val="30"/>
        </w:rPr>
        <w:t>表</w:t>
      </w:r>
      <w:r>
        <w:rPr>
          <w:rFonts w:eastAsia="黑体" w:cs="Times New Roman" w:hint="eastAsia"/>
          <w:sz w:val="30"/>
          <w:szCs w:val="30"/>
        </w:rPr>
        <w:t>2</w:t>
      </w:r>
      <w:r>
        <w:rPr>
          <w:rFonts w:eastAsia="黑体" w:cs="Times New Roman"/>
          <w:sz w:val="30"/>
          <w:szCs w:val="30"/>
        </w:rPr>
        <w:t xml:space="preserve"> 村庄分类一览表</w:t>
      </w:r>
    </w:p>
    <w:tbl>
      <w:tblPr>
        <w:jc w:val="cent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61"/>
        <w:gridCol w:w="6735"/>
      </w:tblGrid>
      <w:tr>
        <w:trPr>
          <w:trHeight w:val="90"/>
          <w:tblHeader/>
        </w:trPr>
        <w:tc>
          <w:tcPr>
            <w:tcW w:w="941" w:type="pct"/>
            <w:tcBorders>
              <w:top w:val="single" w:sz="2" w:space="0" w:color="000000"/>
              <w:bottom w:val="single" w:sz="2" w:space="0" w:color="000000"/>
            </w:tcBorders>
            <w:vAlign w:val="center"/>
          </w:tcPr>
          <w:p>
            <w:pPr>
              <w:pStyle w:val="17"/>
              <w:spacing w:line="240" w:lineRule="auto"/>
              <w:jc w:val="center"/>
              <w:rPr>
                <w:rFonts w:ascii="黑体" w:eastAsia="黑体" w:cs="Times New Roman" w:hAnsi="黑体" w:hint="eastAsia"/>
                <w:sz w:val="28"/>
                <w:szCs w:val="21"/>
              </w:rPr>
            </w:pPr>
            <w:r>
              <w:rPr>
                <w:rFonts w:ascii="黑体" w:eastAsia="黑体" w:cs="Times New Roman" w:hAnsi="黑体"/>
                <w:sz w:val="28"/>
                <w:szCs w:val="21"/>
              </w:rPr>
              <w:t>村庄类型</w:t>
            </w:r>
          </w:p>
        </w:tc>
        <w:tc>
          <w:tcPr>
            <w:tcW w:w="4059" w:type="pct"/>
            <w:tcBorders>
              <w:top w:val="single" w:sz="2" w:space="0" w:color="000000"/>
              <w:bottom w:val="single" w:sz="2" w:space="0" w:color="000000"/>
            </w:tcBorders>
            <w:vAlign w:val="center"/>
          </w:tcPr>
          <w:p>
            <w:pPr>
              <w:pStyle w:val="17"/>
              <w:spacing w:line="240" w:lineRule="auto"/>
              <w:jc w:val="center"/>
              <w:rPr>
                <w:rFonts w:ascii="黑体" w:eastAsia="黑体" w:cs="Times New Roman" w:hAnsi="黑体" w:hint="eastAsia"/>
                <w:sz w:val="28"/>
                <w:szCs w:val="21"/>
              </w:rPr>
            </w:pPr>
            <w:r>
              <w:rPr>
                <w:rFonts w:ascii="黑体" w:eastAsia="黑体" w:cs="Times New Roman" w:hAnsi="黑体"/>
                <w:sz w:val="28"/>
                <w:szCs w:val="21"/>
              </w:rPr>
              <w:t>村庄名称</w:t>
            </w:r>
          </w:p>
        </w:tc>
      </w:tr>
      <w:tr>
        <w:trPr>
          <w:trHeight w:val="20"/>
        </w:trPr>
        <w:tc>
          <w:tcPr>
            <w:tcW w:w="941" w:type="pct"/>
            <w:tcBorders>
              <w:top w:val="single" w:sz="2" w:space="0" w:color="000000"/>
              <w:bottom w:val="single" w:sz="2" w:space="0" w:color="000000"/>
            </w:tcBorders>
            <w:vAlign w:val="center"/>
          </w:tcPr>
          <w:p>
            <w:pPr>
              <w:pStyle w:val="17"/>
              <w:spacing w:line="240" w:lineRule="auto"/>
              <w:jc w:val="center"/>
              <w:rPr>
                <w:rFonts w:ascii="Times New Roman" w:cs="Times New Roman" w:hAnsi="Times New Roman"/>
                <w:sz w:val="28"/>
                <w:szCs w:val="21"/>
              </w:rPr>
            </w:pPr>
            <w:r>
              <w:rPr>
                <w:rFonts w:ascii="Times New Roman" w:cs="Times New Roman" w:hAnsi="Times New Roman"/>
                <w:sz w:val="28"/>
                <w:szCs w:val="21"/>
              </w:rPr>
              <w:t>集聚提升类</w:t>
            </w:r>
          </w:p>
        </w:tc>
        <w:tc>
          <w:tcPr>
            <w:tcW w:w="4059" w:type="pct"/>
            <w:tcBorders>
              <w:top w:val="single" w:sz="2" w:space="0" w:color="000000"/>
              <w:bottom w:val="single" w:sz="2" w:space="0" w:color="000000"/>
            </w:tcBorders>
            <w:vAlign w:val="center"/>
          </w:tcPr>
          <w:p>
            <w:pPr>
              <w:pStyle w:val="17"/>
              <w:spacing w:line="240" w:lineRule="auto"/>
              <w:rPr>
                <w:rFonts w:ascii="Times New Roman" w:cs="Times New Roman" w:hAnsi="Times New Roman"/>
                <w:sz w:val="28"/>
                <w:szCs w:val="21"/>
              </w:rPr>
            </w:pPr>
            <w:r>
              <w:rPr>
                <w:rFonts w:ascii="Times New Roman" w:cs="Times New Roman" w:hAnsi="Times New Roman"/>
                <w:sz w:val="28"/>
                <w:szCs w:val="21"/>
              </w:rPr>
              <w:t>多隆村、那道村</w:t>
            </w:r>
          </w:p>
        </w:tc>
      </w:tr>
      <w:tr>
        <w:trPr>
          <w:trHeight w:val="20"/>
        </w:trPr>
        <w:tc>
          <w:tcPr>
            <w:tcW w:w="941" w:type="pct"/>
            <w:tcBorders>
              <w:top w:val="single" w:sz="2" w:space="0" w:color="000000"/>
              <w:bottom w:val="single" w:sz="2" w:space="0" w:color="000000"/>
            </w:tcBorders>
            <w:vAlign w:val="center"/>
          </w:tcPr>
          <w:p>
            <w:pPr>
              <w:pStyle w:val="17"/>
              <w:spacing w:line="240" w:lineRule="auto"/>
              <w:jc w:val="center"/>
              <w:rPr>
                <w:rFonts w:ascii="Times New Roman" w:cs="Times New Roman" w:hAnsi="Times New Roman"/>
                <w:sz w:val="28"/>
                <w:szCs w:val="21"/>
              </w:rPr>
            </w:pPr>
            <w:r>
              <w:rPr>
                <w:rFonts w:ascii="Times New Roman" w:cs="Times New Roman" w:hAnsi="Times New Roman"/>
                <w:sz w:val="28"/>
                <w:szCs w:val="21"/>
              </w:rPr>
              <w:t>城郊融合类</w:t>
            </w:r>
          </w:p>
        </w:tc>
        <w:tc>
          <w:tcPr>
            <w:tcW w:w="4059" w:type="pct"/>
            <w:tcBorders>
              <w:top w:val="single" w:sz="2" w:space="0" w:color="000000"/>
              <w:bottom w:val="single" w:sz="2" w:space="0" w:color="000000"/>
            </w:tcBorders>
            <w:vAlign w:val="center"/>
          </w:tcPr>
          <w:p>
            <w:pPr>
              <w:pStyle w:val="17"/>
              <w:spacing w:line="240" w:lineRule="auto"/>
              <w:rPr>
                <w:rFonts w:ascii="Times New Roman" w:cs="Times New Roman" w:hAnsi="Times New Roman"/>
                <w:sz w:val="28"/>
                <w:szCs w:val="21"/>
              </w:rPr>
            </w:pPr>
            <w:r>
              <w:rPr>
                <w:rFonts w:ascii="Times New Roman" w:cs="Times New Roman" w:hAnsi="Times New Roman"/>
                <w:sz w:val="28"/>
                <w:szCs w:val="21"/>
              </w:rPr>
              <w:t>东联村、</w:t>
            </w:r>
            <w:r>
              <w:rPr>
                <w:rFonts w:ascii="仿宋" w:eastAsia="仿宋" w:cs="Times New Roman" w:hAnsi="仿宋"/>
                <w:sz w:val="28"/>
                <w:szCs w:val="21"/>
              </w:rPr>
              <w:t>榃</w:t>
            </w:r>
            <w:r>
              <w:rPr>
                <w:rFonts w:ascii="Times New Roman" w:cs="Times New Roman" w:hAnsi="Times New Roman"/>
                <w:sz w:val="28"/>
                <w:szCs w:val="21"/>
              </w:rPr>
              <w:t>头村</w:t>
            </w:r>
          </w:p>
        </w:tc>
      </w:tr>
      <w:tr>
        <w:trPr>
          <w:trHeight w:val="20"/>
        </w:trPr>
        <w:tc>
          <w:tcPr>
            <w:tcW w:w="941" w:type="pct"/>
            <w:tcBorders>
              <w:top w:val="single" w:sz="2" w:space="0" w:color="000000"/>
              <w:bottom w:val="single" w:sz="2" w:space="0" w:color="000000"/>
            </w:tcBorders>
            <w:vAlign w:val="center"/>
          </w:tcPr>
          <w:p>
            <w:pPr>
              <w:pStyle w:val="17"/>
              <w:spacing w:line="240" w:lineRule="auto"/>
              <w:jc w:val="center"/>
              <w:rPr>
                <w:rFonts w:ascii="Times New Roman" w:cs="Times New Roman" w:hAnsi="Times New Roman"/>
                <w:sz w:val="28"/>
                <w:szCs w:val="21"/>
              </w:rPr>
            </w:pPr>
            <w:r>
              <w:rPr>
                <w:rFonts w:ascii="Times New Roman" w:cs="Times New Roman" w:hAnsi="Times New Roman"/>
                <w:sz w:val="28"/>
                <w:szCs w:val="21"/>
              </w:rPr>
              <w:t>其它一般类</w:t>
            </w:r>
          </w:p>
        </w:tc>
        <w:tc>
          <w:tcPr>
            <w:tcW w:w="4059" w:type="pct"/>
            <w:tcBorders>
              <w:top w:val="single" w:sz="2" w:space="0" w:color="000000"/>
              <w:bottom w:val="single" w:sz="2" w:space="0" w:color="000000"/>
            </w:tcBorders>
            <w:vAlign w:val="center"/>
          </w:tcPr>
          <w:p>
            <w:pPr>
              <w:pStyle w:val="17"/>
              <w:spacing w:line="240" w:lineRule="auto"/>
              <w:rPr>
                <w:rFonts w:ascii="Times New Roman" w:cs="Times New Roman" w:hAnsi="Times New Roman"/>
                <w:sz w:val="28"/>
                <w:szCs w:val="21"/>
              </w:rPr>
            </w:pPr>
            <w:r>
              <w:rPr>
                <w:rFonts w:ascii="Times New Roman" w:cs="Times New Roman" w:hAnsi="Times New Roman"/>
                <w:sz w:val="28"/>
                <w:szCs w:val="21"/>
              </w:rPr>
              <w:t>那学村、中花村、那料村、那兰村、吉水村、逍遥村、板董村、奇陵村、</w:t>
            </w:r>
            <w:r>
              <w:rPr>
                <w:rFonts w:ascii="仿宋" w:eastAsia="仿宋" w:cs="Times New Roman" w:hAnsi="仿宋"/>
                <w:sz w:val="28"/>
                <w:szCs w:val="21"/>
              </w:rPr>
              <w:t>榃</w:t>
            </w:r>
            <w:r>
              <w:rPr>
                <w:rFonts w:ascii="Times New Roman" w:cs="Times New Roman" w:hAnsi="Times New Roman"/>
                <w:sz w:val="28"/>
                <w:szCs w:val="21"/>
              </w:rPr>
              <w:t>楼村、龙眼村、西陵村、那陵村</w:t>
            </w:r>
          </w:p>
        </w:tc>
      </w:tr>
    </w:tbl>
    <w:p>
      <w:pPr>
        <w:spacing w:beforeLines="0" w:before="0" w:afterLines="0" w:after="0" w:line="560" w:lineRule="exact"/>
        <w:ind w:firstLineChars="0" w:firstLine="0"/>
        <w:jc w:val="left"/>
        <w:rPr>
          <w:rFonts w:eastAsia="黑体" w:cs="Times New Roman"/>
          <w:sz w:val="32"/>
          <w:szCs w:val="32"/>
        </w:rPr>
      </w:pPr>
      <w:r>
        <w:rPr>
          <w:rFonts w:eastAsia="黑体" w:cs="Times New Roman" w:hint="eastAsia"/>
          <w:sz w:val="32"/>
          <w:szCs w:val="32"/>
        </w:rPr>
        <w:t>五、</w:t>
      </w:r>
      <w:r>
        <w:rPr>
          <w:rFonts w:eastAsia="黑体" w:cs="Times New Roman"/>
          <w:sz w:val="32"/>
          <w:szCs w:val="32"/>
        </w:rPr>
        <w:t>镇人民政府驻地用地布局规划</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镇人民政府驻地用地布局规划是对上为县级国土空间总体规划中划定城镇开发边界的落实，以镇人民政府驻地用地的集中连片城镇开发边界为基础，同时保持规划管理的刚性和完整性，以自然水系、道路等为边界适当向城镇开发边界四周拓展，形成镇人民政府驻地用地规划范围。</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小董镇人民政府驻地用地规划范围总面积208.67公顷，其中城镇开发边界内用地规模为208.67公顷（不含零星城镇建设用地）。城镇开发边界内居住用地116.99公顷，公共管理与公共服务用地28.45公顷，商业服务业用地20.84公顷，交通运输用地27.41公顷，公用设施用地2.65公顷，绿地与开敞空间用地12.04公顷，留白用地0.29公顷。</w:t>
      </w:r>
    </w:p>
    <w:p>
      <w:pPr>
        <w:pStyle w:val="15"/>
        <w:spacing w:beforeLines="0" w:before="0" w:afterLines="0" w:after="0" w:line="560" w:lineRule="exact"/>
        <w:rPr>
          <w:rFonts w:eastAsia="仿宋_GB2312" w:cs="Times New Roman"/>
          <w:sz w:val="32"/>
          <w:szCs w:val="32"/>
        </w:rPr>
      </w:pPr>
      <w:r>
        <w:rPr>
          <w:rFonts w:eastAsia="仿宋_GB2312" w:cs="Times New Roman"/>
          <w:sz w:val="32"/>
          <w:szCs w:val="32"/>
        </w:rPr>
        <w:t>科学优化城镇居住用地布局，聚焦“一老一小”核心需求，重点完善优质普惠的文化、教育、医疗卫生、养老托育、体育健身、便民商业等嵌入式服务设施，构筑镇区一刻钟便民生活圈的服务核心。盘活“金角银边”等闲置空间，增建口袋公园与全龄友好活动场地，优化提升镇区及产业园主要道路网络并衔接慢行系统，强化街巷沿线商业用地培育，植入“小修小补”、社区便民服务等多元业态，打造宜居宜业的生活场景。</w:t>
      </w:r>
      <w:bookmarkStart w:id="2" w:name="_GoBack"/>
      <w:bookmarkEnd w:id="2"/>
    </w:p>
    <w:sectPr>
      <w:headerReference w:type="default" r:id="rId2"/>
      <w:headerReference w:type="even" r:id="rId3"/>
      <w:headerReference w:type="first" r:id="rId4"/>
      <w:footerReference w:type="default" r:id="rId5"/>
      <w:footerReference w:type="even" r:id="rId6"/>
      <w:footerReference w:type="first" r:id="rId7"/>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楷体_GB2312">
    <w:altName w:val="微软雅黑"/>
    <w:panose1 w:val="02010609030101010101"/>
    <w:charset w:val="86"/>
    <w:family w:val="modern"/>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sz w:val="21"/>
        <w:szCs w:val="21"/>
      </w:rPr>
      <w:id w:val="2018236014"/>
      <w:docPartObj>
        <w:docPartGallery w:val="Page Numbers (Bottom of Page)"/>
        <w:docPartUnique/>
      </w:docPartObj>
    </w:sdtPr>
    <w:sdtContent>
      <w:p>
        <w:pPr>
          <w:pStyle w:val="19"/>
          <w:tabs>
            <w:tab w:val="center" w:pos="4153"/>
            <w:tab w:val="right" w:pos="8306"/>
          </w:tabs>
          <w:spacing w:beforeLines="0" w:before="72" w:afterLines="0" w:after="72"/>
          <w:ind w:firstLineChars="0" w:firstLine="0"/>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spacing w:beforeLines="0" w:before="72" w:afterLines="0" w:after="72"/>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spacing w:beforeLines="0" w:before="72" w:afterLines="0" w:after="72"/>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spacing w:beforeLines="0" w:before="72" w:afterLines="0" w:after="72"/>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spacing w:beforeLines="0" w:before="72" w:afterLines="0" w:after="72"/>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spacing w:beforeLines="0" w:before="72" w:afterLines="0" w:after="72"/>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9FF21AC"/>
    <w:multiLevelType w:val="hybridMultilevel"/>
    <w:tmpl w:val="9ED82C4E"/>
    <w:lvl w:ilvl="0">
      <w:start w:val="1"/>
      <w:numFmt w:val="japaneseCounting"/>
      <w:lvlRestart w:val="0"/>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0000003"/>
    <w:multiLevelType w:val="multilevel"/>
    <w:tmpl w:val="00000003"/>
    <w:lvl w:ilvl="0">
      <w:start w:val="1"/>
      <w:numFmt w:val="none"/>
      <w:lvlRestart w:val="0"/>
      <w:pStyle w:val="20"/>
      <w:lvlText w:val="表"/>
      <w:lvlJc w:val="left"/>
      <w:pPr>
        <w:tabs>
          <w:tab w:val="num" w:pos="360"/>
        </w:tabs>
        <w:ind w:left="0" w:hanging="0"/>
      </w:pPr>
      <w:rPr>
        <w:rFonts w:ascii="黑体" w:hAns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lvlOverride w:ilvl="0">
      <w:lvl w:ilvl="0">
        <w:start w:val="1"/>
        <w:numFmt w:val="none"/>
        <w:lvlRestart w:val="0"/>
        <w:lvlText w:val="表"/>
        <w:lvlJc w:val="left"/>
        <w:pPr>
          <w:tabs>
            <w:tab w:val="num" w:pos="360"/>
          </w:tabs>
          <w:ind w:left="0" w:hanging="0"/>
        </w:pPr>
        <w:rPr>
          <w:rFonts w:ascii="黑体" w:hAnsi="黑体" w:eastAsia="黑体" w:hint="eastAsia"/>
          <w:b w:val="0"/>
          <w:i w:val="0"/>
          <w:sz w:val="21"/>
        </w:rPr>
      </w:lvl>
      <w:startOverride w:val="1"/>
    </w:lvlOverride>
    <w:lvlOverride w:ilvl="1">
      <w:lvl w:ilvl="1">
        <w:start w:val="1"/>
        <w:numFmt w:val="lowerLetter"/>
        <w:lvlText w:val="%2)"/>
        <w:lvlJc w:val="left"/>
        <w:pPr>
          <w:tabs>
            <w:tab w:val="num" w:pos="840"/>
          </w:tabs>
          <w:ind w:left="840" w:hanging="420"/>
        </w:pPr>
      </w:lvl>
      <w:startOverride w:val="1"/>
    </w:lvlOverride>
    <w:lvlOverride w:ilvl="2">
      <w:lvl w:ilvl="2">
        <w:start w:val="1"/>
        <w:numFmt w:val="lowerRoman"/>
        <w:lvlText w:val="%3."/>
        <w:lvlJc w:val="right"/>
        <w:pPr>
          <w:tabs>
            <w:tab w:val="num" w:pos="1260"/>
          </w:tabs>
          <w:ind w:left="1260" w:hanging="420"/>
        </w:pPr>
      </w:lvl>
      <w:startOverride w:val="1"/>
    </w:lvlOverride>
    <w:lvlOverride w:ilvl="3">
      <w:lvl w:ilvl="3">
        <w:start w:val="1"/>
        <w:numFmt w:val="decimal"/>
        <w:lvlText w:val="%4."/>
        <w:lvlJc w:val="left"/>
        <w:pPr>
          <w:tabs>
            <w:tab w:val="num" w:pos="1680"/>
          </w:tabs>
          <w:ind w:left="1680" w:hanging="420"/>
        </w:pPr>
      </w:lvl>
      <w:startOverride w:val="1"/>
    </w:lvlOverride>
    <w:lvlOverride w:ilvl="4">
      <w:lvl w:ilvl="4">
        <w:start w:val="1"/>
        <w:numFmt w:val="lowerLetter"/>
        <w:lvlText w:val="%5)"/>
        <w:lvlJc w:val="left"/>
        <w:pPr>
          <w:tabs>
            <w:tab w:val="num" w:pos="2100"/>
          </w:tabs>
          <w:ind w:left="2100" w:hanging="420"/>
        </w:pPr>
      </w:lvl>
      <w:startOverride w:val="1"/>
    </w:lvlOverride>
    <w:lvlOverride w:ilvl="5">
      <w:lvl w:ilvl="5">
        <w:start w:val="1"/>
        <w:numFmt w:val="lowerRoman"/>
        <w:lvlText w:val="%6."/>
        <w:lvlJc w:val="right"/>
        <w:pPr>
          <w:tabs>
            <w:tab w:val="num" w:pos="2520"/>
          </w:tabs>
          <w:ind w:left="2520" w:hanging="420"/>
        </w:pPr>
      </w:lvl>
      <w:startOverride w:val="1"/>
    </w:lvlOverride>
    <w:lvlOverride w:ilvl="6">
      <w:lvl w:ilvl="6">
        <w:start w:val="1"/>
        <w:numFmt w:val="decimal"/>
        <w:lvlText w:val="%7."/>
        <w:lvlJc w:val="left"/>
        <w:pPr>
          <w:tabs>
            <w:tab w:val="num" w:pos="2940"/>
          </w:tabs>
          <w:ind w:left="2940" w:hanging="420"/>
        </w:pPr>
      </w:lvl>
      <w:startOverride w:val="1"/>
    </w:lvlOverride>
    <w:lvlOverride w:ilvl="7">
      <w:lvl w:ilvl="7">
        <w:start w:val="1"/>
        <w:numFmt w:val="lowerLetter"/>
        <w:lvlText w:val="%8)"/>
        <w:lvlJc w:val="left"/>
        <w:pPr>
          <w:tabs>
            <w:tab w:val="num" w:pos="3360"/>
          </w:tabs>
          <w:ind w:left="3360" w:hanging="420"/>
        </w:pPr>
      </w:lvl>
      <w:startOverride w:val="1"/>
    </w:lvlOverride>
    <w:lvlOverride w:ilvl="8">
      <w:lvl w:ilvl="8">
        <w:start w:val="1"/>
        <w:numFmt w:val="lowerRoman"/>
        <w:lvlText w:val="%9."/>
        <w:lvlJc w:val="right"/>
        <w:pPr>
          <w:tabs>
            <w:tab w:val="num" w:pos="3780"/>
          </w:tabs>
          <w:ind w:left="3780" w:hanging="420"/>
        </w:pPr>
      </w:lvl>
      <w:startOverride w:val="1"/>
    </w:lvlOverride>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40"/>
  <w:drawingGridVerticalSpacing w:val="190"/>
  <w:displayHorizontalDrawingGridEvery w:val="0"/>
  <w:displayVerticalDrawingGridEvery w:val="1"/>
  <w:savePreviewPicture/>
  <w:compat>
    <w:spaceForUL/>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spacing w:beforeLines="30" w:before="30" w:afterLines="30" w:after="30" w:line="360" w:lineRule="auto"/>
      <w:ind w:firstLineChars="200" w:firstLine="200"/>
      <w:jc w:val="both"/>
    </w:pPr>
    <w:rPr>
      <w:rFonts w:ascii="Times New Roman" w:eastAsia="等线" w:cs="Arial" w:hAnsi="Times New Roman"/>
      <w:kern w:val="2"/>
      <w:sz w:val="28"/>
      <w:szCs w:val="22"/>
      <w:lang w:val="en-US" w:eastAsia="zh-CN" w:bidi="ar-SA"/>
    </w:rPr>
  </w:style>
  <w:style w:type="paragraph" w:styleId="1">
    <w:name w:val="heading 1"/>
    <w:basedOn w:val="0"/>
    <w:next w:val="0"/>
    <w:pPr>
      <w:keepNext/>
      <w:keepLines/>
      <w:spacing w:beforeLines="0" w:before="340" w:afterLines="0" w:after="330" w:line="578" w:lineRule="auto"/>
      <w:outlineLvl w:val="0"/>
    </w:pPr>
    <w:rPr>
      <w:b/>
      <w:bCs/>
      <w:kern w:val="44"/>
      <w:sz w:val="44"/>
      <w:szCs w:val="44"/>
    </w:rPr>
  </w:style>
  <w:style w:type="paragraph" w:styleId="2">
    <w:name w:val="heading 2"/>
    <w:basedOn w:val="0"/>
    <w:next w:val="0"/>
    <w:pPr>
      <w:keepNext/>
      <w:keepLines/>
      <w:spacing w:beforeLines="0" w:before="260" w:afterLines="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Lines="0" w:before="260" w:afterLines="0" w:after="260" w:line="415" w:lineRule="auto"/>
      <w:outlineLvl w:val="2"/>
    </w:pPr>
    <w:rPr>
      <w:b/>
      <w:bCs/>
      <w:sz w:val="32"/>
      <w:szCs w:val="32"/>
    </w:rPr>
  </w:style>
  <w:style w:type="character" w:default="1" w:styleId="10">
    <w:name w:val="Default Paragraph Font"/>
  </w:style>
  <w:style w:type="paragraph" w:styleId="15">
    <w:name w:val="List Paragraph"/>
    <w:basedOn w:val="0"/>
  </w:style>
  <w:style w:type="paragraph" w:customStyle="1" w:styleId="16">
    <w:name w:val="报告正文"/>
    <w:basedOn w:val="0"/>
    <w:pPr>
      <w:spacing w:beforeLines="0" w:before="0" w:afterLines="0" w:after="0" w:line="600" w:lineRule="exact"/>
    </w:pPr>
    <w:rPr>
      <w:rFonts w:ascii="仿宋_GB2312" w:eastAsia="仿宋_GB2312" w:hAnsi="仿宋"/>
      <w:sz w:val="32"/>
      <w:szCs w:val="28"/>
    </w:rPr>
  </w:style>
  <w:style w:type="paragraph" w:customStyle="1" w:styleId="17">
    <w:name w:val="专栏正文"/>
    <w:basedOn w:val="0"/>
    <w:pPr>
      <w:widowControl/>
      <w:spacing w:beforeLines="0" w:before="0" w:afterLines="0" w:after="0" w:line="500" w:lineRule="exact"/>
      <w:ind w:firstLineChars="0" w:firstLine="0"/>
      <w:jc w:val="left"/>
    </w:pPr>
    <w:rPr>
      <w:rFonts w:ascii="仿宋_GB2312" w:eastAsia="仿宋_GB2312"/>
      <w:sz w:val="24"/>
    </w:rPr>
  </w:style>
  <w:style w:type="paragraph" w:styleId="18">
    <w:name w:val="header"/>
    <w:basedOn w:val="0"/>
    <w:pPr>
      <w:tabs>
        <w:tab w:val="center" w:pos="4153"/>
        <w:tab w:val="right" w:pos="8306"/>
      </w:tabs>
      <w:snapToGrid w:val="0"/>
      <w:spacing w:line="240" w:lineRule="auto"/>
      <w:jc w:val="center"/>
    </w:pPr>
    <w:rPr>
      <w:sz w:val="18"/>
      <w:szCs w:val="18"/>
    </w:rPr>
  </w:style>
  <w:style w:type="paragraph" w:styleId="19">
    <w:name w:val="footer"/>
    <w:basedOn w:val="0"/>
    <w:pPr>
      <w:tabs>
        <w:tab w:val="center" w:pos="4153"/>
        <w:tab w:val="right" w:pos="8306"/>
      </w:tabs>
      <w:snapToGrid w:val="0"/>
      <w:spacing w:line="240" w:lineRule="auto"/>
      <w:jc w:val="left"/>
    </w:pPr>
    <w:rPr>
      <w:sz w:val="18"/>
      <w:szCs w:val="18"/>
    </w:rPr>
  </w:style>
  <w:style w:type="paragraph" w:customStyle="1" w:styleId="20">
    <w:name w:val="附录表标题"/>
    <w:next w:val="0"/>
    <w:pPr>
      <w:numPr>
        <w:ilvl w:val="0"/>
        <w:numId w:val="2"/>
      </w:numPr>
      <w:jc w:val="center"/>
    </w:pPr>
    <w:rPr>
      <w:rFonts w:ascii="黑体" w:eastAsia="黑体" w:cs="Times New Roman" w:hAnsi="Calibri"/>
      <w:kern w:val="21"/>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19</TotalTime>
  <Application>Yozo_Office27021597764231179</Application>
  <Pages>8</Pages>
  <Words>0</Words>
  <Characters>3016</Characters>
  <Lines>0</Lines>
  <Paragraphs>41</Paragraphs>
  <CharactersWithSpaces>4022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lbzmail@qq.com</dc:creator>
  <cp:lastModifiedBy>User</cp:lastModifiedBy>
  <cp:revision>34</cp:revision>
  <dcterms:created xsi:type="dcterms:W3CDTF">2025-11-29T12:41:00Z</dcterms:created>
  <dcterms:modified xsi:type="dcterms:W3CDTF">2025-12-04T07:37:14Z</dcterms:modified>
</cp:coreProperties>
</file>