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widowControl/>
        <w:ind w:firstLineChars="200" w:firstLine="720"/>
        <w:jc w:val="center"/>
        <w:rPr>
          <w:rFonts w:ascii="宋体" w:eastAsia="宋体" w:cs="宋体" w:hAnsi="宋体"/>
          <w:b/>
          <w:bCs/>
          <w:color w:val="auto"/>
          <w:kern w:val="0"/>
          <w:sz w:val="36"/>
          <w:szCs w:val="36"/>
        </w:rPr>
      </w:pPr>
    </w:p>
    <w:p>
      <w:pPr>
        <w:widowControl/>
        <w:jc w:val="center"/>
        <w:rPr>
          <w:rFonts w:ascii="宋体" w:eastAsia="宋体" w:cs="宋体" w:hAnsi="宋体" w:hint="eastAsia"/>
          <w:b/>
          <w:bCs/>
          <w:color w:val="auto"/>
          <w:kern w:val="0"/>
          <w:sz w:val="44"/>
          <w:szCs w:val="44"/>
        </w:rPr>
      </w:pPr>
      <w:r>
        <w:rPr>
          <w:rFonts w:ascii="宋体" w:eastAsia="宋体" w:cs="宋体" w:hAnsi="宋体" w:hint="eastAsia"/>
          <w:b/>
          <w:bCs/>
          <w:color w:val="auto"/>
          <w:kern w:val="0"/>
          <w:sz w:val="44"/>
          <w:szCs w:val="44"/>
          <w:lang w:eastAsia="zh-CN"/>
        </w:rPr>
        <w:t>钦州皇马资产经营集团有限公司大直加油站项目</w:t>
      </w:r>
      <w:r>
        <w:rPr>
          <w:rFonts w:ascii="宋体" w:eastAsia="宋体" w:cs="宋体" w:hAnsi="宋体" w:hint="eastAsia"/>
          <w:b/>
          <w:bCs/>
          <w:color w:val="auto"/>
          <w:kern w:val="0"/>
          <w:sz w:val="44"/>
          <w:szCs w:val="44"/>
        </w:rPr>
        <w:t>独立地块详细规划</w:t>
      </w: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val="0"/>
          <w:bCs w:val="0"/>
          <w:color w:val="auto"/>
          <w:kern w:val="0"/>
          <w:sz w:val="32"/>
          <w:szCs w:val="32"/>
          <w:lang w:eastAsia="zh-CN"/>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pStyle w:val="17"/>
        <w:rPr>
          <w:rFonts w:ascii="宋体" w:eastAsia="宋体" w:cs="宋体" w:hAnsi="宋体"/>
          <w:b/>
          <w:bCs/>
          <w:color w:val="auto"/>
          <w:kern w:val="0"/>
          <w:sz w:val="36"/>
          <w:szCs w:val="36"/>
        </w:rPr>
      </w:pPr>
    </w:p>
    <w:p>
      <w:pPr>
        <w:rPr>
          <w:rFonts w:ascii="宋体" w:eastAsia="宋体" w:cs="宋体" w:hAnsi="宋体"/>
          <w:b/>
          <w:bCs/>
          <w:color w:val="auto"/>
          <w:kern w:val="0"/>
          <w:sz w:val="36"/>
          <w:szCs w:val="36"/>
        </w:rPr>
      </w:pPr>
    </w:p>
    <w:p>
      <w:pPr>
        <w:rPr>
          <w:color w:val="auto"/>
        </w:rPr>
      </w:pPr>
    </w:p>
    <w:p>
      <w:pPr>
        <w:pStyle w:val="31"/>
        <w:keepNext w:val="0"/>
        <w:keepLines w:val="0"/>
        <w:pageBreakBefore w:val="0"/>
        <w:widowControl w:val="0"/>
        <w:kinsoku/>
        <w:wordWrap/>
        <w:overflowPunct/>
        <w:topLinePunct w:val="0"/>
        <w:autoSpaceDE/>
        <w:autoSpaceDN/>
        <w:bidi w:val="0"/>
        <w:adjustRightInd w:val="0"/>
        <w:snapToGrid w:val="0"/>
        <w:spacing w:beforeLines="150" w:before="468" w:line="240" w:lineRule="auto"/>
        <w:ind w:firstLineChars="300" w:firstLine="960"/>
        <w:jc w:val="left"/>
        <w:textAlignment w:val="auto"/>
        <w:rPr>
          <w:rFonts w:ascii="Times New Roman" w:eastAsia="黑体" w:hAnsi="Times New Roman" w:hint="eastAsia"/>
          <w:b/>
          <w:bCs/>
          <w:color w:val="auto"/>
          <w:sz w:val="32"/>
          <w:szCs w:val="32"/>
          <w:lang w:eastAsia="zh-CN"/>
          <w:highlight w:val="auto"/>
        </w:rPr>
      </w:pPr>
      <w:r>
        <w:rPr>
          <w:rFonts w:ascii="Times New Roman" w:eastAsia="黑体" w:hAnsi="Times New Roman" w:hint="eastAsia"/>
          <w:b/>
          <w:bCs/>
          <w:color w:val="auto"/>
          <w:sz w:val="32"/>
          <w:szCs w:val="32"/>
          <w:lang w:eastAsia="zh-CN"/>
          <w:highlight w:val="auto"/>
        </w:rPr>
        <w:t>委托单位：钦州市钦北区自然资源局</w:t>
      </w:r>
    </w:p>
    <w:p>
      <w:pPr>
        <w:pStyle w:val="31"/>
        <w:keepNext w:val="0"/>
        <w:keepLines w:val="0"/>
        <w:pageBreakBefore w:val="0"/>
        <w:widowControl w:val="0"/>
        <w:kinsoku/>
        <w:wordWrap/>
        <w:overflowPunct/>
        <w:topLinePunct w:val="0"/>
        <w:autoSpaceDE/>
        <w:autoSpaceDN/>
        <w:bidi w:val="0"/>
        <w:adjustRightInd w:val="0"/>
        <w:snapToGrid w:val="0"/>
        <w:spacing w:beforeLines="150" w:before="468" w:line="240" w:lineRule="auto"/>
        <w:ind w:firstLineChars="300" w:firstLine="960"/>
        <w:jc w:val="left"/>
        <w:textAlignment w:val="auto"/>
        <w:rPr>
          <w:rFonts w:ascii="Times New Roman" w:eastAsia="黑体" w:hAnsi="Times New Roman" w:hint="eastAsia"/>
          <w:b/>
          <w:bCs/>
          <w:color w:val="auto"/>
          <w:sz w:val="32"/>
          <w:szCs w:val="32"/>
          <w:lang w:eastAsia="zh-CN"/>
          <w:highlight w:val="auto"/>
        </w:rPr>
      </w:pPr>
      <w:r>
        <w:rPr>
          <w:rFonts w:ascii="Times New Roman" w:eastAsia="黑体" w:hAnsi="Times New Roman"/>
          <w:b/>
          <w:bCs/>
          <w:color w:val="auto"/>
          <w:sz w:val="32"/>
          <w:szCs w:val="32"/>
          <w:highlight w:val="auto"/>
        </w:rPr>
        <w:t>编制单位：</w:t>
      </w:r>
      <w:r>
        <w:rPr>
          <w:rFonts w:ascii="Times New Roman" w:eastAsia="黑体" w:hAnsi="Times New Roman" w:hint="eastAsia"/>
          <w:b/>
          <w:bCs/>
          <w:color w:val="auto"/>
          <w:sz w:val="32"/>
          <w:szCs w:val="32"/>
          <w:highlight w:val="auto"/>
        </w:rPr>
        <w:t>广西</w:t>
      </w:r>
      <w:r>
        <w:rPr>
          <w:rFonts w:ascii="Times New Roman" w:eastAsia="黑体" w:hAnsi="Times New Roman" w:hint="eastAsia"/>
          <w:b/>
          <w:bCs/>
          <w:color w:val="auto"/>
          <w:sz w:val="32"/>
          <w:szCs w:val="32"/>
          <w:lang w:eastAsia="zh-CN"/>
          <w:highlight w:val="auto"/>
        </w:rPr>
        <w:t>海鸿技术服务</w:t>
      </w:r>
      <w:r>
        <w:rPr>
          <w:rFonts w:ascii="Times New Roman" w:eastAsia="黑体" w:hAnsi="Times New Roman" w:hint="eastAsia"/>
          <w:b/>
          <w:bCs/>
          <w:color w:val="auto"/>
          <w:sz w:val="32"/>
          <w:szCs w:val="32"/>
          <w:highlight w:val="auto"/>
        </w:rPr>
        <w:t>有限公司</w:t>
      </w:r>
    </w:p>
    <w:p>
      <w:pPr>
        <w:pStyle w:val="31"/>
        <w:keepNext w:val="0"/>
        <w:keepLines w:val="0"/>
        <w:pageBreakBefore w:val="0"/>
        <w:widowControl w:val="0"/>
        <w:kinsoku/>
        <w:wordWrap/>
        <w:overflowPunct/>
        <w:topLinePunct w:val="0"/>
        <w:autoSpaceDE/>
        <w:autoSpaceDN/>
        <w:bidi w:val="0"/>
        <w:adjustRightInd w:val="0"/>
        <w:snapToGrid w:val="0"/>
        <w:spacing w:beforeLines="150" w:before="468" w:line="240" w:lineRule="auto"/>
        <w:ind w:left="0" w:firstLineChars="300" w:firstLine="960"/>
        <w:jc w:val="left"/>
        <w:textAlignment w:val="auto"/>
        <w:rPr>
          <w:rFonts w:ascii="Times New Roman" w:eastAsia="黑体" w:hAnsi="Times New Roman"/>
          <w:b/>
          <w:bCs/>
          <w:color w:val="auto"/>
          <w:sz w:val="32"/>
          <w:szCs w:val="32"/>
          <w:lang w:val="en-US" w:eastAsia="zh-CN"/>
          <w:highlight w:val="auto"/>
        </w:rPr>
      </w:pPr>
      <w:r>
        <w:rPr>
          <w:rFonts w:ascii="Times New Roman" w:eastAsia="黑体" w:hAnsi="Times New Roman"/>
          <w:b/>
          <w:bCs/>
          <w:color w:val="auto"/>
          <w:sz w:val="32"/>
          <w:szCs w:val="32"/>
          <w:highlight w:val="auto"/>
        </w:rPr>
        <w:t>编制日期：</w:t>
      </w:r>
      <w:r>
        <w:rPr>
          <w:rFonts w:ascii="Times New Roman" w:eastAsia="黑体" w:hAnsi="Times New Roman" w:hint="eastAsia"/>
          <w:b/>
          <w:bCs/>
          <w:color w:val="auto"/>
          <w:sz w:val="32"/>
          <w:szCs w:val="32"/>
          <w:lang w:val="en-US" w:eastAsia="zh-CN"/>
          <w:highlight w:val="auto"/>
        </w:rPr>
        <w:t>2025年12月</w:t>
      </w:r>
    </w:p>
    <w:p>
      <w:pPr>
        <w:pStyle w:val="22"/>
        <w:tabs>
          <w:tab w:val="right" w:leader="dot" w:pos="8306"/>
        </w:tabs>
        <w:spacing w:beforeLines="121" w:before="378" w:beforeAutospacing="0"/>
        <w:ind w:left="0"/>
        <w:jc w:val="center"/>
        <w:rPr>
          <w:b/>
          <w:bCs/>
          <w:color w:val="auto"/>
          <w:sz w:val="36"/>
          <w:szCs w:val="36"/>
        </w:rPr>
      </w:pPr>
      <w:r>
        <w:rPr>
          <w:rFonts w:hint="eastAsia"/>
          <w:b/>
          <w:bCs/>
          <w:color w:val="auto"/>
          <w:sz w:val="36"/>
          <w:szCs w:val="36"/>
        </w:rPr>
        <w:t>目</w:t>
      </w:r>
      <w:r>
        <w:rPr>
          <w:rFonts w:hint="eastAsia"/>
          <w:b/>
          <w:bCs/>
          <w:color w:val="auto"/>
          <w:sz w:val="36"/>
          <w:szCs w:val="36"/>
          <w:lang w:val="en-US" w:eastAsia="zh-CN"/>
        </w:rPr>
        <w:t xml:space="preserve"> </w:t>
      </w:r>
      <w:r>
        <w:rPr>
          <w:rFonts w:hint="eastAsia"/>
          <w:b/>
          <w:bCs/>
          <w:color w:val="auto"/>
          <w:sz w:val="36"/>
          <w:szCs w:val="36"/>
        </w:rPr>
        <w:t>录</w:t>
      </w:r>
    </w:p>
    <w:p>
      <w:pPr>
        <w:pStyle w:val="22"/>
        <w:tabs>
          <w:tab w:val="right" w:leader="dot" w:pos="8306"/>
        </w:tabs>
      </w:pPr>
      <w:r>
        <w:rPr>
          <w:color w:val="auto"/>
          <w:sz w:val="28"/>
          <w:szCs w:val="28"/>
        </w:rPr>
        <w:fldChar w:fldCharType="begin"/>
      </w:r>
      <w:r>
        <w:rPr>
          <w:color w:val="auto"/>
          <w:sz w:val="28"/>
          <w:szCs w:val="28"/>
        </w:rPr>
        <w:instrText xml:space="preserve">TOC \o "1-2" \h \u </w:instrText>
      </w:r>
      <w:r>
        <w:rPr>
          <w:color w:val="auto"/>
          <w:sz w:val="28"/>
          <w:szCs w:val="28"/>
        </w:rPr>
        <w:fldChar w:fldCharType="separate"/>
      </w:r>
      <w:r>
        <w:rPr>
          <w:szCs w:val="28"/>
        </w:rPr>
        <w:fldChar w:fldCharType="begin"/>
      </w:r>
      <w:r>
        <w:rPr>
          <w:szCs w:val="28"/>
        </w:rPr>
        <w:instrText xml:space="preserve"> HYPERLINK \l _Toc20400 </w:instrText>
      </w:r>
      <w:r>
        <w:rPr>
          <w:szCs w:val="28"/>
        </w:rPr>
        <w:fldChar w:fldCharType="separate"/>
      </w:r>
      <w:r>
        <w:rPr>
          <w:rFonts w:ascii="宋体" w:eastAsia="宋体" w:cs="宋体" w:hAnsi="宋体" w:hint="eastAsia"/>
          <w:bCs/>
          <w:szCs w:val="32"/>
          <w:lang w:eastAsia="zh-CN"/>
        </w:rPr>
        <w:t>第一章 规划综述</w:t>
      </w:r>
      <w:r>
        <w:tab/>
      </w:r>
      <w:r>
        <w:fldChar w:fldCharType="begin"/>
      </w:r>
      <w:r>
        <w:instrText xml:space="preserve"> PAGEREF _Toc20400 \h </w:instrText>
      </w:r>
      <w:r>
        <w:fldChar w:fldCharType="separate"/>
      </w:r>
      <w:r>
        <w:t>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_Toc24994 </w:instrText>
      </w:r>
      <w:r>
        <w:rPr>
          <w:szCs w:val="28"/>
        </w:rPr>
        <w:fldChar w:fldCharType="separate"/>
      </w:r>
      <w:r>
        <w:rPr>
          <w:rFonts w:ascii="宋体" w:eastAsia="宋体" w:cs="宋体" w:hAnsi="宋体" w:hint="eastAsia"/>
          <w:bCs/>
          <w:szCs w:val="32"/>
          <w:lang w:val="en-US" w:eastAsia="zh-CN"/>
        </w:rPr>
        <w:t>1.1</w:t>
      </w:r>
      <w:r>
        <w:rPr>
          <w:rFonts w:ascii="宋体" w:eastAsia="宋体" w:cs="宋体" w:hAnsi="宋体" w:hint="eastAsia"/>
          <w:bCs/>
          <w:szCs w:val="32"/>
          <w:lang w:eastAsia="zh-CN"/>
        </w:rPr>
        <w:t>规划背景</w:t>
      </w:r>
      <w:r>
        <w:tab/>
      </w:r>
      <w:r>
        <w:fldChar w:fldCharType="begin"/>
      </w:r>
      <w:r>
        <w:instrText xml:space="preserve"> PAGEREF _Toc24994 \h </w:instrText>
      </w:r>
      <w:r>
        <w:fldChar w:fldCharType="separate"/>
      </w:r>
      <w:r>
        <w:t>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_Toc7018 </w:instrText>
      </w:r>
      <w:r>
        <w:rPr>
          <w:szCs w:val="28"/>
        </w:rPr>
        <w:fldChar w:fldCharType="separate"/>
      </w:r>
      <w:r>
        <w:rPr>
          <w:rFonts w:ascii="宋体" w:eastAsia="宋体" w:cs="宋体" w:hAnsi="宋体" w:hint="eastAsia"/>
          <w:bCs/>
          <w:szCs w:val="32"/>
          <w:lang w:val="en-US" w:eastAsia="zh-CN"/>
        </w:rPr>
        <w:t>1.2</w:t>
      </w:r>
      <w:r>
        <w:rPr>
          <w:rFonts w:ascii="宋体" w:eastAsia="宋体" w:cs="宋体" w:hAnsi="宋体" w:hint="eastAsia"/>
          <w:bCs/>
          <w:szCs w:val="32"/>
          <w:lang w:eastAsia="zh-CN"/>
        </w:rPr>
        <w:t>项目建设内容和规模</w:t>
      </w:r>
      <w:r>
        <w:tab/>
      </w:r>
      <w:r>
        <w:fldChar w:fldCharType="begin"/>
      </w:r>
      <w:r>
        <w:instrText xml:space="preserve"> PAGEREF _Toc7018 \h </w:instrText>
      </w:r>
      <w:r>
        <w:fldChar w:fldCharType="separate"/>
      </w:r>
      <w:r>
        <w:t>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_Toc15333 </w:instrText>
      </w:r>
      <w:r>
        <w:rPr>
          <w:szCs w:val="28"/>
        </w:rPr>
        <w:fldChar w:fldCharType="separate"/>
      </w:r>
      <w:r>
        <w:rPr>
          <w:rFonts w:ascii="宋体" w:eastAsia="宋体" w:cs="宋体" w:hAnsi="宋体" w:hint="eastAsia"/>
          <w:bCs/>
          <w:szCs w:val="32"/>
          <w:lang w:val="en-US" w:eastAsia="zh-CN"/>
        </w:rPr>
        <w:t>1.3</w:t>
      </w:r>
      <w:r>
        <w:rPr>
          <w:rFonts w:ascii="宋体" w:eastAsia="宋体" w:cs="宋体" w:hAnsi="宋体" w:hint="eastAsia"/>
          <w:bCs/>
          <w:szCs w:val="32"/>
          <w:lang w:eastAsia="zh-CN"/>
        </w:rPr>
        <w:t>规划范围</w:t>
      </w:r>
      <w:r>
        <w:tab/>
      </w:r>
      <w:r>
        <w:fldChar w:fldCharType="begin"/>
      </w:r>
      <w:r>
        <w:instrText xml:space="preserve"> PAGEREF _Toc15333 \h </w:instrText>
      </w:r>
      <w:r>
        <w:fldChar w:fldCharType="separate"/>
      </w:r>
      <w:r>
        <w:t>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_Toc23278 </w:instrText>
      </w:r>
      <w:r>
        <w:rPr>
          <w:szCs w:val="28"/>
        </w:rPr>
        <w:fldChar w:fldCharType="separate"/>
      </w:r>
      <w:r>
        <w:rPr>
          <w:rFonts w:ascii="宋体" w:eastAsia="宋体" w:cs="宋体" w:hAnsi="宋体" w:hint="eastAsia"/>
          <w:bCs/>
          <w:szCs w:val="32"/>
          <w:lang w:val="en-US" w:eastAsia="zh-CN"/>
        </w:rPr>
        <w:t>1.4</w:t>
      </w:r>
      <w:r>
        <w:rPr>
          <w:rFonts w:ascii="宋体" w:eastAsia="宋体" w:cs="宋体" w:hAnsi="宋体" w:hint="eastAsia"/>
          <w:bCs/>
          <w:szCs w:val="32"/>
          <w:lang w:eastAsia="zh-CN"/>
        </w:rPr>
        <w:t>数据基础</w:t>
      </w:r>
      <w:r>
        <w:tab/>
      </w:r>
      <w:r>
        <w:fldChar w:fldCharType="begin"/>
      </w:r>
      <w:r>
        <w:instrText xml:space="preserve"> PAGEREF _Toc23278 \h </w:instrText>
      </w:r>
      <w:r>
        <w:fldChar w:fldCharType="separate"/>
      </w:r>
      <w:r>
        <w:t>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_Toc32404 </w:instrText>
      </w:r>
      <w:r>
        <w:rPr>
          <w:szCs w:val="28"/>
        </w:rPr>
        <w:fldChar w:fldCharType="separate"/>
      </w:r>
      <w:r>
        <w:rPr>
          <w:rFonts w:ascii="宋体" w:eastAsia="宋体" w:cs="宋体" w:hAnsi="宋体" w:hint="eastAsia"/>
          <w:bCs/>
          <w:szCs w:val="32"/>
          <w:lang w:val="en-US" w:eastAsia="zh-CN"/>
        </w:rPr>
        <w:t>1.5</w:t>
      </w:r>
      <w:r>
        <w:rPr>
          <w:rFonts w:ascii="宋体" w:eastAsia="宋体" w:cs="宋体" w:hAnsi="宋体" w:hint="eastAsia"/>
          <w:bCs/>
          <w:szCs w:val="32"/>
          <w:lang w:eastAsia="zh-CN"/>
        </w:rPr>
        <w:t>规划依据</w:t>
      </w:r>
      <w:r>
        <w:tab/>
      </w:r>
      <w:r>
        <w:fldChar w:fldCharType="begin"/>
      </w:r>
      <w:r>
        <w:instrText xml:space="preserve"> PAGEREF _Toc32404 \h </w:instrText>
      </w:r>
      <w:r>
        <w:fldChar w:fldCharType="separate"/>
      </w:r>
      <w:r>
        <w:t>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_Toc19155 </w:instrText>
      </w:r>
      <w:r>
        <w:rPr>
          <w:szCs w:val="28"/>
        </w:rPr>
        <w:fldChar w:fldCharType="separate"/>
      </w:r>
      <w:r>
        <w:rPr>
          <w:rFonts w:ascii="宋体" w:eastAsia="宋体" w:cs="宋体" w:hAnsi="宋体" w:hint="eastAsia"/>
          <w:bCs/>
          <w:szCs w:val="32"/>
          <w:lang w:val="en-US" w:eastAsia="zh-CN"/>
        </w:rPr>
        <w:t>1.6上位</w:t>
      </w:r>
      <w:r>
        <w:rPr>
          <w:rFonts w:ascii="宋体" w:eastAsia="宋体" w:cs="宋体" w:hAnsi="宋体" w:hint="eastAsia"/>
          <w:bCs/>
          <w:szCs w:val="32"/>
          <w:lang w:eastAsia="zh-CN"/>
        </w:rPr>
        <w:t>规划及相关规划情况</w:t>
      </w:r>
      <w:r>
        <w:tab/>
      </w:r>
      <w:r>
        <w:fldChar w:fldCharType="begin"/>
      </w:r>
      <w:r>
        <w:instrText xml:space="preserve"> PAGEREF _Toc19155 \h </w:instrText>
      </w:r>
      <w:r>
        <w:fldChar w:fldCharType="separate"/>
      </w:r>
      <w:r>
        <w:t>6</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_Toc21553 </w:instrText>
      </w:r>
      <w:r>
        <w:rPr>
          <w:szCs w:val="28"/>
        </w:rPr>
        <w:fldChar w:fldCharType="separate"/>
      </w:r>
      <w:r>
        <w:rPr>
          <w:rFonts w:ascii="宋体" w:eastAsia="宋体" w:cs="宋体" w:hAnsi="宋体" w:hint="eastAsia"/>
          <w:bCs/>
          <w:szCs w:val="32"/>
          <w:lang w:eastAsia="zh-CN"/>
        </w:rPr>
        <w:t>第二章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现状</w:t>
      </w:r>
      <w:r>
        <w:rPr>
          <w:rFonts w:ascii="宋体" w:eastAsia="宋体" w:cs="宋体" w:hAnsi="宋体" w:hint="eastAsia"/>
          <w:bCs/>
          <w:szCs w:val="32"/>
        </w:rPr>
        <w:t>概况</w:t>
      </w:r>
      <w:r>
        <w:tab/>
      </w:r>
      <w:r>
        <w:fldChar w:fldCharType="begin"/>
      </w:r>
      <w:r>
        <w:instrText xml:space="preserve"> PAGEREF _Toc21553 \h </w:instrText>
      </w:r>
      <w:r>
        <w:fldChar w:fldCharType="separate"/>
      </w:r>
      <w:r>
        <w:t>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_Toc29362 </w:instrText>
      </w:r>
      <w:r>
        <w:rPr>
          <w:szCs w:val="28"/>
        </w:rPr>
        <w:fldChar w:fldCharType="separate"/>
      </w:r>
      <w:r>
        <w:rPr>
          <w:rFonts w:ascii="宋体" w:eastAsia="宋体" w:cs="宋体" w:hAnsi="宋体" w:hint="eastAsia"/>
          <w:bCs/>
          <w:szCs w:val="32"/>
          <w:lang w:val="en-US" w:eastAsia="zh-CN"/>
        </w:rPr>
        <w:t>2.1区位情况</w:t>
      </w:r>
      <w:r>
        <w:tab/>
      </w:r>
      <w:r>
        <w:fldChar w:fldCharType="begin"/>
      </w:r>
      <w:r>
        <w:instrText xml:space="preserve"> PAGEREF _Toc29362 \h </w:instrText>
      </w:r>
      <w:r>
        <w:fldChar w:fldCharType="separate"/>
      </w:r>
      <w:r>
        <w:t>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_Toc6288 </w:instrText>
      </w:r>
      <w:r>
        <w:rPr>
          <w:szCs w:val="28"/>
        </w:rPr>
        <w:fldChar w:fldCharType="separate"/>
      </w:r>
      <w:r>
        <w:rPr>
          <w:rFonts w:ascii="宋体" w:eastAsia="宋体" w:cs="宋体" w:hAnsi="宋体" w:hint="eastAsia"/>
          <w:bCs/>
          <w:szCs w:val="32"/>
          <w:lang w:val="en-US" w:eastAsia="zh-CN"/>
        </w:rPr>
        <w:t>2.2现状概况</w:t>
      </w:r>
      <w:r>
        <w:tab/>
      </w:r>
      <w:r>
        <w:fldChar w:fldCharType="begin"/>
      </w:r>
      <w:r>
        <w:instrText xml:space="preserve"> PAGEREF _Toc6288 \h </w:instrText>
      </w:r>
      <w:r>
        <w:fldChar w:fldCharType="separate"/>
      </w:r>
      <w:r>
        <w:t>11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_Toc20293 </w:instrText>
      </w:r>
      <w:r>
        <w:rPr>
          <w:szCs w:val="28"/>
        </w:rPr>
        <w:fldChar w:fldCharType="separate"/>
      </w:r>
      <w:r>
        <w:rPr>
          <w:rFonts w:ascii="宋体" w:eastAsia="宋体" w:cs="宋体" w:hAnsi="宋体" w:hint="eastAsia"/>
          <w:bCs/>
          <w:szCs w:val="32"/>
          <w:lang w:val="en-US" w:eastAsia="zh-CN"/>
        </w:rPr>
        <w:t>2.3土地利用现状</w:t>
      </w:r>
      <w:r>
        <w:tab/>
      </w:r>
      <w:r>
        <w:fldChar w:fldCharType="begin"/>
      </w:r>
      <w:r>
        <w:instrText xml:space="preserve"> PAGEREF _Toc20293 \h </w:instrText>
      </w:r>
      <w:r>
        <w:fldChar w:fldCharType="separate"/>
      </w:r>
      <w:r>
        <w:t>12</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_Toc27882 </w:instrText>
      </w:r>
      <w:r>
        <w:rPr>
          <w:szCs w:val="28"/>
        </w:rPr>
        <w:fldChar w:fldCharType="separate"/>
      </w:r>
      <w:r>
        <w:rPr>
          <w:rFonts w:ascii="宋体" w:eastAsia="宋体" w:cs="宋体" w:hAnsi="宋体" w:hint="eastAsia"/>
          <w:bCs/>
          <w:szCs w:val="32"/>
          <w:lang w:val="en-US" w:eastAsia="zh-CN"/>
        </w:rPr>
        <w:t>2.4周边建设情况</w:t>
      </w:r>
      <w:r>
        <w:tab/>
      </w:r>
      <w:r>
        <w:fldChar w:fldCharType="begin"/>
      </w:r>
      <w:r>
        <w:instrText xml:space="preserve"> PAGEREF _Toc27882 \h </w:instrText>
      </w:r>
      <w:r>
        <w:fldChar w:fldCharType="separate"/>
      </w:r>
      <w:r>
        <w:t>14</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_Toc24225 </w:instrText>
      </w:r>
      <w:r>
        <w:rPr>
          <w:szCs w:val="28"/>
        </w:rPr>
        <w:fldChar w:fldCharType="separate"/>
      </w:r>
      <w:r>
        <w:rPr>
          <w:rFonts w:ascii="宋体" w:eastAsia="宋体" w:cs="宋体" w:hAnsi="宋体" w:hint="eastAsia"/>
          <w:bCs/>
          <w:szCs w:val="32"/>
          <w:lang w:eastAsia="zh-CN"/>
        </w:rPr>
        <w:t>第三章</w:t>
      </w:r>
      <w:r>
        <w:rPr>
          <w:rFonts w:ascii="宋体" w:eastAsia="宋体" w:cs="宋体" w:hAnsi="宋体" w:hint="eastAsia"/>
          <w:bCs/>
          <w:szCs w:val="32"/>
          <w:lang w:val="en-US" w:eastAsia="zh-CN"/>
        </w:rPr>
        <w:t xml:space="preserve"> </w:t>
      </w:r>
      <w:r>
        <w:rPr>
          <w:rFonts w:ascii="宋体" w:eastAsia="宋体" w:cs="宋体" w:hAnsi="宋体" w:hint="eastAsia"/>
          <w:bCs/>
          <w:szCs w:val="32"/>
        </w:rPr>
        <w:t>用地布局规划</w:t>
      </w:r>
      <w:r>
        <w:tab/>
      </w:r>
      <w:r>
        <w:fldChar w:fldCharType="begin"/>
      </w:r>
      <w:r>
        <w:instrText xml:space="preserve"> PAGEREF _Toc24225 \h </w:instrText>
      </w:r>
      <w:r>
        <w:fldChar w:fldCharType="separate"/>
      </w:r>
      <w:r>
        <w:t>16</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_Toc14776 </w:instrText>
      </w:r>
      <w:r>
        <w:rPr>
          <w:szCs w:val="28"/>
        </w:rPr>
        <w:fldChar w:fldCharType="separate"/>
      </w:r>
      <w:r>
        <w:rPr>
          <w:rFonts w:ascii="宋体" w:eastAsia="宋体" w:cs="宋体" w:hAnsi="宋体" w:hint="eastAsia"/>
          <w:bCs/>
          <w:szCs w:val="32"/>
          <w:lang w:val="en-US" w:eastAsia="zh-CN"/>
        </w:rPr>
        <w:t>3.1规划依据</w:t>
      </w:r>
      <w:r>
        <w:tab/>
      </w:r>
      <w:r>
        <w:fldChar w:fldCharType="begin"/>
      </w:r>
      <w:r>
        <w:instrText xml:space="preserve"> PAGEREF _Toc14776 \h </w:instrText>
      </w:r>
      <w:r>
        <w:fldChar w:fldCharType="separate"/>
      </w:r>
      <w:r>
        <w:t>16</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_Toc10028 </w:instrText>
      </w:r>
      <w:r>
        <w:rPr>
          <w:szCs w:val="28"/>
        </w:rPr>
        <w:fldChar w:fldCharType="separate"/>
      </w:r>
      <w:r>
        <w:rPr>
          <w:rFonts w:ascii="宋体" w:eastAsia="宋体" w:cs="宋体" w:hAnsi="宋体" w:hint="eastAsia"/>
          <w:bCs/>
          <w:szCs w:val="32"/>
          <w:lang w:val="en-US" w:eastAsia="zh-CN"/>
        </w:rPr>
        <w:t>3.2规划原则</w:t>
      </w:r>
      <w:r>
        <w:tab/>
      </w:r>
      <w:r>
        <w:fldChar w:fldCharType="begin"/>
      </w:r>
      <w:r>
        <w:instrText xml:space="preserve"> PAGEREF _Toc10028 \h </w:instrText>
      </w:r>
      <w:r>
        <w:fldChar w:fldCharType="separate"/>
      </w:r>
      <w:r>
        <w:t>17</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_Toc29784 </w:instrText>
      </w:r>
      <w:r>
        <w:rPr>
          <w:szCs w:val="28"/>
        </w:rPr>
        <w:fldChar w:fldCharType="separate"/>
      </w:r>
      <w:r>
        <w:rPr>
          <w:rFonts w:ascii="宋体" w:eastAsia="宋体" w:cs="宋体" w:hAnsi="宋体" w:hint="eastAsia"/>
          <w:bCs/>
          <w:szCs w:val="32"/>
          <w:lang w:val="en-US" w:eastAsia="zh-CN"/>
        </w:rPr>
        <w:t>3.3土地利用规划</w:t>
      </w:r>
      <w:r>
        <w:tab/>
      </w:r>
      <w:r>
        <w:fldChar w:fldCharType="begin"/>
      </w:r>
      <w:r>
        <w:instrText xml:space="preserve"> PAGEREF _Toc29784 \h </w:instrText>
      </w:r>
      <w:r>
        <w:fldChar w:fldCharType="separate"/>
      </w:r>
      <w:r>
        <w:t>17</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_Toc22322 </w:instrText>
      </w:r>
      <w:r>
        <w:rPr>
          <w:szCs w:val="28"/>
        </w:rPr>
        <w:fldChar w:fldCharType="separate"/>
      </w:r>
      <w:r>
        <w:rPr>
          <w:rFonts w:ascii="宋体" w:eastAsia="宋体" w:cs="宋体" w:hAnsi="宋体" w:hint="eastAsia"/>
          <w:bCs/>
          <w:szCs w:val="32"/>
          <w:lang w:val="en-US" w:eastAsia="zh-CN"/>
        </w:rPr>
        <w:t>3.4用地规划与相邻区域关系</w:t>
      </w:r>
      <w:r>
        <w:tab/>
      </w:r>
      <w:r>
        <w:fldChar w:fldCharType="begin"/>
      </w:r>
      <w:r>
        <w:instrText xml:space="preserve"> PAGEREF _Toc22322 \h </w:instrText>
      </w:r>
      <w:r>
        <w:fldChar w:fldCharType="separate"/>
      </w:r>
      <w:r>
        <w:t>20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_Toc28346 </w:instrText>
      </w:r>
      <w:r>
        <w:rPr>
          <w:szCs w:val="28"/>
        </w:rPr>
        <w:fldChar w:fldCharType="separate"/>
      </w:r>
      <w:r>
        <w:rPr>
          <w:rFonts w:ascii="宋体" w:eastAsia="宋体" w:cs="宋体" w:hAnsi="宋体" w:hint="eastAsia"/>
          <w:bCs/>
          <w:szCs w:val="32"/>
          <w:lang w:eastAsia="zh-CN"/>
        </w:rPr>
        <w:t>第四章</w:t>
      </w:r>
      <w:r>
        <w:rPr>
          <w:rFonts w:ascii="宋体" w:eastAsia="宋体" w:cs="宋体" w:hAnsi="宋体" w:hint="eastAsia"/>
          <w:bCs/>
          <w:szCs w:val="32"/>
          <w:lang w:val="en-US" w:eastAsia="zh-CN"/>
        </w:rPr>
        <w:t xml:space="preserve"> </w:t>
      </w:r>
      <w:r>
        <w:rPr>
          <w:rFonts w:ascii="宋体" w:eastAsia="宋体" w:cs="宋体" w:hAnsi="宋体" w:hint="eastAsia"/>
          <w:bCs/>
          <w:szCs w:val="32"/>
        </w:rPr>
        <w:t>综合交通及竖向规划</w:t>
      </w:r>
      <w:r>
        <w:tab/>
      </w:r>
      <w:r>
        <w:fldChar w:fldCharType="begin"/>
      </w:r>
      <w:r>
        <w:instrText xml:space="preserve"> PAGEREF _Toc28346 \h </w:instrText>
      </w:r>
      <w:r>
        <w:fldChar w:fldCharType="separate"/>
      </w:r>
      <w:r>
        <w:t>21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_Toc19024 </w:instrText>
      </w:r>
      <w:r>
        <w:rPr>
          <w:szCs w:val="28"/>
        </w:rPr>
        <w:fldChar w:fldCharType="separate"/>
      </w:r>
      <w:r>
        <w:rPr>
          <w:rFonts w:ascii="宋体" w:eastAsia="宋体" w:cs="宋体" w:hAnsi="宋体" w:hint="eastAsia"/>
          <w:bCs/>
          <w:szCs w:val="32"/>
          <w:lang w:val="en-US" w:eastAsia="zh-CN"/>
        </w:rPr>
        <w:t>4.1综合交通规划</w:t>
      </w:r>
      <w:r>
        <w:tab/>
      </w:r>
      <w:r>
        <w:fldChar w:fldCharType="begin"/>
      </w:r>
      <w:r>
        <w:instrText xml:space="preserve"> PAGEREF _Toc19024 \h </w:instrText>
      </w:r>
      <w:r>
        <w:fldChar w:fldCharType="separate"/>
      </w:r>
      <w:r>
        <w:t>21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_Toc27057 </w:instrText>
      </w:r>
      <w:r>
        <w:rPr>
          <w:szCs w:val="28"/>
        </w:rPr>
        <w:fldChar w:fldCharType="separate"/>
      </w:r>
      <w:r>
        <w:rPr>
          <w:rFonts w:ascii="宋体" w:eastAsia="宋体" w:cs="宋体" w:hAnsi="宋体" w:hint="eastAsia"/>
          <w:bCs/>
          <w:szCs w:val="32"/>
          <w:lang w:val="en-US" w:eastAsia="zh-CN"/>
        </w:rPr>
        <w:t>4.2竖向规划</w:t>
      </w:r>
      <w:r>
        <w:tab/>
      </w:r>
      <w:r>
        <w:fldChar w:fldCharType="begin"/>
      </w:r>
      <w:r>
        <w:instrText xml:space="preserve"> PAGEREF _Toc27057 \h </w:instrText>
      </w:r>
      <w:r>
        <w:fldChar w:fldCharType="separate"/>
      </w:r>
      <w:r>
        <w:t>23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_Toc27407 </w:instrText>
      </w:r>
      <w:r>
        <w:rPr>
          <w:szCs w:val="28"/>
        </w:rPr>
        <w:fldChar w:fldCharType="separate"/>
      </w:r>
      <w:r>
        <w:rPr>
          <w:rFonts w:ascii="宋体" w:eastAsia="宋体" w:cs="宋体" w:hAnsi="宋体" w:hint="eastAsia"/>
          <w:bCs/>
          <w:szCs w:val="32"/>
          <w:lang w:eastAsia="zh-CN"/>
        </w:rPr>
        <w:t>第五章</w:t>
      </w:r>
      <w:r>
        <w:rPr>
          <w:rFonts w:ascii="宋体" w:eastAsia="宋体" w:cs="宋体" w:hAnsi="宋体" w:hint="eastAsia"/>
          <w:bCs/>
          <w:szCs w:val="32"/>
          <w:lang w:val="en-US" w:eastAsia="zh-CN"/>
        </w:rPr>
        <w:t xml:space="preserve"> </w:t>
      </w:r>
      <w:r>
        <w:rPr>
          <w:rFonts w:ascii="宋体" w:eastAsia="宋体" w:cs="宋体" w:hAnsi="宋体" w:hint="eastAsia"/>
          <w:bCs/>
          <w:szCs w:val="32"/>
        </w:rPr>
        <w:t>市政工程规划</w:t>
      </w:r>
      <w:r>
        <w:tab/>
      </w:r>
      <w:r>
        <w:fldChar w:fldCharType="begin"/>
      </w:r>
      <w:r>
        <w:instrText xml:space="preserve"> PAGEREF _Toc27407 \h </w:instrText>
      </w:r>
      <w:r>
        <w:fldChar w:fldCharType="separate"/>
      </w:r>
      <w:r>
        <w:t>23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_Toc9889 </w:instrText>
      </w:r>
      <w:r>
        <w:rPr>
          <w:szCs w:val="28"/>
        </w:rPr>
        <w:fldChar w:fldCharType="separate"/>
      </w:r>
      <w:r>
        <w:rPr>
          <w:rFonts w:ascii="宋体" w:eastAsia="宋体" w:cs="宋体" w:hAnsi="宋体" w:hint="eastAsia"/>
          <w:bCs/>
          <w:szCs w:val="32"/>
          <w:lang w:val="en-US" w:eastAsia="zh-CN"/>
        </w:rPr>
        <w:t>5.1给水工程规划</w:t>
      </w:r>
      <w:r>
        <w:tab/>
      </w:r>
      <w:r>
        <w:fldChar w:fldCharType="begin"/>
      </w:r>
      <w:r>
        <w:instrText xml:space="preserve"> PAGEREF _Toc9889 \h </w:instrText>
      </w:r>
      <w:r>
        <w:fldChar w:fldCharType="separate"/>
      </w:r>
      <w:r>
        <w:t>23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_Toc23130 </w:instrText>
      </w:r>
      <w:r>
        <w:rPr>
          <w:szCs w:val="28"/>
        </w:rPr>
        <w:fldChar w:fldCharType="separate"/>
      </w:r>
      <w:r>
        <w:rPr>
          <w:rFonts w:ascii="宋体" w:eastAsia="宋体" w:cs="宋体" w:hAnsi="宋体" w:hint="eastAsia"/>
          <w:bCs/>
          <w:szCs w:val="32"/>
          <w:lang w:val="en-US" w:eastAsia="zh-CN"/>
        </w:rPr>
        <w:t>5.2排水工程规划</w:t>
      </w:r>
      <w:r>
        <w:tab/>
      </w:r>
      <w:r>
        <w:fldChar w:fldCharType="begin"/>
      </w:r>
      <w:r>
        <w:instrText xml:space="preserve"> PAGEREF _Toc23130 \h </w:instrText>
      </w:r>
      <w:r>
        <w:fldChar w:fldCharType="separate"/>
      </w:r>
      <w:r>
        <w:t>24</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_Toc23440 </w:instrText>
      </w:r>
      <w:r>
        <w:rPr>
          <w:szCs w:val="28"/>
        </w:rPr>
        <w:fldChar w:fldCharType="separate"/>
      </w:r>
      <w:r>
        <w:rPr>
          <w:rFonts w:ascii="宋体" w:eastAsia="宋体" w:cs="宋体" w:hAnsi="宋体" w:hint="eastAsia"/>
          <w:bCs/>
          <w:szCs w:val="32"/>
          <w:lang w:val="en-US" w:eastAsia="zh-CN"/>
        </w:rPr>
        <w:t xml:space="preserve">5.3 </w:t>
      </w:r>
      <w:r>
        <w:rPr>
          <w:rFonts w:ascii="宋体" w:eastAsia="宋体" w:cs="宋体" w:hAnsi="宋体" w:hint="eastAsia"/>
          <w:bCs/>
          <w:szCs w:val="32"/>
        </w:rPr>
        <w:t>电力工程规划</w:t>
      </w:r>
      <w:r>
        <w:tab/>
      </w:r>
      <w:r>
        <w:fldChar w:fldCharType="begin"/>
      </w:r>
      <w:r>
        <w:instrText xml:space="preserve"> PAGEREF _Toc23440 \h </w:instrText>
      </w:r>
      <w:r>
        <w:fldChar w:fldCharType="separate"/>
      </w:r>
      <w:r>
        <w:t>26</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_Toc21438 </w:instrText>
      </w:r>
      <w:r>
        <w:rPr>
          <w:szCs w:val="28"/>
        </w:rPr>
        <w:fldChar w:fldCharType="separate"/>
      </w:r>
      <w:r>
        <w:rPr>
          <w:rFonts w:ascii="宋体" w:eastAsia="宋体" w:cs="宋体" w:hAnsi="宋体" w:hint="eastAsia"/>
          <w:bCs/>
          <w:szCs w:val="32"/>
          <w:lang w:val="en-US" w:eastAsia="zh-CN"/>
        </w:rPr>
        <w:t>5.4通信工程规划</w:t>
      </w:r>
      <w:r>
        <w:tab/>
      </w:r>
      <w:r>
        <w:fldChar w:fldCharType="begin"/>
      </w:r>
      <w:r>
        <w:instrText xml:space="preserve"> PAGEREF _Toc21438 \h </w:instrText>
      </w:r>
      <w:r>
        <w:fldChar w:fldCharType="separate"/>
      </w:r>
      <w:r>
        <w:t>28</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_Toc17650 </w:instrText>
      </w:r>
      <w:r>
        <w:rPr>
          <w:szCs w:val="28"/>
        </w:rPr>
        <w:fldChar w:fldCharType="separate"/>
      </w:r>
      <w:r>
        <w:rPr>
          <w:rFonts w:ascii="宋体" w:eastAsia="宋体" w:cs="宋体" w:hAnsi="宋体" w:hint="eastAsia"/>
          <w:bCs/>
          <w:szCs w:val="32"/>
          <w:lang w:val="en-US" w:eastAsia="zh-CN"/>
        </w:rPr>
        <w:t>5.5环卫设施规划</w:t>
      </w:r>
      <w:r>
        <w:tab/>
      </w:r>
      <w:r>
        <w:fldChar w:fldCharType="begin"/>
      </w:r>
      <w:r>
        <w:instrText xml:space="preserve"> PAGEREF _Toc17650 \h </w:instrText>
      </w:r>
      <w:r>
        <w:fldChar w:fldCharType="separate"/>
      </w:r>
      <w:r>
        <w:t>29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_Toc15508 </w:instrText>
      </w:r>
      <w:r>
        <w:rPr>
          <w:szCs w:val="28"/>
        </w:rPr>
        <w:fldChar w:fldCharType="separate"/>
      </w:r>
      <w:r>
        <w:rPr>
          <w:rFonts w:ascii="宋体" w:eastAsia="宋体" w:cs="宋体" w:hAnsi="宋体" w:hint="eastAsia"/>
          <w:bCs/>
          <w:szCs w:val="32"/>
          <w:lang w:eastAsia="zh-CN"/>
        </w:rPr>
        <w:t>第六章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安全防护</w:t>
      </w:r>
      <w:r>
        <w:rPr>
          <w:rFonts w:ascii="宋体" w:eastAsia="宋体" w:cs="宋体" w:hAnsi="宋体" w:hint="eastAsia"/>
          <w:bCs/>
          <w:szCs w:val="32"/>
        </w:rPr>
        <w:t>规划</w:t>
      </w:r>
      <w:r>
        <w:tab/>
      </w:r>
      <w:r>
        <w:fldChar w:fldCharType="begin"/>
      </w:r>
      <w:r>
        <w:instrText xml:space="preserve"> PAGEREF _Toc15508 \h </w:instrText>
      </w:r>
      <w:r>
        <w:fldChar w:fldCharType="separate"/>
      </w:r>
      <w:r>
        <w:t>30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_Toc10916 </w:instrText>
      </w:r>
      <w:r>
        <w:rPr>
          <w:szCs w:val="28"/>
        </w:rPr>
        <w:fldChar w:fldCharType="separate"/>
      </w:r>
      <w:r>
        <w:rPr>
          <w:rFonts w:ascii="宋体" w:eastAsia="宋体" w:cs="宋体" w:hAnsi="宋体" w:hint="eastAsia"/>
          <w:bCs/>
          <w:szCs w:val="32"/>
          <w:lang w:val="en-US" w:eastAsia="zh-CN"/>
        </w:rPr>
        <w:t>6.1制定安全防护规划的目的及意义</w:t>
      </w:r>
      <w:r>
        <w:tab/>
      </w:r>
      <w:r>
        <w:fldChar w:fldCharType="begin"/>
      </w:r>
      <w:r>
        <w:instrText xml:space="preserve"> PAGEREF _Toc10916 \h </w:instrText>
      </w:r>
      <w:r>
        <w:fldChar w:fldCharType="separate"/>
      </w:r>
      <w:r>
        <w:t>30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_Toc32128 </w:instrText>
      </w:r>
      <w:r>
        <w:rPr>
          <w:szCs w:val="28"/>
        </w:rPr>
        <w:fldChar w:fldCharType="separate"/>
      </w:r>
      <w:r>
        <w:rPr>
          <w:rFonts w:ascii="宋体" w:eastAsia="宋体" w:cs="宋体" w:hAnsi="宋体" w:hint="eastAsia"/>
          <w:bCs/>
          <w:szCs w:val="32"/>
          <w:lang w:val="en-US" w:eastAsia="zh-CN"/>
        </w:rPr>
        <w:t>6.2确定突发事件危险目标</w:t>
      </w:r>
      <w:r>
        <w:tab/>
      </w:r>
      <w:r>
        <w:fldChar w:fldCharType="begin"/>
      </w:r>
      <w:r>
        <w:instrText xml:space="preserve"> PAGEREF _Toc32128 \h </w:instrText>
      </w:r>
      <w:r>
        <w:fldChar w:fldCharType="separate"/>
      </w:r>
      <w:r>
        <w:t>30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_Toc6644 </w:instrText>
      </w:r>
      <w:r>
        <w:rPr>
          <w:szCs w:val="28"/>
        </w:rPr>
        <w:fldChar w:fldCharType="separate"/>
      </w:r>
      <w:r>
        <w:rPr>
          <w:rFonts w:ascii="宋体" w:eastAsia="宋体" w:cs="宋体" w:hAnsi="宋体" w:hint="eastAsia"/>
          <w:bCs/>
          <w:szCs w:val="32"/>
          <w:lang w:val="en-US" w:eastAsia="zh-CN"/>
        </w:rPr>
        <w:t>6.3安全防护规划原则</w:t>
      </w:r>
      <w:r>
        <w:tab/>
      </w:r>
      <w:r>
        <w:fldChar w:fldCharType="begin"/>
      </w:r>
      <w:r>
        <w:instrText xml:space="preserve"> PAGEREF _Toc6644 \h </w:instrText>
      </w:r>
      <w:r>
        <w:fldChar w:fldCharType="separate"/>
      </w:r>
      <w:r>
        <w:t>30</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_Toc240 </w:instrText>
      </w:r>
      <w:r>
        <w:rPr>
          <w:szCs w:val="28"/>
        </w:rPr>
        <w:fldChar w:fldCharType="separate"/>
      </w:r>
      <w:r>
        <w:rPr>
          <w:rFonts w:ascii="宋体" w:eastAsia="宋体" w:cs="宋体" w:hAnsi="宋体" w:hint="eastAsia"/>
          <w:bCs/>
          <w:szCs w:val="32"/>
          <w:lang w:val="en-US" w:eastAsia="zh-CN"/>
        </w:rPr>
        <w:t>6.4安全防护规划</w:t>
      </w:r>
      <w:r>
        <w:tab/>
      </w:r>
      <w:r>
        <w:fldChar w:fldCharType="begin"/>
      </w:r>
      <w:r>
        <w:instrText xml:space="preserve"> PAGEREF _Toc240 \h </w:instrText>
      </w:r>
      <w:r>
        <w:fldChar w:fldCharType="separate"/>
      </w:r>
      <w:r>
        <w:t>31</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_Toc25765 </w:instrText>
      </w:r>
      <w:r>
        <w:rPr>
          <w:szCs w:val="28"/>
        </w:rPr>
        <w:fldChar w:fldCharType="separate"/>
      </w:r>
      <w:r>
        <w:rPr>
          <w:rFonts w:ascii="宋体" w:eastAsia="宋体" w:cs="宋体" w:hAnsi="宋体" w:hint="eastAsia"/>
          <w:bCs/>
          <w:szCs w:val="32"/>
          <w:lang w:val="en-US" w:eastAsia="zh-CN"/>
        </w:rPr>
        <w:t>6.5安全应急处理</w:t>
      </w:r>
      <w:r>
        <w:tab/>
      </w:r>
      <w:r>
        <w:fldChar w:fldCharType="begin"/>
      </w:r>
      <w:r>
        <w:instrText xml:space="preserve"> PAGEREF _Toc25765 \h </w:instrText>
      </w:r>
      <w:r>
        <w:fldChar w:fldCharType="separate"/>
      </w:r>
      <w:r>
        <w:t>33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_Toc18041 </w:instrText>
      </w:r>
      <w:r>
        <w:rPr>
          <w:szCs w:val="28"/>
        </w:rPr>
        <w:fldChar w:fldCharType="separate"/>
      </w:r>
      <w:r>
        <w:rPr>
          <w:rFonts w:ascii="宋体" w:eastAsia="宋体" w:cs="宋体" w:hAnsi="宋体" w:hint="eastAsia"/>
          <w:bCs/>
          <w:szCs w:val="32"/>
          <w:lang w:eastAsia="zh-CN"/>
        </w:rPr>
        <w:t>第七章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地块管控</w:t>
      </w:r>
      <w:r>
        <w:rPr>
          <w:rFonts w:ascii="宋体" w:eastAsia="宋体" w:cs="宋体" w:hAnsi="宋体" w:hint="eastAsia"/>
          <w:bCs/>
          <w:szCs w:val="32"/>
        </w:rPr>
        <w:t>规划</w:t>
      </w:r>
      <w:r>
        <w:tab/>
      </w:r>
      <w:r>
        <w:fldChar w:fldCharType="begin"/>
      </w:r>
      <w:r>
        <w:instrText xml:space="preserve"> PAGEREF _Toc18041 \h </w:instrText>
      </w:r>
      <w:r>
        <w:fldChar w:fldCharType="separate"/>
      </w:r>
      <w:r>
        <w:t>39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_Toc13647 </w:instrText>
      </w:r>
      <w:r>
        <w:rPr>
          <w:szCs w:val="28"/>
        </w:rPr>
        <w:fldChar w:fldCharType="separate"/>
      </w:r>
      <w:r>
        <w:rPr>
          <w:rFonts w:ascii="宋体" w:eastAsia="宋体" w:cs="宋体" w:hAnsi="宋体" w:hint="eastAsia"/>
          <w:bCs/>
          <w:szCs w:val="32"/>
          <w:lang w:val="en-US" w:eastAsia="zh-CN"/>
        </w:rPr>
        <w:t>7.1地块控制内容</w:t>
      </w:r>
      <w:r>
        <w:tab/>
      </w:r>
      <w:r>
        <w:fldChar w:fldCharType="begin"/>
      </w:r>
      <w:r>
        <w:instrText xml:space="preserve"> PAGEREF _Toc13647 \h </w:instrText>
      </w:r>
      <w:r>
        <w:fldChar w:fldCharType="separate"/>
      </w:r>
      <w:r>
        <w:t>39</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_Toc14924 </w:instrText>
      </w:r>
      <w:r>
        <w:rPr>
          <w:szCs w:val="28"/>
        </w:rPr>
        <w:fldChar w:fldCharType="separate"/>
      </w:r>
      <w:r>
        <w:rPr>
          <w:rFonts w:ascii="宋体" w:eastAsia="宋体" w:cs="宋体" w:hAnsi="宋体" w:hint="eastAsia"/>
          <w:bCs/>
          <w:szCs w:val="32"/>
          <w:lang w:val="en-US" w:eastAsia="zh-CN"/>
        </w:rPr>
        <w:t>7.2地块控制指标表</w:t>
      </w:r>
      <w:r>
        <w:tab/>
      </w:r>
      <w:r>
        <w:fldChar w:fldCharType="begin"/>
      </w:r>
      <w:r>
        <w:instrText xml:space="preserve"> PAGEREF _Toc14924 \h </w:instrText>
      </w:r>
      <w:r>
        <w:fldChar w:fldCharType="separate"/>
      </w:r>
      <w:r>
        <w:t>43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_Toc19341 </w:instrText>
      </w:r>
      <w:r>
        <w:rPr>
          <w:szCs w:val="28"/>
        </w:rPr>
        <w:fldChar w:fldCharType="separate"/>
      </w:r>
      <w:r>
        <w:rPr>
          <w:rFonts w:ascii="宋体" w:eastAsia="宋体" w:cs="宋体" w:hAnsi="宋体" w:hint="eastAsia"/>
          <w:bCs/>
          <w:szCs w:val="32"/>
          <w:lang w:eastAsia="zh-CN"/>
        </w:rPr>
        <w:t>第八章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环境保护</w:t>
      </w:r>
      <w:r>
        <w:rPr>
          <w:rFonts w:ascii="宋体" w:eastAsia="宋体" w:cs="宋体" w:hAnsi="宋体" w:hint="eastAsia"/>
          <w:bCs/>
          <w:szCs w:val="32"/>
        </w:rPr>
        <w:t>规划</w:t>
      </w:r>
      <w:r>
        <w:tab/>
      </w:r>
      <w:r>
        <w:fldChar w:fldCharType="begin"/>
      </w:r>
      <w:r>
        <w:instrText xml:space="preserve"> PAGEREF _Toc19341 \h </w:instrText>
      </w:r>
      <w:r>
        <w:fldChar w:fldCharType="separate"/>
      </w:r>
      <w:r>
        <w:t>43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_Toc14610 </w:instrText>
      </w:r>
      <w:r>
        <w:rPr>
          <w:szCs w:val="28"/>
        </w:rPr>
        <w:fldChar w:fldCharType="separate"/>
      </w:r>
      <w:r>
        <w:rPr>
          <w:rFonts w:ascii="宋体" w:eastAsia="宋体" w:cs="宋体" w:hAnsi="宋体" w:hint="eastAsia"/>
          <w:bCs/>
          <w:szCs w:val="32"/>
          <w:lang w:val="en-US" w:eastAsia="zh-CN"/>
        </w:rPr>
        <w:t>8.1规划依据</w:t>
      </w:r>
      <w:r>
        <w:tab/>
      </w:r>
      <w:r>
        <w:fldChar w:fldCharType="begin"/>
      </w:r>
      <w:r>
        <w:instrText xml:space="preserve"> PAGEREF _Toc14610 \h </w:instrText>
      </w:r>
      <w:r>
        <w:fldChar w:fldCharType="separate"/>
      </w:r>
      <w:r>
        <w:t>43</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_Toc18136 </w:instrText>
      </w:r>
      <w:r>
        <w:rPr>
          <w:szCs w:val="28"/>
        </w:rPr>
        <w:fldChar w:fldCharType="separate"/>
      </w:r>
      <w:r>
        <w:rPr>
          <w:rFonts w:ascii="宋体" w:eastAsia="宋体" w:cs="宋体" w:hAnsi="宋体" w:hint="eastAsia"/>
          <w:bCs/>
          <w:szCs w:val="32"/>
          <w:lang w:val="en-US" w:eastAsia="zh-CN"/>
        </w:rPr>
        <w:t>8.2加油站建设对环境可能造成的影响分析</w:t>
      </w:r>
      <w:r>
        <w:tab/>
      </w:r>
      <w:r>
        <w:fldChar w:fldCharType="begin"/>
      </w:r>
      <w:r>
        <w:instrText xml:space="preserve"> PAGEREF _Toc18136 \h </w:instrText>
      </w:r>
      <w:r>
        <w:fldChar w:fldCharType="separate"/>
      </w:r>
      <w:r>
        <w:t>44</w:t>
      </w:r>
      <w:r>
        <w:fldChar w:fldCharType="end"/>
      </w:r>
      <w:r>
        <w:rPr>
          <w:color w:val="auto"/>
          <w:szCs w:val="28"/>
        </w:rPr>
        <w:fldChar w:fldCharType="end"/>
      </w:r>
    </w:p>
    <w:p>
      <w:pPr>
        <w:pStyle w:val="22"/>
        <w:tabs>
          <w:tab w:val="right" w:leader="dot" w:pos="8306"/>
        </w:tabs>
      </w:pPr>
      <w:r>
        <w:rPr>
          <w:szCs w:val="28"/>
        </w:rPr>
        <w:fldChar w:fldCharType="begin"/>
      </w:r>
      <w:r>
        <w:rPr>
          <w:szCs w:val="28"/>
        </w:rPr>
        <w:instrText xml:space="preserve"> HYPERLINK \l _Toc11252 </w:instrText>
      </w:r>
      <w:r>
        <w:rPr>
          <w:szCs w:val="28"/>
        </w:rPr>
        <w:fldChar w:fldCharType="separate"/>
      </w:r>
      <w:r>
        <w:rPr>
          <w:rFonts w:ascii="宋体" w:eastAsia="宋体" w:cs="宋体" w:hAnsi="宋体" w:hint="eastAsia"/>
          <w:bCs/>
          <w:szCs w:val="32"/>
          <w:lang w:val="en-US" w:eastAsia="zh-CN"/>
        </w:rPr>
        <w:t>8.3环境保护规划</w:t>
      </w:r>
      <w:r>
        <w:tab/>
      </w:r>
      <w:r>
        <w:fldChar w:fldCharType="begin"/>
      </w:r>
      <w:r>
        <w:instrText xml:space="preserve"> PAGEREF _Toc11252 \h </w:instrText>
      </w:r>
      <w:r>
        <w:fldChar w:fldCharType="separate"/>
      </w:r>
      <w:r>
        <w:t>46</w:t>
      </w:r>
      <w:r>
        <w:fldChar w:fldCharType="end"/>
      </w:r>
      <w:r>
        <w:rPr>
          <w:color w:val="auto"/>
          <w:szCs w:val="28"/>
        </w:rPr>
        <w:fldChar w:fldCharType="end"/>
      </w:r>
    </w:p>
    <w:p>
      <w:pPr>
        <w:spacing w:line="440" w:lineRule="exact"/>
        <w:rPr>
          <w:b/>
          <w:bCs/>
          <w:color w:val="auto"/>
          <w:sz w:val="24"/>
          <w:szCs w:val="24"/>
        </w:rPr>
        <w:sectPr>
          <w:footerReference w:type="default" r:id="rId2"/>
          <w:pgSz w:w="11906" w:h="16838"/>
          <w:pgMar w:top="1440" w:right="1800" w:bottom="1440" w:left="1800" w:header="851" w:footer="992" w:gutter="0"/>
          <w:docGrid w:type="lines" w:linePitch="312" w:charSpace="0"/>
        </w:sectPr>
      </w:pPr>
      <w:r>
        <w:rPr>
          <w:color w:val="auto"/>
          <w:szCs w:val="28"/>
        </w:rPr>
        <w:fldChar w:fldCharType="end"/>
      </w:r>
      <w:bookmarkStart w:id="0" w:name="_Toc28413"/>
      <w:bookmarkStart w:id="1" w:name="_Toc18067"/>
    </w:p>
    <w:p>
      <w:pPr>
        <w:pStyle w:val="1"/>
        <w:numPr>
          <w:ilvl w:val="0"/>
          <w:numId w:val="1"/>
        </w:numPr>
        <w:spacing w:before="260" w:line="360" w:lineRule="auto"/>
        <w:ind w:left="420"/>
        <w:jc w:val="center"/>
        <w:rPr>
          <w:rFonts w:ascii="宋体" w:eastAsia="宋体" w:cs="宋体" w:hAnsi="宋体" w:hint="eastAsia"/>
          <w:bCs/>
          <w:color w:val="auto"/>
          <w:sz w:val="32"/>
          <w:szCs w:val="32"/>
          <w:lang w:eastAsia="zh-CN"/>
        </w:rPr>
      </w:pPr>
      <w:bookmarkStart w:id="2" w:name="_Toc20400"/>
      <w:bookmarkStart w:id="3" w:name="_Toc20049"/>
      <w:bookmarkStart w:id="4" w:name="_Toc307"/>
      <w:bookmarkStart w:id="5" w:name="_Toc12534"/>
      <w:bookmarkStart w:id="6" w:name="_Toc7237"/>
      <w:bookmarkStart w:id="7" w:name="_Toc20414"/>
      <w:bookmarkStart w:id="8" w:name="_Toc23810"/>
      <w:bookmarkStart w:id="9" w:name="_Toc6350"/>
      <w:bookmarkStart w:id="10" w:name="_Toc9811"/>
      <w:bookmarkStart w:id="11" w:name="_Toc27536"/>
      <w:bookmarkEnd w:id="0"/>
      <w:bookmarkEnd w:id="1"/>
      <w:r>
        <w:rPr>
          <w:rFonts w:ascii="宋体" w:eastAsia="宋体" w:cs="宋体" w:hAnsi="宋体" w:hint="eastAsia"/>
          <w:bCs/>
          <w:color w:val="auto"/>
          <w:sz w:val="32"/>
          <w:szCs w:val="32"/>
          <w:lang w:eastAsia="zh-CN"/>
        </w:rPr>
        <w:t>规划综述</w:t>
      </w:r>
      <w:bookmarkEnd w:id="2"/>
    </w:p>
    <w:p>
      <w:pPr>
        <w:pStyle w:val="1"/>
        <w:numPr>
          <w:ilvl w:val="0"/>
          <w:numId w:val="0"/>
        </w:numPr>
        <w:spacing w:before="260" w:line="360" w:lineRule="auto"/>
        <w:ind w:left="420"/>
        <w:rPr>
          <w:rFonts w:ascii="宋体" w:eastAsia="宋体" w:cs="宋体" w:hAnsi="宋体"/>
          <w:bCs/>
          <w:color w:val="auto"/>
          <w:sz w:val="32"/>
          <w:szCs w:val="32"/>
        </w:rPr>
      </w:pPr>
      <w:bookmarkStart w:id="12" w:name="_Toc24994"/>
      <w:r>
        <w:rPr>
          <w:rFonts w:ascii="宋体" w:eastAsia="宋体" w:cs="宋体" w:hAnsi="宋体" w:hint="eastAsia"/>
          <w:bCs/>
          <w:color w:val="auto"/>
          <w:sz w:val="32"/>
          <w:szCs w:val="32"/>
          <w:lang w:val="en-US" w:eastAsia="zh-CN"/>
        </w:rPr>
        <w:t>1.1</w:t>
      </w:r>
      <w:r>
        <w:rPr>
          <w:rFonts w:ascii="宋体" w:eastAsia="宋体" w:cs="宋体" w:hAnsi="宋体" w:hint="eastAsia"/>
          <w:bCs/>
          <w:color w:val="auto"/>
          <w:sz w:val="32"/>
          <w:szCs w:val="32"/>
          <w:lang w:eastAsia="zh-CN"/>
        </w:rPr>
        <w:t>规划背景</w:t>
      </w:r>
      <w:bookmarkEnd w:id="12"/>
    </w:p>
    <w:p>
      <w:pPr>
        <w:rPr>
          <w:color w:val="auto"/>
        </w:rPr>
      </w:pP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成品油是关系国计民生的重要商品，也是重要的战略物资。根据《商务部办公厅关于印发〈石油成品油流通行业管理工作指引〉的通知》（商办消费函〔2020〕439号）、《广西壮族自治区商务厅关于印发广西壮族自治区成品油零售经营资格审批管理工作指引的函》（桂商运函〔2021〕46 号）等文件精神要求，为促进钦州市经济社会持续稳定发展，科学确定钦州市加油站发展规模、合理规划布置加油站网点、做好审批下放后规范加油站建设管理、指导加油站建设与发展、为加油站的审批、建设、管理、监督工作提供规划依据，保证钦州市成品油市场、加油站行业和仓储企业规范、有序地发展，结合钦州市经济发展、成品油消费及加油站、油库建设的实际状况，钦州市商务局组织编制了《钦州市加油站行业发展规划》(2021-2025）。</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钦州皇马资产经营集团有限公司大直加油站项目属</w:t>
      </w:r>
      <w:r>
        <w:rPr>
          <w:rFonts w:ascii="宋体" w:eastAsia="宋体" w:cs="宋体" w:hAnsi="宋体" w:hint="eastAsia"/>
          <w:color w:val="auto"/>
          <w:kern w:val="0"/>
          <w:sz w:val="28"/>
          <w:szCs w:val="28"/>
        </w:rPr>
        <w:t>《钦州市加油站行业发展规划》(2021-2025）</w:t>
      </w:r>
      <w:r>
        <w:rPr>
          <w:rFonts w:ascii="宋体" w:eastAsia="宋体" w:cs="宋体" w:hAnsi="宋体" w:hint="eastAsia"/>
          <w:color w:val="auto"/>
          <w:kern w:val="0"/>
          <w:sz w:val="28"/>
          <w:szCs w:val="28"/>
          <w:lang w:eastAsia="zh-CN"/>
        </w:rPr>
        <w:t>规划布点项目，项目场址位于钦北区大直镇区南部城郊，为了</w:t>
      </w:r>
      <w:r>
        <w:rPr>
          <w:rFonts w:ascii="宋体" w:eastAsia="宋体" w:cs="宋体" w:hAnsi="宋体" w:hint="eastAsia"/>
          <w:color w:val="auto"/>
          <w:kern w:val="0"/>
          <w:sz w:val="28"/>
          <w:szCs w:val="28"/>
        </w:rPr>
        <w:t>加快</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的开发</w:t>
      </w:r>
      <w:r>
        <w:rPr>
          <w:rFonts w:ascii="宋体" w:eastAsia="宋体" w:cs="宋体" w:hAnsi="宋体" w:hint="eastAsia"/>
          <w:color w:val="auto"/>
          <w:kern w:val="0"/>
          <w:sz w:val="28"/>
          <w:szCs w:val="28"/>
          <w:lang w:eastAsia="zh-CN"/>
        </w:rPr>
        <w:t>建设，钦州皇马资产经营集团有限公司作为投资建设主体向规划主管部门提出该</w:t>
      </w:r>
      <w:r>
        <w:rPr>
          <w:rFonts w:ascii="宋体" w:eastAsia="宋体" w:cs="宋体" w:hAnsi="宋体" w:hint="eastAsia"/>
          <w:color w:val="auto"/>
          <w:kern w:val="0"/>
          <w:sz w:val="28"/>
          <w:szCs w:val="28"/>
        </w:rPr>
        <w:t>项目</w:t>
      </w:r>
      <w:r>
        <w:rPr>
          <w:rFonts w:ascii="宋体" w:eastAsia="宋体" w:cs="宋体" w:hAnsi="宋体" w:hint="eastAsia"/>
          <w:color w:val="auto"/>
          <w:kern w:val="0"/>
          <w:sz w:val="28"/>
          <w:szCs w:val="28"/>
          <w:lang w:eastAsia="zh-CN"/>
        </w:rPr>
        <w:t>规划建设用地申请。目前项目已经取得自治区商务厅的批复和钦北区自然资源局用地预审与选址的初审意见。</w:t>
      </w:r>
    </w:p>
    <w:p>
      <w:pPr>
        <w:widowControl/>
        <w:tabs>
          <w:tab w:val="left" w:pos="8200"/>
        </w:tabs>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color w:val="auto"/>
          <w:kern w:val="0"/>
          <w:sz w:val="28"/>
          <w:szCs w:val="28"/>
        </w:rPr>
        <w:t>2024年10月，</w:t>
      </w:r>
      <w:r>
        <w:rPr>
          <w:rFonts w:ascii="宋体" w:eastAsia="宋体" w:cs="宋体" w:hAnsi="宋体" w:hint="eastAsia"/>
          <w:color w:val="auto"/>
          <w:kern w:val="0"/>
          <w:sz w:val="28"/>
          <w:szCs w:val="28"/>
        </w:rPr>
        <w:t>自治区自然资源厅印发《广西壮族自治区独立地块详细规划编制要点（试行）》的通知（桂自然资办〔</w:t>
      </w:r>
      <w:r>
        <w:rPr>
          <w:rFonts w:ascii="宋体" w:eastAsia="宋体" w:cs="宋体" w:hAnsi="宋体"/>
          <w:color w:val="auto"/>
          <w:kern w:val="0"/>
          <w:sz w:val="28"/>
          <w:szCs w:val="28"/>
        </w:rPr>
        <w:t>2024〕197号</w:t>
      </w:r>
      <w:r>
        <w:rPr>
          <w:rFonts w:ascii="宋体" w:eastAsia="宋体" w:cs="宋体" w:hAnsi="宋体" w:hint="eastAsia"/>
          <w:color w:val="auto"/>
          <w:kern w:val="0"/>
          <w:sz w:val="28"/>
          <w:szCs w:val="28"/>
        </w:rPr>
        <w:t>），提出独立地块可以编制独立地块详细规划作为简易型的国土空间详细规划。</w:t>
      </w:r>
    </w:p>
    <w:p>
      <w:pPr>
        <w:widowControl/>
        <w:spacing w:before="4"/>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目前，</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各乡镇</w:t>
      </w:r>
      <w:r>
        <w:rPr>
          <w:rFonts w:ascii="宋体" w:eastAsia="宋体" w:cs="宋体" w:hAnsi="宋体" w:hint="eastAsia"/>
          <w:color w:val="auto"/>
          <w:kern w:val="0"/>
          <w:sz w:val="28"/>
          <w:szCs w:val="28"/>
        </w:rPr>
        <w:t>国土空间</w:t>
      </w:r>
      <w:r>
        <w:rPr>
          <w:rFonts w:ascii="宋体" w:eastAsia="宋体" w:cs="宋体" w:hAnsi="宋体" w:hint="eastAsia"/>
          <w:color w:val="auto"/>
          <w:kern w:val="0"/>
          <w:sz w:val="28"/>
          <w:szCs w:val="28"/>
          <w:lang w:eastAsia="zh-CN"/>
        </w:rPr>
        <w:t>总体</w:t>
      </w:r>
      <w:r>
        <w:rPr>
          <w:rFonts w:ascii="宋体" w:eastAsia="宋体" w:cs="宋体" w:hAnsi="宋体" w:hint="eastAsia"/>
          <w:color w:val="auto"/>
          <w:kern w:val="0"/>
          <w:sz w:val="28"/>
          <w:szCs w:val="28"/>
        </w:rPr>
        <w:t>规划</w:t>
      </w:r>
      <w:r>
        <w:rPr>
          <w:rFonts w:ascii="宋体" w:eastAsia="宋体" w:cs="宋体" w:hAnsi="宋体" w:hint="eastAsia"/>
          <w:color w:val="auto"/>
          <w:kern w:val="0"/>
          <w:sz w:val="28"/>
          <w:szCs w:val="28"/>
          <w:lang w:eastAsia="zh-CN"/>
        </w:rPr>
        <w:t>还在编制阶段</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项目场址位于钦北区大直镇镇区南部城郊的</w:t>
      </w:r>
      <w:r>
        <w:rPr>
          <w:rFonts w:hint="eastAsia"/>
          <w:color w:val="auto"/>
          <w:kern w:val="0"/>
          <w:sz w:val="28"/>
          <w:szCs w:val="28"/>
          <w:lang w:val="en-US" w:eastAsia="zh-CN"/>
        </w:rPr>
        <w:t>非集中连片区域</w:t>
      </w:r>
      <w:r>
        <w:rPr>
          <w:rFonts w:ascii="宋体" w:eastAsia="宋体" w:cs="宋体" w:hAnsi="宋体" w:hint="eastAsia"/>
          <w:color w:val="auto"/>
          <w:kern w:val="0"/>
          <w:sz w:val="28"/>
          <w:szCs w:val="28"/>
          <w:lang w:eastAsia="zh-CN"/>
        </w:rPr>
        <w:t>，在城镇开发边界内</w:t>
      </w:r>
      <w:r>
        <w:rPr>
          <w:rFonts w:hint="eastAsia"/>
          <w:color w:val="auto"/>
          <w:kern w:val="0"/>
          <w:sz w:val="28"/>
          <w:szCs w:val="28"/>
          <w:lang w:val="en-US" w:eastAsia="zh-CN"/>
        </w:rPr>
        <w:t>，但与镇区有一定距离，目前周边尚未开发。用地内</w:t>
      </w:r>
      <w:r>
        <w:rPr>
          <w:rFonts w:ascii="宋体" w:eastAsia="宋体" w:cs="宋体" w:hAnsi="宋体" w:hint="eastAsia"/>
          <w:color w:val="auto"/>
          <w:kern w:val="0"/>
          <w:sz w:val="28"/>
          <w:szCs w:val="28"/>
          <w:lang w:eastAsia="zh-CN"/>
        </w:rPr>
        <w:t>主要规划建设三级零售汽车加油站，用地面积较小，功能较单一，属公用设施营业网点用地。该项目用地符合</w:t>
      </w:r>
      <w:r>
        <w:rPr>
          <w:rFonts w:ascii="宋体" w:eastAsia="宋体" w:cs="宋体" w:hAnsi="宋体" w:hint="eastAsia"/>
          <w:color w:val="auto"/>
          <w:kern w:val="0"/>
          <w:sz w:val="28"/>
          <w:szCs w:val="28"/>
        </w:rPr>
        <w:t>《广西壮族自治区独立地块详细规划编制要点（试行）》</w:t>
      </w:r>
      <w:r>
        <w:rPr>
          <w:rFonts w:ascii="宋体" w:eastAsia="宋体" w:cs="宋体" w:hAnsi="宋体" w:hint="eastAsia"/>
          <w:color w:val="auto"/>
          <w:kern w:val="0"/>
          <w:sz w:val="28"/>
          <w:szCs w:val="28"/>
          <w:lang w:eastAsia="zh-CN"/>
        </w:rPr>
        <w:t>中的“部分较为小型独立、功能单一、非集中连片的城镇开发边界内项目用地”的适用范围内。</w:t>
      </w:r>
      <w:r>
        <w:rPr>
          <w:rFonts w:ascii="宋体" w:eastAsia="宋体" w:cs="宋体" w:hAnsi="宋体" w:hint="eastAsia"/>
          <w:color w:val="auto"/>
          <w:kern w:val="0"/>
          <w:sz w:val="28"/>
          <w:szCs w:val="28"/>
        </w:rPr>
        <w:t>因此，为</w:t>
      </w:r>
      <w:r>
        <w:rPr>
          <w:rFonts w:ascii="宋体" w:eastAsia="宋体" w:cs="宋体" w:hAnsi="宋体" w:hint="eastAsia"/>
          <w:color w:val="auto"/>
          <w:kern w:val="0"/>
          <w:sz w:val="28"/>
          <w:szCs w:val="28"/>
          <w:lang w:eastAsia="zh-CN"/>
        </w:rPr>
        <w:t>了</w:t>
      </w:r>
      <w:r>
        <w:rPr>
          <w:rFonts w:ascii="宋体" w:eastAsia="宋体" w:cs="宋体" w:hAnsi="宋体" w:hint="eastAsia"/>
          <w:color w:val="auto"/>
          <w:kern w:val="0"/>
          <w:sz w:val="28"/>
          <w:szCs w:val="28"/>
        </w:rPr>
        <w:t>科学地出具规划设计条件</w:t>
      </w:r>
      <w:r>
        <w:rPr>
          <w:rFonts w:ascii="宋体" w:eastAsia="宋体" w:cs="宋体" w:hAnsi="宋体" w:hint="eastAsia"/>
          <w:color w:val="auto"/>
          <w:kern w:val="0"/>
          <w:sz w:val="28"/>
          <w:szCs w:val="28"/>
          <w:lang w:eastAsia="zh-CN"/>
        </w:rPr>
        <w:t>并</w:t>
      </w:r>
      <w:r>
        <w:rPr>
          <w:rFonts w:ascii="宋体" w:eastAsia="宋体" w:cs="宋体" w:hAnsi="宋体" w:hint="eastAsia"/>
          <w:color w:val="auto"/>
          <w:kern w:val="0"/>
          <w:sz w:val="28"/>
          <w:szCs w:val="28"/>
        </w:rPr>
        <w:t>更好地推进项目落地，编制</w:t>
      </w:r>
      <w:r>
        <w:rPr>
          <w:rFonts w:ascii="宋体" w:eastAsia="宋体" w:cs="宋体" w:hAnsi="宋体" w:hint="eastAsia"/>
          <w:color w:val="auto"/>
          <w:kern w:val="0"/>
          <w:sz w:val="28"/>
          <w:szCs w:val="28"/>
          <w:lang w:eastAsia="zh-CN"/>
        </w:rPr>
        <w:t>钦州皇马资产经营集团有限公司大直加油站项目</w:t>
      </w:r>
      <w:r>
        <w:rPr>
          <w:rFonts w:ascii="宋体" w:eastAsia="宋体" w:cs="宋体" w:hAnsi="宋体" w:hint="eastAsia"/>
          <w:color w:val="auto"/>
          <w:kern w:val="0"/>
          <w:sz w:val="28"/>
          <w:szCs w:val="28"/>
        </w:rPr>
        <w:t>独立地块详细规划</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3" w:name="_Toc7018"/>
      <w:r>
        <w:rPr>
          <w:rFonts w:ascii="宋体" w:eastAsia="宋体" w:cs="宋体" w:hAnsi="宋体" w:hint="eastAsia"/>
          <w:bCs/>
          <w:color w:val="auto"/>
          <w:sz w:val="32"/>
          <w:szCs w:val="32"/>
          <w:lang w:val="en-US" w:eastAsia="zh-CN"/>
        </w:rPr>
        <w:t>1.2</w:t>
      </w:r>
      <w:r>
        <w:rPr>
          <w:rFonts w:ascii="宋体" w:eastAsia="宋体" w:cs="宋体" w:hAnsi="宋体" w:hint="eastAsia"/>
          <w:bCs/>
          <w:color w:val="auto"/>
          <w:sz w:val="32"/>
          <w:szCs w:val="32"/>
          <w:lang w:eastAsia="zh-CN"/>
        </w:rPr>
        <w:t>项目建设内容和规模</w:t>
      </w:r>
      <w:bookmarkEnd w:id="13"/>
    </w:p>
    <w:p>
      <w:pPr>
        <w:rPr>
          <w:color w:val="auto"/>
        </w:rPr>
      </w:pPr>
    </w:p>
    <w:p>
      <w:pPr>
        <w:ind w:left="0" w:firstLineChars="200" w:firstLine="560"/>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本项目建设的主要内容是在规划用地范围内建设一座汽车加油站。用地面积约</w:t>
      </w:r>
      <w:r>
        <w:rPr>
          <w:rFonts w:ascii="宋体" w:eastAsia="宋体" w:cs="宋体" w:hAnsi="宋体" w:hint="eastAsia"/>
          <w:color w:val="auto"/>
          <w:kern w:val="0"/>
          <w:sz w:val="28"/>
          <w:szCs w:val="28"/>
          <w:lang w:val="en-US" w:eastAsia="zh-CN"/>
        </w:rPr>
        <w:t>0.33公顷，主要建设一层站房计容建筑面积约144平方米，罩棚计容建筑面积约181平方米；同时配套建设站内道路、停车场、实体围墙、绿化以及管线等设施。</w:t>
      </w:r>
      <w:r>
        <w:rPr>
          <w:rFonts w:ascii="宋体" w:eastAsia="宋体" w:cs="宋体" w:hAnsi="宋体" w:hint="eastAsia"/>
          <w:color w:val="auto"/>
          <w:kern w:val="0"/>
          <w:sz w:val="28"/>
          <w:szCs w:val="28"/>
          <w:lang w:eastAsia="zh-CN"/>
        </w:rPr>
        <w:t>加油站规模等级为三级，站内</w:t>
      </w:r>
      <w:r>
        <w:rPr>
          <w:rFonts w:ascii="宋体" w:eastAsia="宋体" w:cs="宋体" w:hAnsi="宋体" w:hint="eastAsia"/>
          <w:color w:val="auto"/>
          <w:kern w:val="0"/>
          <w:sz w:val="28"/>
          <w:szCs w:val="28"/>
          <w:lang w:val="en-US" w:eastAsia="zh-CN"/>
        </w:rPr>
        <w:t>设2台六枪加油机；</w:t>
      </w:r>
      <w:r>
        <w:rPr>
          <w:rFonts w:ascii="宋体" w:eastAsia="宋体" w:cs="宋体" w:hAnsi="宋体" w:hint="eastAsia"/>
          <w:color w:val="auto"/>
          <w:kern w:val="0"/>
          <w:sz w:val="28"/>
          <w:szCs w:val="28"/>
          <w:lang w:eastAsia="zh-CN"/>
        </w:rPr>
        <w:t>设埋地式储油罐</w:t>
      </w:r>
      <w:r>
        <w:rPr>
          <w:rFonts w:ascii="宋体" w:eastAsia="宋体" w:cs="宋体" w:hAnsi="宋体" w:hint="eastAsia"/>
          <w:color w:val="auto"/>
          <w:kern w:val="0"/>
          <w:sz w:val="28"/>
          <w:szCs w:val="28"/>
          <w:lang w:val="en-US" w:eastAsia="zh-CN"/>
        </w:rPr>
        <w:t>3台，其中30m³0#柴油储罐1台、30m³92#汽油储罐1台、30m³95#汽油储罐1台，总容量为90m³，折合汽油容积75m³。</w:t>
      </w:r>
    </w:p>
    <w:p>
      <w:pPr>
        <w:pStyle w:val="1"/>
        <w:numPr>
          <w:ilvl w:val="0"/>
          <w:numId w:val="0"/>
        </w:numPr>
        <w:spacing w:before="260" w:line="360" w:lineRule="auto"/>
        <w:ind w:left="420"/>
        <w:rPr>
          <w:rFonts w:ascii="宋体" w:eastAsia="宋体" w:cs="宋体" w:hAnsi="宋体"/>
          <w:bCs/>
          <w:color w:val="auto"/>
          <w:sz w:val="32"/>
          <w:szCs w:val="32"/>
        </w:rPr>
      </w:pPr>
      <w:bookmarkStart w:id="14" w:name="_Toc15333"/>
      <w:r>
        <w:rPr>
          <w:rFonts w:ascii="宋体" w:eastAsia="宋体" w:cs="宋体" w:hAnsi="宋体" w:hint="eastAsia"/>
          <w:bCs/>
          <w:color w:val="auto"/>
          <w:sz w:val="32"/>
          <w:szCs w:val="32"/>
          <w:lang w:val="en-US" w:eastAsia="zh-CN"/>
        </w:rPr>
        <w:t>1.3</w:t>
      </w:r>
      <w:r>
        <w:rPr>
          <w:rFonts w:ascii="宋体" w:eastAsia="宋体" w:cs="宋体" w:hAnsi="宋体" w:hint="eastAsia"/>
          <w:bCs/>
          <w:color w:val="auto"/>
          <w:sz w:val="32"/>
          <w:szCs w:val="32"/>
          <w:lang w:eastAsia="zh-CN"/>
        </w:rPr>
        <w:t>规划范围</w:t>
      </w:r>
      <w:bookmarkEnd w:id="14"/>
    </w:p>
    <w:p>
      <w:pPr>
        <w:rPr>
          <w:color w:val="auto"/>
        </w:rPr>
      </w:pP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本项目场址位于钦北区大直镇区南部城郊，即钦北区大直镇</w:t>
      </w:r>
      <w:r>
        <w:rPr>
          <w:rFonts w:ascii="宋体" w:eastAsia="宋体" w:cs="宋体" w:hAnsi="宋体" w:hint="eastAsia"/>
          <w:color w:val="auto"/>
          <w:kern w:val="0"/>
          <w:sz w:val="28"/>
          <w:szCs w:val="28"/>
          <w:lang w:val="en-US" w:eastAsia="zh-CN"/>
        </w:rPr>
        <w:t>G210国道与</w:t>
      </w:r>
      <w:r>
        <w:rPr>
          <w:rFonts w:ascii="宋体" w:eastAsia="宋体" w:cs="宋体" w:hAnsi="宋体" w:hint="eastAsia"/>
          <w:color w:val="auto"/>
          <w:kern w:val="0"/>
          <w:sz w:val="28"/>
          <w:szCs w:val="28"/>
          <w:lang w:eastAsia="zh-CN"/>
        </w:rPr>
        <w:t>南防南路交汇处往南约</w:t>
      </w:r>
      <w:r>
        <w:rPr>
          <w:rFonts w:ascii="宋体" w:eastAsia="宋体" w:cs="宋体" w:hAnsi="宋体" w:hint="eastAsia"/>
          <w:color w:val="auto"/>
          <w:kern w:val="0"/>
          <w:sz w:val="28"/>
          <w:szCs w:val="28"/>
          <w:lang w:val="en-US" w:eastAsia="zh-CN"/>
        </w:rPr>
        <w:t>250米。规划</w:t>
      </w:r>
      <w:r>
        <w:rPr>
          <w:rFonts w:ascii="宋体" w:eastAsia="宋体" w:cs="宋体" w:hAnsi="宋体" w:hint="eastAsia"/>
          <w:color w:val="auto"/>
          <w:kern w:val="0"/>
          <w:sz w:val="28"/>
          <w:szCs w:val="28"/>
          <w:lang w:eastAsia="zh-CN"/>
        </w:rPr>
        <w:t>地块南北偏东朝向，用地面积约为</w:t>
      </w:r>
      <w:r>
        <w:rPr>
          <w:rFonts w:ascii="宋体" w:eastAsia="宋体" w:cs="宋体" w:hAnsi="宋体" w:hint="eastAsia"/>
          <w:color w:val="auto"/>
          <w:kern w:val="0"/>
          <w:sz w:val="28"/>
          <w:szCs w:val="28"/>
          <w:lang w:val="en-US" w:eastAsia="zh-CN"/>
        </w:rPr>
        <w:t>0.33公顷，站内</w:t>
      </w:r>
      <w:r>
        <w:rPr>
          <w:rFonts w:ascii="宋体" w:eastAsia="宋体" w:cs="宋体" w:hAnsi="宋体" w:hint="eastAsia"/>
          <w:color w:val="auto"/>
          <w:kern w:val="0"/>
          <w:sz w:val="28"/>
          <w:szCs w:val="28"/>
          <w:lang w:eastAsia="zh-CN"/>
        </w:rPr>
        <w:t>地块南北平均长约</w:t>
      </w:r>
      <w:r>
        <w:rPr>
          <w:rFonts w:ascii="宋体" w:eastAsia="宋体" w:cs="宋体" w:hAnsi="宋体" w:hint="eastAsia"/>
          <w:color w:val="auto"/>
          <w:kern w:val="0"/>
          <w:sz w:val="28"/>
          <w:szCs w:val="28"/>
          <w:lang w:val="en-US" w:eastAsia="zh-CN"/>
        </w:rPr>
        <w:t>85米，北端东西宽约18米，南端东西宽约58米，用地</w:t>
      </w:r>
      <w:r>
        <w:rPr>
          <w:rFonts w:ascii="宋体" w:eastAsia="宋体" w:cs="宋体" w:hAnsi="宋体" w:hint="eastAsia"/>
          <w:color w:val="auto"/>
          <w:kern w:val="0"/>
          <w:sz w:val="28"/>
          <w:szCs w:val="28"/>
          <w:lang w:eastAsia="zh-CN"/>
        </w:rPr>
        <w:t>形状大体呈梯形</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5" w:name="_Toc23278"/>
      <w:r>
        <w:rPr>
          <w:rFonts w:ascii="宋体" w:eastAsia="宋体" w:cs="宋体" w:hAnsi="宋体" w:hint="eastAsia"/>
          <w:bCs/>
          <w:color w:val="auto"/>
          <w:sz w:val="32"/>
          <w:szCs w:val="32"/>
          <w:lang w:val="en-US" w:eastAsia="zh-CN"/>
        </w:rPr>
        <w:t>1.4</w:t>
      </w:r>
      <w:r>
        <w:rPr>
          <w:rFonts w:ascii="宋体" w:eastAsia="宋体" w:cs="宋体" w:hAnsi="宋体" w:hint="eastAsia"/>
          <w:bCs/>
          <w:color w:val="auto"/>
          <w:sz w:val="32"/>
          <w:szCs w:val="32"/>
          <w:lang w:eastAsia="zh-CN"/>
        </w:rPr>
        <w:t>数据基础</w:t>
      </w:r>
      <w:bookmarkEnd w:id="15"/>
    </w:p>
    <w:p>
      <w:pPr>
        <w:rPr>
          <w:color w:val="auto"/>
        </w:rPr>
      </w:pPr>
    </w:p>
    <w:p>
      <w:pPr>
        <w:ind w:left="0" w:firstLineChars="200" w:firstLine="560"/>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采用“三调”及基期年2024年年度国土变更调查数据成果的村域行政区边界、土地利用现状等为底图基础。平面坐标系统采用2000国家大地坐标系；高程系统采用1985国家高程基准；投影方式采用高斯——克吕格投影，按3°分带</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6" w:name="_Toc32404"/>
      <w:r>
        <w:rPr>
          <w:rFonts w:ascii="宋体" w:eastAsia="宋体" w:cs="宋体" w:hAnsi="宋体" w:hint="eastAsia"/>
          <w:bCs/>
          <w:color w:val="auto"/>
          <w:sz w:val="32"/>
          <w:szCs w:val="32"/>
          <w:lang w:val="en-US" w:eastAsia="zh-CN"/>
        </w:rPr>
        <w:t>1.5</w:t>
      </w:r>
      <w:r>
        <w:rPr>
          <w:rFonts w:ascii="宋体" w:eastAsia="宋体" w:cs="宋体" w:hAnsi="宋体" w:hint="eastAsia"/>
          <w:bCs/>
          <w:color w:val="auto"/>
          <w:sz w:val="32"/>
          <w:szCs w:val="32"/>
          <w:lang w:eastAsia="zh-CN"/>
        </w:rPr>
        <w:t>规划依据</w:t>
      </w:r>
      <w:bookmarkEnd w:id="16"/>
    </w:p>
    <w:p>
      <w:pPr>
        <w:rPr>
          <w:color w:val="auto"/>
        </w:rPr>
      </w:pP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1.5.1 法规条例</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《中华人民共和国城乡规划法（</w:t>
      </w:r>
      <w:r>
        <w:rPr>
          <w:rFonts w:ascii="宋体" w:eastAsia="宋体" w:cs="宋体" w:hAnsi="宋体"/>
          <w:color w:val="auto"/>
          <w:kern w:val="0"/>
          <w:sz w:val="28"/>
          <w:szCs w:val="28"/>
        </w:rPr>
        <w:t>2019年修订）</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《中华人民共和国土地管理法》（</w:t>
      </w:r>
      <w:r>
        <w:rPr>
          <w:rFonts w:ascii="宋体" w:eastAsia="宋体" w:cs="宋体" w:hAnsi="宋体"/>
          <w:color w:val="auto"/>
          <w:kern w:val="0"/>
          <w:sz w:val="28"/>
          <w:szCs w:val="28"/>
        </w:rPr>
        <w:t>2019年修订）；</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《中华人民共和国公路法》（</w:t>
      </w:r>
      <w:r>
        <w:rPr>
          <w:rFonts w:ascii="宋体" w:eastAsia="宋体" w:cs="宋体" w:hAnsi="宋体"/>
          <w:color w:val="auto"/>
          <w:kern w:val="0"/>
          <w:sz w:val="28"/>
          <w:szCs w:val="28"/>
        </w:rPr>
        <w:t>2017年修订）；</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《中华人民共和国消防法》（</w:t>
      </w:r>
      <w:r>
        <w:rPr>
          <w:rFonts w:ascii="宋体" w:eastAsia="宋体" w:cs="宋体" w:hAnsi="宋体"/>
          <w:color w:val="auto"/>
          <w:kern w:val="0"/>
          <w:sz w:val="28"/>
          <w:szCs w:val="28"/>
        </w:rPr>
        <w:t>2019年修订）；</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《中华人民共和国环境保护法》（</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4</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《中华人民共和国固体废物污染环境防治法》</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w:t>
      </w:r>
      <w:r>
        <w:rPr>
          <w:rFonts w:ascii="宋体" w:eastAsia="宋体" w:cs="宋体" w:hAnsi="宋体" w:hint="eastAsia"/>
          <w:color w:val="auto"/>
          <w:kern w:val="0"/>
          <w:sz w:val="28"/>
          <w:szCs w:val="28"/>
          <w:lang w:val="en-US" w:eastAsia="zh-CN"/>
        </w:rPr>
        <w:t>20</w:t>
      </w:r>
      <w:r>
        <w:rPr>
          <w:rFonts w:ascii="宋体" w:eastAsia="宋体" w:cs="宋体" w:hAnsi="宋体"/>
          <w:color w:val="auto"/>
          <w:kern w:val="0"/>
          <w:sz w:val="28"/>
          <w:szCs w:val="28"/>
        </w:rPr>
        <w:t>年修订）</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公路安全保护条例</w:t>
      </w:r>
      <w:r>
        <w:rPr>
          <w:rFonts w:ascii="宋体" w:eastAsia="宋体" w:cs="宋体" w:hAnsi="宋体" w:hint="eastAsia"/>
          <w:color w:val="auto"/>
          <w:kern w:val="0"/>
          <w:sz w:val="28"/>
          <w:szCs w:val="28"/>
        </w:rPr>
        <w:t>》（国务院令第593号</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《中华人民共和国</w:t>
      </w:r>
      <w:r>
        <w:rPr>
          <w:rFonts w:ascii="宋体" w:eastAsia="宋体" w:cs="宋体" w:hAnsi="宋体" w:hint="eastAsia"/>
          <w:color w:val="auto"/>
          <w:kern w:val="0"/>
          <w:sz w:val="28"/>
          <w:szCs w:val="28"/>
          <w:lang w:eastAsia="zh-CN"/>
        </w:rPr>
        <w:t>自然保护区条例</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eastAsia="zh-CN"/>
        </w:rPr>
        <w:t>7</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《中华人民共和国</w:t>
      </w:r>
      <w:r>
        <w:rPr>
          <w:rFonts w:ascii="宋体" w:eastAsia="宋体" w:cs="宋体" w:hAnsi="宋体" w:hint="eastAsia"/>
          <w:color w:val="auto"/>
          <w:kern w:val="0"/>
          <w:sz w:val="28"/>
          <w:szCs w:val="28"/>
          <w:lang w:eastAsia="zh-CN"/>
        </w:rPr>
        <w:t>水</w:t>
      </w:r>
      <w:r>
        <w:rPr>
          <w:rFonts w:ascii="宋体" w:eastAsia="宋体" w:cs="宋体" w:hAnsi="宋体" w:hint="eastAsia"/>
          <w:color w:val="auto"/>
          <w:kern w:val="0"/>
          <w:sz w:val="28"/>
          <w:szCs w:val="28"/>
        </w:rPr>
        <w:t>法（</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eastAsia="zh-CN"/>
        </w:rPr>
        <w:t>6</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《中华人民共和国</w:t>
      </w:r>
      <w:r>
        <w:rPr>
          <w:rFonts w:ascii="宋体" w:eastAsia="宋体" w:cs="宋体" w:hAnsi="宋体" w:hint="eastAsia"/>
          <w:color w:val="auto"/>
          <w:kern w:val="0"/>
          <w:sz w:val="28"/>
          <w:szCs w:val="28"/>
          <w:lang w:eastAsia="zh-CN"/>
        </w:rPr>
        <w:t>矿产资源</w:t>
      </w:r>
      <w:r>
        <w:rPr>
          <w:rFonts w:ascii="宋体" w:eastAsia="宋体" w:cs="宋体" w:hAnsi="宋体" w:hint="eastAsia"/>
          <w:color w:val="auto"/>
          <w:kern w:val="0"/>
          <w:sz w:val="28"/>
          <w:szCs w:val="28"/>
        </w:rPr>
        <w:t>法（</w:t>
      </w:r>
      <w:r>
        <w:rPr>
          <w:rFonts w:ascii="宋体" w:eastAsia="宋体" w:cs="宋体" w:hAnsi="宋体"/>
          <w:color w:val="auto"/>
          <w:kern w:val="0"/>
          <w:sz w:val="28"/>
          <w:szCs w:val="28"/>
        </w:rPr>
        <w:t>20</w:t>
      </w:r>
      <w:r>
        <w:rPr>
          <w:rFonts w:ascii="宋体" w:eastAsia="宋体" w:cs="宋体" w:hAnsi="宋体" w:hint="eastAsia"/>
          <w:color w:val="auto"/>
          <w:kern w:val="0"/>
          <w:sz w:val="28"/>
          <w:szCs w:val="28"/>
          <w:lang w:eastAsia="zh-CN"/>
        </w:rPr>
        <w:t>0</w:t>
      </w:r>
      <w:r>
        <w:rPr>
          <w:rFonts w:ascii="宋体" w:eastAsia="宋体" w:cs="宋体" w:hAnsi="宋体" w:hint="eastAsia"/>
          <w:color w:val="auto"/>
          <w:kern w:val="0"/>
          <w:sz w:val="28"/>
          <w:szCs w:val="28"/>
          <w:lang w:val="en-US" w:eastAsia="zh-CN"/>
        </w:rPr>
        <w:t>9</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《中华人民共和国安全生产法（</w:t>
      </w:r>
      <w:r>
        <w:rPr>
          <w:rFonts w:ascii="宋体" w:eastAsia="宋体" w:cs="宋体" w:hAnsi="宋体"/>
          <w:color w:val="auto"/>
          <w:kern w:val="0"/>
          <w:sz w:val="28"/>
          <w:szCs w:val="28"/>
        </w:rPr>
        <w:t>20</w:t>
      </w:r>
      <w:r>
        <w:rPr>
          <w:rFonts w:ascii="宋体" w:eastAsia="宋体" w:cs="宋体" w:hAnsi="宋体" w:hint="eastAsia"/>
          <w:color w:val="auto"/>
          <w:kern w:val="0"/>
          <w:sz w:val="28"/>
          <w:szCs w:val="28"/>
          <w:lang w:val="en-US" w:eastAsia="zh-CN"/>
        </w:rPr>
        <w:t>21</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《危险化学品安全管理条例》（国务院令第344号）；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《中华人民共和国土地管理法</w:t>
      </w:r>
      <w:r>
        <w:rPr>
          <w:rFonts w:ascii="宋体" w:eastAsia="宋体" w:cs="宋体" w:hAnsi="宋体" w:hint="eastAsia"/>
          <w:color w:val="auto"/>
          <w:kern w:val="0"/>
          <w:sz w:val="28"/>
          <w:szCs w:val="28"/>
          <w:lang w:eastAsia="zh-CN"/>
        </w:rPr>
        <w:t>实施条例</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w:t>
      </w:r>
      <w:r>
        <w:rPr>
          <w:rFonts w:ascii="宋体" w:eastAsia="宋体" w:cs="宋体" w:hAnsi="宋体" w:hint="eastAsia"/>
          <w:color w:val="auto"/>
          <w:kern w:val="0"/>
          <w:sz w:val="28"/>
          <w:szCs w:val="28"/>
          <w:lang w:eastAsia="zh-CN"/>
        </w:rPr>
        <w:t>2</w:t>
      </w:r>
      <w:r>
        <w:rPr>
          <w:rFonts w:ascii="宋体" w:eastAsia="宋体" w:cs="宋体" w:hAnsi="宋体" w:hint="eastAsia"/>
          <w:color w:val="auto"/>
          <w:kern w:val="0"/>
          <w:sz w:val="28"/>
          <w:szCs w:val="28"/>
          <w:lang w:val="en-US" w:eastAsia="zh-CN"/>
        </w:rPr>
        <w:t>1</w:t>
      </w:r>
      <w:r>
        <w:rPr>
          <w:rFonts w:ascii="宋体" w:eastAsia="宋体" w:cs="宋体" w:hAnsi="宋体"/>
          <w:color w:val="auto"/>
          <w:kern w:val="0"/>
          <w:sz w:val="28"/>
          <w:szCs w:val="28"/>
        </w:rPr>
        <w:t>年修订）</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基本农田保护条例</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2019年修订）</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土地复垦条例</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w:t>
      </w:r>
      <w:r>
        <w:rPr>
          <w:rFonts w:ascii="宋体" w:eastAsia="宋体" w:cs="宋体" w:hAnsi="宋体" w:hint="eastAsia"/>
          <w:color w:val="auto"/>
          <w:kern w:val="0"/>
          <w:sz w:val="28"/>
          <w:szCs w:val="28"/>
          <w:lang w:eastAsia="zh-CN"/>
        </w:rPr>
        <w:t>1</w:t>
      </w:r>
      <w:r>
        <w:rPr>
          <w:rFonts w:ascii="宋体" w:eastAsia="宋体" w:cs="宋体" w:hAnsi="宋体" w:hint="eastAsia"/>
          <w:color w:val="auto"/>
          <w:kern w:val="0"/>
          <w:sz w:val="28"/>
          <w:szCs w:val="28"/>
          <w:lang w:val="en-US" w:eastAsia="zh-CN"/>
        </w:rPr>
        <w:t>1</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颁布</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《城市规划编制办法》</w:t>
      </w:r>
      <w:r>
        <w:rPr>
          <w:rFonts w:ascii="宋体" w:eastAsia="宋体" w:cs="宋体" w:hAnsi="宋体"/>
          <w:color w:val="auto"/>
          <w:kern w:val="0"/>
          <w:sz w:val="28"/>
          <w:szCs w:val="28"/>
        </w:rPr>
        <w:t>2006；</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《广西壮族自治区实施</w:t>
      </w:r>
      <w:r>
        <w:rPr>
          <w:rFonts w:ascii="宋体" w:eastAsia="宋体" w:cs="宋体" w:hAnsi="宋体"/>
          <w:color w:val="auto"/>
          <w:kern w:val="0"/>
          <w:sz w:val="28"/>
          <w:szCs w:val="28"/>
        </w:rPr>
        <w:t>&lt;</w:t>
      </w:r>
      <w:r>
        <w:rPr>
          <w:rFonts w:ascii="宋体" w:eastAsia="宋体" w:cs="宋体" w:hAnsi="宋体" w:hint="eastAsia"/>
          <w:color w:val="auto"/>
          <w:kern w:val="0"/>
          <w:sz w:val="28"/>
          <w:szCs w:val="28"/>
        </w:rPr>
        <w:t>中华人民共和国城乡规划法</w:t>
      </w:r>
      <w:r>
        <w:rPr>
          <w:rFonts w:ascii="宋体" w:eastAsia="宋体" w:cs="宋体" w:hAnsi="宋体"/>
          <w:color w:val="auto"/>
          <w:kern w:val="0"/>
          <w:sz w:val="28"/>
          <w:szCs w:val="28"/>
        </w:rPr>
        <w:t>&gt;</w:t>
      </w:r>
      <w:r>
        <w:rPr>
          <w:rFonts w:ascii="宋体" w:eastAsia="宋体" w:cs="宋体" w:hAnsi="宋体" w:hint="eastAsia"/>
          <w:color w:val="auto"/>
          <w:kern w:val="0"/>
          <w:sz w:val="28"/>
          <w:szCs w:val="28"/>
        </w:rPr>
        <w:t>办法》</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《成品油市场管理办法》（商务部2006年第23号令）；</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其他国家有关土地、水、矿产资源利用、保护与管理的法律法规及地方法规。</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1.5.2 相关文件</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广西壮族自治区经济贸易委员会关于同意补发《成品油零售经营批准证书》的批复（桂经贸贸易函〔20</w:t>
      </w:r>
      <w:r>
        <w:rPr>
          <w:rFonts w:ascii="宋体" w:eastAsia="宋体" w:cs="宋体" w:hAnsi="宋体" w:hint="eastAsia"/>
          <w:color w:val="auto"/>
          <w:kern w:val="0"/>
          <w:sz w:val="28"/>
          <w:szCs w:val="28"/>
          <w:lang w:val="en-US" w:eastAsia="zh-CN"/>
        </w:rPr>
        <w:t>03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598</w:t>
      </w:r>
      <w:r>
        <w:rPr>
          <w:rFonts w:ascii="宋体" w:eastAsia="宋体" w:cs="宋体" w:hAnsi="宋体" w:hint="eastAsia"/>
          <w:color w:val="auto"/>
          <w:kern w:val="0"/>
          <w:sz w:val="28"/>
          <w:szCs w:val="28"/>
          <w:lang w:eastAsia="zh-CN"/>
        </w:rPr>
        <w:t>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《自治区商务厅关于确认中石化广西柳州柳东新区第一加油站等</w:t>
      </w:r>
      <w:r>
        <w:rPr>
          <w:rFonts w:ascii="宋体" w:eastAsia="宋体" w:cs="宋体" w:hAnsi="宋体" w:hint="eastAsia"/>
          <w:color w:val="auto"/>
          <w:kern w:val="0"/>
          <w:sz w:val="28"/>
          <w:szCs w:val="28"/>
          <w:lang w:val="en-US" w:eastAsia="zh-CN"/>
        </w:rPr>
        <w:t>52座新建加油站规划的批复</w:t>
      </w:r>
      <w:r>
        <w:rPr>
          <w:rFonts w:ascii="宋体" w:eastAsia="宋体" w:cs="宋体" w:hAnsi="宋体" w:hint="eastAsia"/>
          <w:color w:val="auto"/>
          <w:kern w:val="0"/>
          <w:sz w:val="28"/>
          <w:szCs w:val="28"/>
          <w:lang w:eastAsia="zh-CN"/>
        </w:rPr>
        <w:t>》（桂商改函〔20</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50</w:t>
      </w:r>
      <w:r>
        <w:rPr>
          <w:rFonts w:ascii="宋体" w:eastAsia="宋体" w:cs="宋体" w:hAnsi="宋体" w:hint="eastAsia"/>
          <w:color w:val="auto"/>
          <w:kern w:val="0"/>
          <w:sz w:val="28"/>
          <w:szCs w:val="28"/>
          <w:lang w:eastAsia="zh-CN"/>
        </w:rPr>
        <w:t xml:space="preserve"> 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《商务部办公厅关于印发〈石油成品油流通行业管理工作指引〉的通知》（商办消费函〔2020〕439号）；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《广西壮族自治区商务厅关于印发广西壮族自治区成品油零售经营资格审批管理工作指引的函》（桂商运函〔2021〕46号）；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《广西壮族自治区人民政府关于下放成品油零售经营资格审批权限的通知》（桂政电〔2020〕27 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《广西壮族自治区建设用地控制指标（2021年修订）》（桂自然资发〔2021〕81号）；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《广西加油站、加气站、油库建设用地控制指标》（</w:t>
      </w:r>
      <w:r>
        <w:rPr>
          <w:rFonts w:ascii="宋体" w:eastAsia="宋体" w:cs="宋体" w:hAnsi="宋体" w:hint="eastAsia"/>
          <w:color w:val="auto"/>
          <w:kern w:val="0"/>
          <w:sz w:val="28"/>
          <w:szCs w:val="28"/>
          <w:lang w:val="en-US" w:eastAsia="zh-CN"/>
        </w:rPr>
        <w:t>2021年修订</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广西壮族自治区自然资源厅关于印发《广西城镇开发边界管理实施细则（试行）》的通知（桂自然资发〔2024〕26号）；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《广西壮族自治区城镇开发边界内控制性详细规划编制导则（试行）》；</w:t>
      </w:r>
    </w:p>
    <w:p>
      <w:pPr>
        <w:pStyle w:val="17"/>
        <w:ind w:firstLineChars="200" w:firstLine="560"/>
        <w:rPr>
          <w:rFonts w:ascii="宋体" w:eastAsia="宋体" w:cs="宋体" w:hAnsi="宋体"/>
          <w:color w:val="auto"/>
          <w:kern w:val="0"/>
          <w:sz w:val="28"/>
          <w:szCs w:val="28"/>
        </w:rPr>
      </w:pPr>
      <w:r>
        <w:rPr>
          <w:rFonts w:ascii="宋体" w:eastAsia="宋体" w:cs="宋体" w:hAnsi="宋体" w:hint="eastAsia"/>
          <w:color w:val="auto"/>
          <w:kern w:val="0"/>
          <w:sz w:val="28"/>
          <w:szCs w:val="28"/>
        </w:rPr>
        <w:t>广西壮族自治区自然资源厅办公室关于印发《广西壮族自治区独立地块详细规划编制要点（试行）》的通知（桂</w:t>
      </w:r>
      <w:r>
        <w:rPr>
          <w:rFonts w:ascii="宋体" w:eastAsia="宋体" w:cs="宋体" w:hAnsi="宋体" w:hint="eastAsia"/>
          <w:color w:val="auto"/>
          <w:kern w:val="0"/>
          <w:sz w:val="28"/>
          <w:szCs w:val="28"/>
          <w:lang w:eastAsia="zh-CN"/>
        </w:rPr>
        <w:t>自然资办</w:t>
      </w:r>
      <w:r>
        <w:rPr>
          <w:rFonts w:ascii="宋体" w:eastAsia="宋体" w:cs="宋体" w:hAnsi="宋体" w:hint="eastAsia"/>
          <w:color w:val="auto"/>
          <w:kern w:val="0"/>
          <w:sz w:val="28"/>
          <w:szCs w:val="28"/>
        </w:rPr>
        <w:t>〔202</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197</w:t>
      </w:r>
      <w:r>
        <w:rPr>
          <w:rFonts w:ascii="宋体" w:eastAsia="宋体" w:cs="宋体" w:hAnsi="宋体" w:hint="eastAsia"/>
          <w:color w:val="auto"/>
          <w:kern w:val="0"/>
          <w:sz w:val="28"/>
          <w:szCs w:val="28"/>
        </w:rPr>
        <w:t>号）</w:t>
      </w:r>
      <w:r>
        <w:rPr>
          <w:rFonts w:ascii="宋体" w:eastAsia="宋体" w:cs="宋体" w:hAnsi="宋体" w:hint="eastAsia"/>
          <w:color w:val="auto"/>
          <w:kern w:val="0"/>
          <w:sz w:val="28"/>
          <w:szCs w:val="28"/>
          <w:lang w:eastAsia="zh-CN"/>
        </w:rPr>
        <w:t>。</w:t>
      </w:r>
    </w:p>
    <w:p>
      <w:pPr>
        <w:pStyle w:val="17"/>
        <w:widowControl/>
        <w:autoSpaceDE w:val="0"/>
        <w:autoSpaceDN w:val="0"/>
        <w:spacing w:before="4" w:line="420" w:lineRule="auto"/>
        <w:ind w:left="118" w:right="351" w:firstLineChars="200" w:firstLine="560"/>
        <w:jc w:val="left"/>
        <w:rPr>
          <w:rFonts w:hint="eastAsia"/>
          <w:color w:val="auto"/>
          <w:lang w:eastAsia="zh-CN"/>
        </w:rPr>
      </w:pPr>
      <w:r>
        <w:rPr>
          <w:rFonts w:hint="eastAsia"/>
          <w:b/>
          <w:bCs/>
          <w:color w:val="auto"/>
          <w:sz w:val="28"/>
          <w:szCs w:val="28"/>
          <w:lang w:val="en-US" w:eastAsia="zh-CN"/>
        </w:rPr>
        <w:t>1.5.3 规范标准</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《成品油零售企业管理技术规范》（SB/T10390-2004）；</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《石油库设计规范》（GB50074-2014）；</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《汽车加油加气加氢站技术标准》（GB50156-2021）；</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《加油站大气污染物排放标准》（GB20952-20</w:t>
      </w:r>
      <w:r>
        <w:rPr>
          <w:rFonts w:ascii="宋体" w:eastAsia="宋体" w:cs="宋体" w:hAnsi="宋体" w:hint="eastAsia"/>
          <w:color w:val="auto"/>
          <w:kern w:val="0"/>
          <w:sz w:val="28"/>
          <w:szCs w:val="28"/>
          <w:lang w:val="en-US" w:eastAsia="zh-CN"/>
        </w:rPr>
        <w:t>20</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《建筑设计防火规范》（</w:t>
      </w:r>
      <w:r>
        <w:rPr>
          <w:rFonts w:ascii="宋体" w:eastAsia="宋体" w:cs="宋体" w:hAnsi="宋体"/>
          <w:color w:val="auto"/>
          <w:kern w:val="0"/>
          <w:sz w:val="28"/>
          <w:szCs w:val="28"/>
        </w:rPr>
        <w:t>GB50016-2014）（2018版）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Times New Roman"/>
          <w:color w:val="auto"/>
          <w:kern w:val="0"/>
          <w:sz w:val="24"/>
          <w:szCs w:val="24"/>
        </w:rPr>
      </w:pP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《国土空间调查、规划、用途管制用地用海分类指南》</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2023年</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《第三次全国国土调查技术规程》（TD/T 1055—2019）；</w:t>
      </w:r>
    </w:p>
    <w:p>
      <w:pPr>
        <w:ind w:left="0" w:firstLineChars="200" w:firstLine="560"/>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其他国家</w:t>
      </w:r>
      <w:r>
        <w:rPr>
          <w:rFonts w:ascii="宋体" w:eastAsia="宋体" w:cs="宋体" w:hAnsi="宋体" w:hint="eastAsia"/>
          <w:color w:val="auto"/>
          <w:kern w:val="0"/>
          <w:sz w:val="28"/>
          <w:szCs w:val="28"/>
          <w:lang w:eastAsia="zh-CN"/>
        </w:rPr>
        <w:t>相关技术</w:t>
      </w:r>
      <w:r>
        <w:rPr>
          <w:rFonts w:ascii="宋体" w:eastAsia="宋体" w:cs="宋体" w:hAnsi="宋体" w:hint="eastAsia"/>
          <w:color w:val="auto"/>
          <w:kern w:val="0"/>
          <w:sz w:val="28"/>
          <w:szCs w:val="28"/>
        </w:rPr>
        <w:t>规范</w:t>
      </w:r>
      <w:r>
        <w:rPr>
          <w:rFonts w:ascii="宋体" w:eastAsia="宋体" w:cs="宋体" w:hAnsi="宋体" w:hint="eastAsia"/>
          <w:color w:val="auto"/>
          <w:kern w:val="0"/>
          <w:sz w:val="28"/>
          <w:szCs w:val="28"/>
          <w:lang w:eastAsia="zh-CN"/>
        </w:rPr>
        <w:t>和标准。</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1.5.4 相关规划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《广西壮族自治区国民经济和社会发展第十四个五年规划和2035年远景目标纲要》；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《钦州市国民经济和社会发展第十四个五年规划和2035年远景目标纲要》；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《钦北区国民经济和社会发展第十四个五年规划和2035 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《钦州市加油站行业发展规划（20</w:t>
      </w:r>
      <w:r>
        <w:rPr>
          <w:rFonts w:ascii="宋体" w:eastAsia="宋体" w:cs="宋体" w:hAnsi="宋体" w:hint="eastAsia"/>
          <w:color w:val="auto"/>
          <w:kern w:val="0"/>
          <w:sz w:val="28"/>
          <w:szCs w:val="28"/>
          <w:lang w:val="en-US" w:eastAsia="zh-CN"/>
        </w:rPr>
        <w:t>21</w:t>
      </w:r>
      <w:r>
        <w:rPr>
          <w:rFonts w:ascii="宋体" w:eastAsia="宋体" w:cs="宋体" w:hAnsi="宋体" w:hint="eastAsia"/>
          <w:color w:val="auto"/>
          <w:kern w:val="0"/>
          <w:sz w:val="28"/>
          <w:szCs w:val="28"/>
          <w:lang w:eastAsia="zh-CN"/>
        </w:rPr>
        <w:t>-2025）》；</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《钦州市国土空间总体规划（2021-2035年）》；</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《钦州市钦北区大直镇城镇总体规划（201</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-20</w:t>
      </w:r>
      <w:r>
        <w:rPr>
          <w:rFonts w:ascii="宋体" w:eastAsia="宋体" w:cs="宋体" w:hAnsi="宋体" w:hint="eastAsia"/>
          <w:color w:val="auto"/>
          <w:kern w:val="0"/>
          <w:sz w:val="28"/>
          <w:szCs w:val="28"/>
          <w:lang w:val="en-US" w:eastAsia="zh-CN"/>
        </w:rPr>
        <w:t>30</w:t>
      </w:r>
      <w:r>
        <w:rPr>
          <w:rFonts w:ascii="宋体" w:eastAsia="宋体" w:cs="宋体" w:hAnsi="宋体" w:hint="eastAsia"/>
          <w:color w:val="auto"/>
          <w:kern w:val="0"/>
          <w:sz w:val="28"/>
          <w:szCs w:val="28"/>
          <w:lang w:eastAsia="zh-CN"/>
        </w:rPr>
        <w:t>）》；</w:t>
      </w:r>
    </w:p>
    <w:p>
      <w:pPr>
        <w:ind w:left="0" w:firstLineChars="200" w:firstLine="560"/>
        <w:rPr>
          <w:rFonts w:hint="eastAsia"/>
          <w:color w:val="auto"/>
          <w:lang w:eastAsia="zh-CN"/>
        </w:rPr>
      </w:pPr>
      <w:r>
        <w:rPr>
          <w:rFonts w:ascii="宋体" w:eastAsia="宋体" w:cs="宋体" w:hAnsi="宋体" w:hint="eastAsia"/>
          <w:color w:val="auto"/>
          <w:kern w:val="0"/>
          <w:sz w:val="28"/>
          <w:szCs w:val="28"/>
        </w:rPr>
        <w:t>其他</w:t>
      </w:r>
      <w:r>
        <w:rPr>
          <w:rFonts w:ascii="宋体" w:eastAsia="宋体" w:cs="宋体" w:hAnsi="宋体" w:hint="eastAsia"/>
          <w:color w:val="auto"/>
          <w:kern w:val="0"/>
          <w:sz w:val="28"/>
          <w:szCs w:val="28"/>
          <w:lang w:eastAsia="zh-CN"/>
        </w:rPr>
        <w:t>相关专项规划和城镇规划。</w:t>
      </w:r>
    </w:p>
    <w:p>
      <w:pPr>
        <w:pStyle w:val="1"/>
        <w:numPr>
          <w:ilvl w:val="0"/>
          <w:numId w:val="0"/>
        </w:numPr>
        <w:spacing w:before="260" w:line="360" w:lineRule="auto"/>
        <w:ind w:left="420"/>
        <w:rPr>
          <w:rFonts w:ascii="宋体" w:eastAsia="宋体" w:cs="宋体" w:hAnsi="宋体"/>
          <w:bCs/>
          <w:color w:val="auto"/>
          <w:sz w:val="32"/>
          <w:szCs w:val="32"/>
        </w:rPr>
      </w:pPr>
      <w:bookmarkStart w:id="17" w:name="_Toc19155"/>
      <w:r>
        <w:rPr>
          <w:rFonts w:ascii="宋体" w:eastAsia="宋体" w:cs="宋体" w:hAnsi="宋体" w:hint="eastAsia"/>
          <w:bCs/>
          <w:color w:val="auto"/>
          <w:sz w:val="32"/>
          <w:szCs w:val="32"/>
          <w:lang w:val="en-US" w:eastAsia="zh-CN"/>
        </w:rPr>
        <w:t>1.6上位</w:t>
      </w:r>
      <w:r>
        <w:rPr>
          <w:rFonts w:ascii="宋体" w:eastAsia="宋体" w:cs="宋体" w:hAnsi="宋体" w:hint="eastAsia"/>
          <w:bCs/>
          <w:color w:val="auto"/>
          <w:sz w:val="32"/>
          <w:szCs w:val="32"/>
          <w:lang w:eastAsia="zh-CN"/>
        </w:rPr>
        <w:t>规划及相关规划情况</w:t>
      </w:r>
      <w:bookmarkEnd w:id="17"/>
    </w:p>
    <w:p>
      <w:pPr>
        <w:rPr>
          <w:color w:val="auto"/>
        </w:rPr>
      </w:pP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1.6.1 与国土空间总体规划的衔接</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规划地块坐落钦北区大直镇镇区南部城郊，地块已纳入市国空建设用地，项目用地在城镇开发边界内，不涉及占用基本农田和生态保护红线。目前钦北区大直镇国土空间总体规划还在编制阶段，现阶段还没有对该项目地块进行规划落实用地控制指标，因此，本次项目地块单独编制独立地块详细规划后，后续与乡镇国土空间规划编制单位衔接，纳入空间规划一张图管理。</w:t>
      </w:r>
    </w:p>
    <w:p>
      <w:pPr>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267325" cy="4904105"/>
            <wp:effectExtent l="0" t="0" r="15" b="43"/>
            <wp:docPr id="4" name="图片 10" descr="地块在大直城镇开发边界内"/>
            <wp:cNvGraphicFramePr>
              <a:graphicFrameLocks noChangeAspect="1"/>
            </wp:cNvGraphicFramePr>
            <a:graphic>
              <a:graphicData uri="http://schemas.openxmlformats.org/drawingml/2006/picture">
                <pic:pic>
                  <pic:nvPicPr>
                    <pic:cNvPr id="6" name="图片 10 6"/>
                    <pic:cNvPicPr/>
                  </pic:nvPicPr>
                  <pic:blipFill>
                    <a:blip r:embed="rId4"/>
                    <a:stretch>
                      <a:fillRect/>
                    </a:stretch>
                  </pic:blipFill>
                  <pic:spPr>
                    <a:xfrm rot="0">
                      <a:off x="0" y="0"/>
                      <a:ext cx="5267325" cy="4904105"/>
                    </a:xfrm>
                    <a:prstGeom prst="rect"/>
                    <a:noFill/>
                    <a:ln w="9525" cmpd="sng" cap="flat">
                      <a:noFill/>
                      <a:prstDash val="solid"/>
                      <a:miter/>
                    </a:ln>
                  </pic:spPr>
                </pic:pic>
              </a:graphicData>
            </a:graphic>
          </wp:inline>
        </w:drawing>
      </w:r>
    </w:p>
    <w:p>
      <w:pPr>
        <w:jc w:val="center"/>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地块在大直镇城镇开发边界内的位置</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1.6.2 钦州市钦北区大直镇城镇总体规划（2011-2030年）</w:t>
      </w:r>
    </w:p>
    <w:p>
      <w:pPr>
        <w:ind w:left="0" w:firstLineChars="200" w:firstLine="560"/>
        <w:rPr>
          <w:rFonts w:cs="宋体" w:hint="eastAsia"/>
          <w:color w:val="auto"/>
          <w:kern w:val="0"/>
          <w:sz w:val="28"/>
          <w:szCs w:val="28"/>
          <w:lang w:val="en-US" w:eastAsia="zh-CN"/>
        </w:rPr>
      </w:pPr>
      <w:r>
        <w:rPr>
          <w:rFonts w:cs="宋体" w:hint="eastAsia"/>
          <w:color w:val="auto"/>
          <w:kern w:val="0"/>
          <w:sz w:val="28"/>
          <w:szCs w:val="28"/>
          <w:lang w:eastAsia="zh-CN"/>
        </w:rPr>
        <w:t>原大直镇总规规划的加油站用地位于</w:t>
      </w:r>
      <w:r>
        <w:rPr>
          <w:rFonts w:cs="宋体" w:hint="eastAsia"/>
          <w:color w:val="auto"/>
          <w:kern w:val="0"/>
          <w:sz w:val="28"/>
          <w:szCs w:val="28"/>
          <w:lang w:val="en-US" w:eastAsia="zh-CN"/>
        </w:rPr>
        <w:t>S515省道的北面</w:t>
      </w:r>
      <w:r>
        <w:rPr>
          <w:rFonts w:cs="宋体" w:hint="eastAsia"/>
          <w:color w:val="auto"/>
          <w:kern w:val="0"/>
          <w:sz w:val="28"/>
          <w:szCs w:val="28"/>
          <w:lang w:eastAsia="zh-CN"/>
        </w:rPr>
        <w:t>，根据建设单位的实际需求，将该项目地块申请选址于镇区南面城郊结合部，规划没有涉及总规强制性内容的调整。同时</w:t>
      </w:r>
      <w:r>
        <w:rPr>
          <w:rFonts w:cs="宋体" w:hint="eastAsia"/>
          <w:color w:val="auto"/>
          <w:kern w:val="0"/>
          <w:sz w:val="28"/>
          <w:szCs w:val="28"/>
          <w:lang w:val="en-US" w:eastAsia="zh-CN"/>
        </w:rPr>
        <w:t>规划的</w:t>
      </w:r>
      <w:r>
        <w:rPr>
          <w:rFonts w:ascii="宋体" w:eastAsia="宋体" w:cs="宋体" w:hAnsi="宋体" w:hint="eastAsia"/>
          <w:color w:val="auto"/>
          <w:kern w:val="0"/>
          <w:sz w:val="28"/>
          <w:szCs w:val="28"/>
          <w:lang w:eastAsia="zh-CN"/>
        </w:rPr>
        <w:t>公用设施营业网点用地属于《国土空间调查、规划、用途管制用地用海分类指南》（2023年）中的一级类</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商业服务业用地的三级类用地，</w:t>
      </w:r>
      <w:r>
        <w:rPr>
          <w:rFonts w:cs="宋体" w:hint="eastAsia"/>
          <w:color w:val="auto"/>
          <w:kern w:val="0"/>
          <w:sz w:val="28"/>
          <w:szCs w:val="28"/>
          <w:lang w:val="en-US" w:eastAsia="zh-CN"/>
        </w:rPr>
        <w:t>用地性质可与周边规划的工业用地相容。</w:t>
      </w:r>
    </w:p>
    <w:p>
      <w:pPr>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270498" cy="5580380"/>
            <wp:effectExtent l="0" t="0" r="15" b="42"/>
            <wp:docPr id="7" name="图片 2" descr="大直用地布局图"/>
            <wp:cNvGraphicFramePr>
              <a:graphicFrameLocks noChangeAspect="1"/>
            </wp:cNvGraphicFramePr>
            <a:graphic>
              <a:graphicData uri="http://schemas.openxmlformats.org/drawingml/2006/picture">
                <pic:pic>
                  <pic:nvPicPr>
                    <pic:cNvPr id="9" name="图片 2 9"/>
                    <pic:cNvPicPr/>
                  </pic:nvPicPr>
                  <pic:blipFill>
                    <a:blip r:embed="rId5"/>
                    <a:stretch>
                      <a:fillRect/>
                    </a:stretch>
                  </pic:blipFill>
                  <pic:spPr>
                    <a:xfrm rot="0">
                      <a:off x="0" y="0"/>
                      <a:ext cx="5270498" cy="5580380"/>
                    </a:xfrm>
                    <a:prstGeom prst="rect"/>
                    <a:noFill/>
                    <a:ln w="9525" cmpd="sng" cap="flat">
                      <a:noFill/>
                      <a:prstDash val="solid"/>
                      <a:miter/>
                    </a:ln>
                  </pic:spPr>
                </pic:pic>
              </a:graphicData>
            </a:graphic>
          </wp:inline>
        </w:drawing>
      </w:r>
    </w:p>
    <w:p>
      <w:pPr>
        <w:jc w:val="center"/>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地块在大直镇城镇总体规划的位置</w:t>
      </w:r>
    </w:p>
    <w:p>
      <w:pPr>
        <w:pStyle w:val="17"/>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1.6.3 钦州市加油站行业发展规划（2021-2025）</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根据《钦州市加油站行业发展规划（20</w:t>
      </w:r>
      <w:r>
        <w:rPr>
          <w:rFonts w:ascii="宋体" w:eastAsia="宋体" w:cs="宋体" w:hAnsi="宋体" w:hint="eastAsia"/>
          <w:color w:val="auto"/>
          <w:kern w:val="0"/>
          <w:sz w:val="28"/>
          <w:szCs w:val="28"/>
          <w:lang w:val="en-US" w:eastAsia="zh-CN"/>
        </w:rPr>
        <w:t>21</w:t>
      </w:r>
      <w:r>
        <w:rPr>
          <w:rFonts w:ascii="宋体" w:eastAsia="宋体" w:cs="宋体" w:hAnsi="宋体" w:hint="eastAsia"/>
          <w:color w:val="auto"/>
          <w:kern w:val="0"/>
          <w:sz w:val="28"/>
          <w:szCs w:val="28"/>
          <w:lang w:eastAsia="zh-CN"/>
        </w:rPr>
        <w:t>-2025）》的规划范围为钦州市行政辖区范围，面积为10895k㎡，包括钦南区、钦北区、灵山县、浦北县共两区两县。消费需求预测：到2025年全市的加油站销量为100.0万吨；仓储（油库）规划目标：2025年成品油预测需求量，以油库年周转率力争达到15次为基准，力争在钦州市建立起油库数量为10座的仓储网络；加油站规划目标：至2025年，钦州市规划加油站为349座，其中现状为212座，已批未建加油站33座，规划新增加油站为104座。本项目属于该规划布局的加油站网点之一，选址钦北区大直镇G210国道与南防南路交汇处往南约250米，该选址交通位置更优越，建设条件良好。</w:t>
      </w:r>
    </w:p>
    <w:p>
      <w:pPr>
        <w:widowControl/>
        <w:spacing w:before="4" w:line="360" w:lineRule="auto"/>
        <w:ind w:right="351"/>
        <w:jc w:val="left"/>
        <w:rPr>
          <w:color w:val="auto"/>
        </w:rPr>
      </w:pPr>
      <w:r>
        <w:rPr>
          <w:color w:val="auto"/>
        </w:rPr>
        <w:drawing>
          <wp:inline distT="0" distB="0" distL="114300" distR="114300">
            <wp:extent cx="5631179" cy="3607434"/>
            <wp:effectExtent l="0" t="0" r="11" b="9"/>
            <wp:docPr id="10" name="图片 1"/>
            <wp:cNvGraphicFramePr>
              <a:graphicFrameLocks noChangeAspect="1"/>
            </wp:cNvGraphicFramePr>
            <a:graphic>
              <a:graphicData uri="http://schemas.openxmlformats.org/drawingml/2006/picture">
                <pic:pic>
                  <pic:nvPicPr>
                    <pic:cNvPr id="12" name="图片 1 12"/>
                    <pic:cNvPicPr/>
                  </pic:nvPicPr>
                  <pic:blipFill>
                    <a:blip r:embed="rId6"/>
                    <a:stretch>
                      <a:fillRect/>
                    </a:stretch>
                  </pic:blipFill>
                  <pic:spPr>
                    <a:xfrm rot="0">
                      <a:off x="0" y="0"/>
                      <a:ext cx="5631179" cy="3607434"/>
                    </a:xfrm>
                    <a:prstGeom prst="rect"/>
                    <a:noFill/>
                    <a:ln w="9525" cmpd="sng" cap="flat">
                      <a:noFill/>
                      <a:prstDash val="solid"/>
                      <a:miter/>
                    </a:ln>
                  </pic:spPr>
                </pic:pic>
              </a:graphicData>
            </a:graphic>
          </wp:inline>
        </w:drawing>
      </w:r>
    </w:p>
    <w:p>
      <w:pPr>
        <w:widowControl/>
        <w:spacing w:before="4" w:line="360" w:lineRule="auto"/>
        <w:ind w:right="351"/>
        <w:jc w:val="left"/>
        <w:rPr>
          <w:rFonts w:eastAsia="宋体" w:hint="eastAsia"/>
          <w:color w:val="auto"/>
          <w:lang w:eastAsia="zh-CN"/>
        </w:rPr>
      </w:pPr>
      <w:r>
        <w:rPr>
          <w:rFonts w:hint="eastAsia"/>
          <w:color w:val="auto"/>
          <w:lang w:eastAsia="zh-CN"/>
        </w:rPr>
        <w:t>图片来源截取自《钦州市加油站行业发展规划》钦北区规划加油站布局图（局部）</w:t>
      </w:r>
    </w:p>
    <w:p>
      <w:pPr>
        <w:pStyle w:val="1"/>
        <w:numPr>
          <w:ilvl w:val="0"/>
          <w:numId w:val="0"/>
        </w:numPr>
        <w:spacing w:before="260" w:line="360" w:lineRule="auto"/>
        <w:ind w:left="420"/>
        <w:jc w:val="center"/>
        <w:rPr>
          <w:rFonts w:ascii="宋体" w:eastAsia="宋体" w:cs="宋体" w:hAnsi="宋体"/>
          <w:bCs/>
          <w:color w:val="auto"/>
          <w:sz w:val="32"/>
          <w:szCs w:val="32"/>
        </w:rPr>
      </w:pPr>
      <w:bookmarkStart w:id="18" w:name="_Toc21553"/>
      <w:r>
        <w:rPr>
          <w:rFonts w:ascii="宋体" w:eastAsia="宋体" w:cs="宋体" w:hAnsi="宋体" w:hint="eastAsia"/>
          <w:bCs/>
          <w:color w:val="auto"/>
          <w:sz w:val="32"/>
          <w:szCs w:val="32"/>
          <w:lang w:eastAsia="zh-CN"/>
        </w:rPr>
        <w:t>第二章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现状</w:t>
      </w:r>
      <w:r>
        <w:rPr>
          <w:rFonts w:ascii="宋体" w:eastAsia="宋体" w:cs="宋体" w:hAnsi="宋体" w:hint="eastAsia"/>
          <w:bCs/>
          <w:color w:val="auto"/>
          <w:sz w:val="32"/>
          <w:szCs w:val="32"/>
        </w:rPr>
        <w:t>概况</w:t>
      </w:r>
      <w:bookmarkEnd w:id="3"/>
      <w:bookmarkEnd w:id="4"/>
      <w:bookmarkEnd w:id="5"/>
      <w:bookmarkEnd w:id="18"/>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19" w:name="_Toc1465"/>
      <w:bookmarkStart w:id="20" w:name="_Toc12110"/>
      <w:bookmarkStart w:id="21" w:name="_Toc238"/>
      <w:bookmarkStart w:id="22" w:name="_Toc29362"/>
      <w:r>
        <w:rPr>
          <w:rFonts w:ascii="宋体" w:eastAsia="宋体" w:cs="宋体" w:hAnsi="宋体" w:hint="eastAsia"/>
          <w:bCs/>
          <w:color w:val="auto"/>
          <w:sz w:val="32"/>
          <w:szCs w:val="32"/>
          <w:lang w:val="en-US" w:eastAsia="zh-CN"/>
        </w:rPr>
        <w:t>2.1</w:t>
      </w:r>
      <w:bookmarkEnd w:id="19"/>
      <w:bookmarkEnd w:id="20"/>
      <w:bookmarkEnd w:id="21"/>
      <w:r>
        <w:rPr>
          <w:rFonts w:ascii="宋体" w:eastAsia="宋体" w:cs="宋体" w:hAnsi="宋体" w:hint="eastAsia"/>
          <w:bCs/>
          <w:color w:val="auto"/>
          <w:sz w:val="32"/>
          <w:szCs w:val="32"/>
          <w:lang w:val="en-US" w:eastAsia="zh-CN"/>
        </w:rPr>
        <w:t>区位情况</w:t>
      </w:r>
      <w:bookmarkEnd w:id="22"/>
    </w:p>
    <w:p>
      <w:pPr>
        <w:pStyle w:val="17"/>
        <w:spacing w:line="420" w:lineRule="auto"/>
        <w:ind w:firstLine="479"/>
        <w:rPr>
          <w:rFonts w:ascii="宋体" w:eastAsia="宋体" w:cs="宋体" w:hAnsi="宋体" w:hint="eastAsia"/>
          <w:color w:val="auto"/>
          <w:kern w:val="0"/>
          <w:sz w:val="28"/>
          <w:szCs w:val="28"/>
          <w:lang w:eastAsia="zh-CN"/>
        </w:rPr>
      </w:pPr>
      <w:r>
        <w:rPr>
          <w:rFonts w:cs="宋体" w:hint="eastAsia"/>
          <w:color w:val="auto"/>
          <w:kern w:val="0"/>
          <w:sz w:val="28"/>
          <w:szCs w:val="28"/>
          <w:lang w:eastAsia="zh-CN"/>
        </w:rPr>
        <w:t>钦北区大直镇位于钦州市钦北区西北部，镇区东与钦南区黄屋屯镇毗邻；南与防城港市防城区滩营乡相连；西与防城港市上思县叫安</w:t>
      </w:r>
      <w:r>
        <w:rPr>
          <w:rFonts w:cs="宋体"/>
          <w:color w:val="auto"/>
          <w:kern w:val="0"/>
          <w:sz w:val="28"/>
          <w:szCs w:val="28"/>
          <w:lang w:eastAsia="zh-CN"/>
        </w:rPr>
        <w:t>镇</w:t>
      </w:r>
      <w:bookmarkStart w:id="23" w:name="_GoBack"/>
      <w:bookmarkEnd w:id="23"/>
      <w:r>
        <w:rPr>
          <w:rFonts w:cs="宋体" w:hint="eastAsia"/>
          <w:color w:val="auto"/>
          <w:kern w:val="0"/>
          <w:sz w:val="28"/>
          <w:szCs w:val="28"/>
          <w:lang w:eastAsia="zh-CN"/>
        </w:rPr>
        <w:t>相接；北与大寺镇、贵台镇接壤。</w:t>
      </w:r>
    </w:p>
    <w:p>
      <w:pPr>
        <w:pStyle w:val="17"/>
        <w:spacing w:line="420" w:lineRule="auto"/>
        <w:ind w:firstLine="479"/>
        <w:rPr>
          <w:rFonts w:hint="eastAsia"/>
          <w:color w:val="auto"/>
          <w:kern w:val="0"/>
          <w:sz w:val="28"/>
          <w:szCs w:val="28"/>
          <w:lang w:val="en-US" w:eastAsia="zh-CN"/>
        </w:rPr>
      </w:pPr>
      <w:r>
        <w:rPr>
          <w:rFonts w:cs="宋体" w:hint="eastAsia"/>
          <w:color w:val="auto"/>
          <w:kern w:val="0"/>
          <w:sz w:val="28"/>
          <w:szCs w:val="28"/>
          <w:lang w:eastAsia="zh-CN"/>
        </w:rPr>
        <w:t>本次规划用地位于大直镇镇区南部、国道</w:t>
      </w:r>
      <w:r>
        <w:rPr>
          <w:rFonts w:cs="宋体" w:hint="eastAsia"/>
          <w:color w:val="auto"/>
          <w:kern w:val="0"/>
          <w:sz w:val="28"/>
          <w:szCs w:val="28"/>
          <w:lang w:val="en-US" w:eastAsia="zh-CN"/>
        </w:rPr>
        <w:t>G210与南防南路交界处往南约250米处</w:t>
      </w:r>
      <w:r>
        <w:rPr>
          <w:rFonts w:cs="宋体" w:hint="eastAsia"/>
          <w:color w:val="auto"/>
          <w:kern w:val="0"/>
          <w:sz w:val="28"/>
          <w:szCs w:val="28"/>
          <w:lang w:eastAsia="zh-CN"/>
        </w:rPr>
        <w:t>、属大直镇大直村委会辖区范围内。距大直镇人民政府直线距离约</w:t>
      </w:r>
      <w:r>
        <w:rPr>
          <w:rFonts w:cs="宋体" w:hint="eastAsia"/>
          <w:color w:val="auto"/>
          <w:kern w:val="0"/>
          <w:sz w:val="28"/>
          <w:szCs w:val="28"/>
          <w:lang w:val="en-US" w:eastAsia="zh-CN"/>
        </w:rPr>
        <w:t>1公里，距大直村委会约1.2公里，还有S515省道在镇区东北面经过通往大寺和G75兰海高速公路和G325国道，</w:t>
      </w:r>
      <w:r>
        <w:rPr>
          <w:rFonts w:cs="宋体" w:hint="eastAsia"/>
          <w:color w:val="auto"/>
          <w:kern w:val="0"/>
          <w:sz w:val="28"/>
          <w:szCs w:val="28"/>
          <w:lang w:eastAsia="zh-CN"/>
        </w:rPr>
        <w:t>交通便利，地理位置优越</w:t>
      </w:r>
      <w:r>
        <w:rPr>
          <w:rFonts w:hint="eastAsia"/>
          <w:color w:val="auto"/>
          <w:kern w:val="0"/>
          <w:sz w:val="28"/>
          <w:szCs w:val="28"/>
          <w:lang w:val="en-US" w:eastAsia="zh-CN"/>
        </w:rPr>
        <w:t>。</w:t>
      </w:r>
    </w:p>
    <w:p>
      <w:pPr>
        <w:pStyle w:val="17"/>
        <w:spacing w:line="420" w:lineRule="auto"/>
        <w:ind w:firstLine="0"/>
        <w:jc w:val="both"/>
        <w:rPr>
          <w:rFonts w:ascii="宋体" w:eastAsia="宋体" w:cs="宋体" w:hAnsi="宋体" w:hint="eastAsia"/>
          <w:color w:val="auto"/>
          <w:kern w:val="0"/>
          <w:sz w:val="24"/>
          <w:lang w:eastAsia="zh-CN"/>
        </w:rPr>
      </w:pPr>
      <w:r>
        <w:rPr>
          <w:rFonts w:ascii="宋体" w:eastAsia="宋体" w:cs="宋体" w:hAnsi="宋体" w:hint="eastAsia"/>
          <w:color w:val="auto"/>
          <w:kern w:val="0"/>
          <w:sz w:val="24"/>
          <w:lang w:eastAsia="zh-CN"/>
        </w:rPr>
        <w:drawing>
          <wp:inline distT="0" distB="0" distL="114300" distR="114300">
            <wp:extent cx="5291455" cy="5728335"/>
            <wp:effectExtent l="0" t="0" r="18" b="7"/>
            <wp:docPr id="13" name="图片 4" descr="小区位"/>
            <wp:cNvGraphicFramePr>
              <a:graphicFrameLocks noChangeAspect="1"/>
            </wp:cNvGraphicFramePr>
            <a:graphic>
              <a:graphicData uri="http://schemas.openxmlformats.org/drawingml/2006/picture">
                <pic:pic>
                  <pic:nvPicPr>
                    <pic:cNvPr id="15" name="图片 4 15"/>
                    <pic:cNvPicPr/>
                  </pic:nvPicPr>
                  <pic:blipFill>
                    <a:blip r:embed="rId7"/>
                    <a:stretch>
                      <a:fillRect/>
                    </a:stretch>
                  </pic:blipFill>
                  <pic:spPr>
                    <a:xfrm rot="0">
                      <a:off x="0" y="0"/>
                      <a:ext cx="5291455" cy="5728335"/>
                    </a:xfrm>
                    <a:prstGeom prst="rect"/>
                    <a:noFill/>
                    <a:ln w="9525" cmpd="sng" cap="flat">
                      <a:noFill/>
                      <a:prstDash val="solid"/>
                      <a:miter/>
                    </a:ln>
                  </pic:spPr>
                </pic:pic>
              </a:graphicData>
            </a:graphic>
          </wp:inline>
        </w:drawing>
      </w:r>
    </w:p>
    <w:p>
      <w:pPr>
        <w:pStyle w:val="17"/>
        <w:autoSpaceDE w:val="0"/>
        <w:autoSpaceDN w:val="0"/>
        <w:spacing w:before="4" w:line="360" w:lineRule="auto"/>
        <w:ind w:right="351"/>
        <w:jc w:val="center"/>
        <w:rPr>
          <w:rFonts w:hint="eastAsia"/>
          <w:b w:val="0"/>
          <w:bCs w:val="0"/>
          <w:color w:val="auto"/>
          <w:lang w:val="en-US"/>
        </w:rPr>
      </w:pPr>
      <w:r>
        <w:rPr>
          <w:rFonts w:hint="eastAsia"/>
          <w:b w:val="0"/>
          <w:bCs w:val="0"/>
          <w:color w:val="auto"/>
          <w:sz w:val="21"/>
          <w:szCs w:val="21"/>
          <w:lang w:val="en-US" w:eastAsia="zh-CN"/>
        </w:rPr>
        <w:t>本项目与大直镇村的</w:t>
      </w:r>
      <w:r>
        <w:rPr>
          <w:rFonts w:hint="eastAsia"/>
          <w:b w:val="0"/>
          <w:bCs w:val="0"/>
          <w:color w:val="auto"/>
          <w:sz w:val="21"/>
          <w:szCs w:val="21"/>
          <w:lang w:val="en-US"/>
        </w:rPr>
        <w:t>区位</w:t>
      </w:r>
      <w:r>
        <w:rPr>
          <w:rFonts w:hint="eastAsia"/>
          <w:b w:val="0"/>
          <w:bCs w:val="0"/>
          <w:color w:val="auto"/>
          <w:sz w:val="21"/>
          <w:szCs w:val="21"/>
          <w:lang w:val="en-US" w:eastAsia="zh-CN"/>
        </w:rPr>
        <w:t>关系</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24" w:name="_Toc6288"/>
      <w:r>
        <w:rPr>
          <w:rFonts w:ascii="宋体" w:eastAsia="宋体" w:cs="宋体" w:hAnsi="宋体" w:hint="eastAsia"/>
          <w:bCs/>
          <w:color w:val="auto"/>
          <w:sz w:val="32"/>
          <w:szCs w:val="32"/>
          <w:lang w:val="en-US" w:eastAsia="zh-CN"/>
        </w:rPr>
        <w:t>2.2现状概况</w:t>
      </w:r>
      <w:bookmarkEnd w:id="24"/>
    </w:p>
    <w:p>
      <w:pPr>
        <w:pStyle w:val="17"/>
        <w:spacing w:line="420" w:lineRule="auto"/>
        <w:ind w:firstLineChars="200" w:firstLine="560"/>
        <w:rPr>
          <w:color w:val="auto"/>
          <w:kern w:val="0"/>
          <w:sz w:val="28"/>
          <w:szCs w:val="28"/>
          <w:lang w:val="en-US"/>
        </w:rPr>
      </w:pPr>
      <w:r>
        <w:rPr>
          <w:rFonts w:hint="eastAsia"/>
          <w:b/>
          <w:bCs/>
          <w:color w:val="auto"/>
          <w:sz w:val="28"/>
          <w:szCs w:val="28"/>
          <w:lang w:val="en-US"/>
        </w:rPr>
        <w:t>2</w:t>
      </w:r>
      <w:r>
        <w:rPr>
          <w:rFonts w:hint="eastAsia"/>
          <w:b/>
          <w:bCs/>
          <w:color w:val="auto"/>
          <w:sz w:val="28"/>
          <w:szCs w:val="28"/>
        </w:rPr>
        <w:t>.</w:t>
      </w:r>
      <w:r>
        <w:rPr>
          <w:rFonts w:hint="eastAsia"/>
          <w:b/>
          <w:bCs/>
          <w:color w:val="auto"/>
          <w:sz w:val="28"/>
          <w:szCs w:val="28"/>
          <w:lang w:val="en-US" w:eastAsia="zh-CN"/>
        </w:rPr>
        <w:t>2.1</w:t>
      </w:r>
      <w:r>
        <w:rPr>
          <w:rFonts w:hint="eastAsia"/>
          <w:b/>
          <w:bCs/>
          <w:color w:val="auto"/>
          <w:sz w:val="28"/>
          <w:szCs w:val="28"/>
          <w:lang w:eastAsia="zh-CN"/>
        </w:rPr>
        <w:t>地形</w:t>
      </w:r>
      <w:r>
        <w:rPr>
          <w:rFonts w:hint="eastAsia"/>
          <w:b/>
          <w:bCs/>
          <w:color w:val="auto"/>
          <w:sz w:val="28"/>
          <w:szCs w:val="28"/>
          <w:lang w:val="en-US"/>
        </w:rPr>
        <w:t>地貌</w:t>
      </w:r>
    </w:p>
    <w:p>
      <w:pPr>
        <w:pStyle w:val="17"/>
        <w:spacing w:line="420" w:lineRule="auto"/>
        <w:ind w:firstLine="479"/>
        <w:rPr>
          <w:color w:val="auto"/>
          <w:lang w:val="en-US"/>
        </w:rPr>
      </w:pPr>
      <w:r>
        <w:rPr>
          <w:rFonts w:hint="eastAsia"/>
          <w:color w:val="auto"/>
          <w:kern w:val="0"/>
          <w:sz w:val="28"/>
          <w:szCs w:val="28"/>
          <w:lang w:val="en-US" w:eastAsia="zh-CN"/>
        </w:rPr>
        <w:t>规划地块位于大直镇区南面，附近所在区域的</w:t>
      </w:r>
      <w:r>
        <w:rPr>
          <w:rFonts w:hint="eastAsia"/>
          <w:color w:val="auto"/>
          <w:kern w:val="0"/>
          <w:sz w:val="28"/>
          <w:szCs w:val="28"/>
          <w:lang w:val="en-US"/>
        </w:rPr>
        <w:t>地形地貌以山地、丘陵为主，地势西北高、东南低</w:t>
      </w:r>
      <w:r>
        <w:rPr>
          <w:rFonts w:hint="eastAsia"/>
          <w:color w:val="auto"/>
          <w:kern w:val="0"/>
          <w:sz w:val="28"/>
          <w:szCs w:val="28"/>
          <w:lang w:val="en-US" w:eastAsia="zh-CN"/>
        </w:rPr>
        <w:t>，地表起伏绵延。地块外北面为水塘，南面为丘陵坡地</w:t>
      </w:r>
      <w:r>
        <w:rPr>
          <w:rFonts w:hint="eastAsia"/>
          <w:color w:val="auto"/>
          <w:kern w:val="0"/>
          <w:sz w:val="28"/>
          <w:szCs w:val="28"/>
          <w:lang w:val="en-US"/>
        </w:rPr>
        <w:t>。</w:t>
      </w:r>
      <w:r>
        <w:rPr>
          <w:rFonts w:hint="eastAsia"/>
          <w:color w:val="auto"/>
          <w:kern w:val="0"/>
          <w:sz w:val="28"/>
          <w:szCs w:val="28"/>
          <w:lang w:val="en-US" w:eastAsia="zh-CN"/>
        </w:rPr>
        <w:t>场地整体呈北低南高，现状地形高程在13m～27m之间。</w:t>
      </w:r>
    </w:p>
    <w:p>
      <w:pPr>
        <w:pStyle w:val="17"/>
        <w:spacing w:line="420" w:lineRule="auto"/>
        <w:ind w:firstLineChars="200" w:firstLine="560"/>
        <w:rPr>
          <w:color w:val="auto"/>
          <w:kern w:val="0"/>
          <w:sz w:val="28"/>
          <w:szCs w:val="28"/>
          <w:lang w:val="en-US"/>
        </w:rPr>
      </w:pPr>
      <w:r>
        <w:rPr>
          <w:rFonts w:hint="eastAsia"/>
          <w:b/>
          <w:bCs/>
          <w:color w:val="auto"/>
          <w:sz w:val="28"/>
          <w:szCs w:val="28"/>
          <w:lang w:val="en-US" w:eastAsia="zh-CN"/>
        </w:rPr>
        <w:t>2.2.2</w:t>
      </w:r>
      <w:r>
        <w:rPr>
          <w:rFonts w:hint="eastAsia"/>
          <w:b/>
          <w:bCs/>
          <w:color w:val="auto"/>
          <w:sz w:val="28"/>
          <w:szCs w:val="28"/>
          <w:lang w:val="en-US"/>
        </w:rPr>
        <w:t>气候</w:t>
      </w:r>
    </w:p>
    <w:p>
      <w:pPr>
        <w:pStyle w:val="17"/>
        <w:spacing w:line="420" w:lineRule="auto"/>
        <w:ind w:firstLine="479"/>
        <w:rPr>
          <w:color w:val="auto"/>
          <w:kern w:val="0"/>
          <w:sz w:val="28"/>
          <w:szCs w:val="28"/>
          <w:lang w:val="en-US"/>
        </w:rPr>
      </w:pPr>
      <w:r>
        <w:rPr>
          <w:rFonts w:hint="eastAsia"/>
          <w:color w:val="auto"/>
          <w:kern w:val="0"/>
          <w:sz w:val="28"/>
          <w:szCs w:val="28"/>
          <w:lang w:val="en-US" w:eastAsia="zh-CN"/>
        </w:rPr>
        <w:t>地块所在的区域属亚热带湿润季风气候，年平均气温22℃，极端最高气温38℃，极端最低气温2℃，1—3月平均气温10℃。年均降雨量2100毫米，年平均日照时数1800小时</w:t>
      </w:r>
      <w:r>
        <w:rPr>
          <w:rFonts w:hint="eastAsia"/>
          <w:color w:val="auto"/>
          <w:kern w:val="0"/>
          <w:sz w:val="28"/>
          <w:szCs w:val="28"/>
          <w:lang w:val="en-US"/>
        </w:rPr>
        <w:t>。</w:t>
      </w:r>
    </w:p>
    <w:p>
      <w:pPr>
        <w:pStyle w:val="17"/>
        <w:spacing w:line="420" w:lineRule="auto"/>
        <w:ind w:firstLineChars="200" w:firstLine="560"/>
        <w:rPr>
          <w:color w:val="auto"/>
          <w:kern w:val="0"/>
          <w:sz w:val="28"/>
          <w:szCs w:val="28"/>
          <w:lang w:val="en-US"/>
        </w:rPr>
      </w:pPr>
      <w:r>
        <w:rPr>
          <w:rFonts w:hint="eastAsia"/>
          <w:b/>
          <w:bCs/>
          <w:color w:val="auto"/>
          <w:sz w:val="28"/>
          <w:szCs w:val="28"/>
          <w:lang w:val="en-US" w:eastAsia="zh-CN"/>
        </w:rPr>
        <w:t>2.2.3</w:t>
      </w:r>
      <w:r>
        <w:rPr>
          <w:rFonts w:hint="eastAsia"/>
          <w:b/>
          <w:bCs/>
          <w:color w:val="auto"/>
          <w:sz w:val="28"/>
          <w:szCs w:val="28"/>
        </w:rPr>
        <w:t>地质</w:t>
      </w:r>
    </w:p>
    <w:p>
      <w:pPr>
        <w:pStyle w:val="17"/>
        <w:spacing w:line="420" w:lineRule="auto"/>
        <w:ind w:firstLine="479"/>
        <w:rPr>
          <w:color w:val="auto"/>
          <w:kern w:val="0"/>
          <w:sz w:val="28"/>
          <w:szCs w:val="28"/>
          <w:lang w:val="en-US"/>
        </w:rPr>
      </w:pPr>
      <w:r>
        <w:rPr>
          <w:rFonts w:hint="eastAsia"/>
          <w:color w:val="auto"/>
          <w:kern w:val="0"/>
          <w:sz w:val="28"/>
          <w:szCs w:val="28"/>
          <w:lang w:val="en-US" w:eastAsia="zh-CN"/>
        </w:rPr>
        <w:t>规划地块</w:t>
      </w:r>
      <w:r>
        <w:rPr>
          <w:rFonts w:hint="eastAsia"/>
          <w:color w:val="auto"/>
          <w:kern w:val="0"/>
          <w:sz w:val="28"/>
          <w:szCs w:val="28"/>
          <w:lang w:val="en-US"/>
        </w:rPr>
        <w:t>所在的丘陵地带由砂页岩和花岗岩构成，地质稳定性较好。该区域历史上未记录重大地质灾害‌。</w:t>
      </w:r>
    </w:p>
    <w:p>
      <w:pPr>
        <w:pStyle w:val="17"/>
        <w:spacing w:line="420" w:lineRule="auto"/>
        <w:ind w:firstLineChars="200" w:firstLine="560"/>
        <w:rPr>
          <w:rFonts w:eastAsia="宋体" w:hint="eastAsia"/>
          <w:color w:val="auto"/>
          <w:kern w:val="0"/>
          <w:sz w:val="28"/>
          <w:szCs w:val="28"/>
          <w:lang w:val="en-US" w:eastAsia="zh-CN"/>
        </w:rPr>
      </w:pPr>
      <w:r>
        <w:rPr>
          <w:rFonts w:hint="eastAsia"/>
          <w:b/>
          <w:bCs/>
          <w:color w:val="auto"/>
          <w:sz w:val="28"/>
          <w:szCs w:val="28"/>
          <w:lang w:val="en-US" w:eastAsia="zh-CN"/>
        </w:rPr>
        <w:t>2.2.4水文</w:t>
      </w:r>
    </w:p>
    <w:p>
      <w:pPr>
        <w:pStyle w:val="17"/>
        <w:spacing w:line="420" w:lineRule="auto"/>
        <w:ind w:firstLine="479"/>
        <w:rPr>
          <w:rFonts w:hint="eastAsia"/>
          <w:color w:val="auto"/>
          <w:kern w:val="0"/>
          <w:sz w:val="28"/>
          <w:szCs w:val="28"/>
          <w:lang w:val="en-US" w:eastAsia="zh-CN"/>
        </w:rPr>
      </w:pPr>
      <w:r>
        <w:rPr>
          <w:rFonts w:hint="eastAsia"/>
          <w:color w:val="auto"/>
          <w:kern w:val="0"/>
          <w:sz w:val="28"/>
          <w:szCs w:val="28"/>
          <w:lang w:val="en-US"/>
        </w:rPr>
        <w:t>大直镇境内河流有大直江和屯笔江。大直江又名大弯河，为茅岭江最大支流，发源于大直镇那凡自然村吊那隘，流经钦南区黄屋屯镇，于康熙岭镇长墩尾汇入茅岭江干流，全长42.3千米，流域面积864.1平方千米</w:t>
      </w:r>
      <w:r>
        <w:rPr>
          <w:rFonts w:hint="eastAsia"/>
          <w:color w:val="auto"/>
          <w:kern w:val="0"/>
          <w:sz w:val="28"/>
          <w:szCs w:val="28"/>
          <w:lang w:val="en-US" w:eastAsia="zh-CN"/>
        </w:rPr>
        <w:t>。</w:t>
      </w:r>
    </w:p>
    <w:p>
      <w:pPr>
        <w:pStyle w:val="17"/>
        <w:spacing w:line="420" w:lineRule="auto"/>
        <w:ind w:firstLineChars="200" w:firstLine="560"/>
        <w:rPr>
          <w:rFonts w:eastAsia="宋体" w:hint="eastAsia"/>
          <w:color w:val="auto"/>
          <w:kern w:val="0"/>
          <w:sz w:val="28"/>
          <w:szCs w:val="28"/>
          <w:lang w:val="en-US" w:eastAsia="zh-CN"/>
        </w:rPr>
      </w:pPr>
      <w:r>
        <w:rPr>
          <w:rFonts w:hint="eastAsia"/>
          <w:b/>
          <w:bCs/>
          <w:color w:val="auto"/>
          <w:sz w:val="28"/>
          <w:szCs w:val="28"/>
          <w:lang w:val="en-US" w:eastAsia="zh-CN"/>
        </w:rPr>
        <w:t>2.2.5矿产资源</w:t>
      </w:r>
    </w:p>
    <w:p>
      <w:pPr>
        <w:pStyle w:val="17"/>
        <w:spacing w:line="420" w:lineRule="auto"/>
        <w:ind w:firstLine="479"/>
        <w:rPr>
          <w:rFonts w:eastAsia="宋体" w:hint="eastAsia"/>
          <w:color w:val="auto"/>
          <w:kern w:val="0"/>
          <w:sz w:val="28"/>
          <w:szCs w:val="28"/>
          <w:lang w:val="en-US" w:eastAsia="zh-CN"/>
        </w:rPr>
      </w:pPr>
      <w:r>
        <w:rPr>
          <w:rFonts w:hint="eastAsia"/>
          <w:color w:val="auto"/>
          <w:kern w:val="0"/>
          <w:sz w:val="28"/>
          <w:szCs w:val="28"/>
          <w:lang w:val="en-US" w:eastAsia="zh-CN"/>
        </w:rPr>
        <w:t>大直镇是钦北区重要的矿产资源集中区之一，主要矿种包括锰、石灰岩等，开采方式以露天开采为主‌。其中，锰矿集中分布于大直镇东部，石灰岩矿则广泛分布于周边镇域‌。</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25" w:name="_Toc20293"/>
      <w:r>
        <w:rPr>
          <w:rFonts w:ascii="宋体" w:eastAsia="宋体" w:cs="宋体" w:hAnsi="宋体" w:hint="eastAsia"/>
          <w:bCs/>
          <w:color w:val="auto"/>
          <w:sz w:val="32"/>
          <w:szCs w:val="32"/>
          <w:lang w:val="en-US" w:eastAsia="zh-CN"/>
        </w:rPr>
        <w:t>2.3土地利用现状</w:t>
      </w:r>
      <w:bookmarkEnd w:id="25"/>
    </w:p>
    <w:p>
      <w:pPr>
        <w:widowControl/>
        <w:spacing w:before="4" w:line="360" w:lineRule="auto"/>
        <w:ind w:left="118" w:right="351" w:firstLineChars="200" w:firstLine="560"/>
        <w:jc w:val="left"/>
        <w:rPr>
          <w:rFonts w:eastAsia="宋体"/>
          <w:color w:val="auto"/>
          <w:kern w:val="0"/>
          <w:sz w:val="28"/>
          <w:szCs w:val="28"/>
          <w:lang w:val="en-US" w:eastAsia="zh-CN"/>
        </w:rPr>
      </w:pPr>
      <w:r>
        <w:rPr>
          <w:rFonts w:ascii="宋体" w:eastAsia="宋体" w:cs="宋体" w:hAnsi="宋体" w:hint="eastAsia"/>
          <w:color w:val="auto"/>
          <w:kern w:val="0"/>
          <w:sz w:val="28"/>
          <w:szCs w:val="28"/>
          <w:lang w:eastAsia="zh-CN"/>
        </w:rPr>
        <w:t>根据第三次全国国土调查2024年度国土变更调查成果数据，本规划用地内土地利用现状主要涉及的地类有乔木林地、其他草地等，不涉及耕地，不占用永久基本农田。按《广西壮族自治区独立地块详细规划编制要点（试行）》、《广西壮族自治区城镇开发边界内控制性详细规划数据库标准（试行）》规定，“用地面积”、“面积”等均采用椭球面积计算，则用地按椭球面积计算的用地面积为</w:t>
      </w:r>
      <w:r>
        <w:rPr>
          <w:rFonts w:ascii="宋体" w:eastAsia="宋体" w:cs="宋体" w:hAnsi="宋体" w:hint="eastAsia"/>
          <w:color w:val="auto"/>
          <w:kern w:val="0"/>
          <w:sz w:val="28"/>
          <w:szCs w:val="28"/>
          <w:lang w:val="en-US" w:eastAsia="zh-CN"/>
        </w:rPr>
        <w:t>3299.97</w:t>
      </w:r>
      <w:r>
        <w:rPr>
          <w:rFonts w:ascii="宋体" w:eastAsia="宋体" w:cs="宋体" w:hAnsi="宋体" w:hint="eastAsia"/>
          <w:color w:val="auto"/>
          <w:kern w:val="0"/>
          <w:sz w:val="28"/>
          <w:szCs w:val="28"/>
          <w:lang w:eastAsia="zh-CN"/>
        </w:rPr>
        <w:t>平方米（</w:t>
      </w:r>
      <w:r>
        <w:rPr>
          <w:rFonts w:ascii="宋体" w:eastAsia="宋体" w:cs="宋体" w:hAnsi="宋体" w:hint="eastAsia"/>
          <w:color w:val="auto"/>
          <w:kern w:val="0"/>
          <w:sz w:val="28"/>
          <w:szCs w:val="28"/>
          <w:lang w:val="en-US" w:eastAsia="zh-CN"/>
        </w:rPr>
        <w:t>0.33公顷</w:t>
      </w:r>
      <w:r>
        <w:rPr>
          <w:rFonts w:ascii="宋体" w:eastAsia="宋体" w:cs="宋体" w:hAnsi="宋体" w:hint="eastAsia"/>
          <w:color w:val="auto"/>
          <w:kern w:val="0"/>
          <w:sz w:val="28"/>
          <w:szCs w:val="28"/>
          <w:lang w:eastAsia="zh-CN"/>
        </w:rPr>
        <w:t>）；按平面面积计算的用地面积为3</w:t>
      </w:r>
      <w:r>
        <w:rPr>
          <w:rFonts w:ascii="宋体" w:eastAsia="宋体" w:cs="宋体" w:hAnsi="宋体" w:hint="eastAsia"/>
          <w:color w:val="auto"/>
          <w:kern w:val="0"/>
          <w:sz w:val="28"/>
          <w:szCs w:val="28"/>
          <w:lang w:val="en-US" w:eastAsia="zh-CN"/>
        </w:rPr>
        <w:t>300.08</w:t>
      </w:r>
      <w:r>
        <w:rPr>
          <w:rFonts w:ascii="宋体" w:eastAsia="宋体" w:cs="宋体" w:hAnsi="宋体" w:hint="eastAsia"/>
          <w:color w:val="auto"/>
          <w:kern w:val="0"/>
          <w:sz w:val="28"/>
          <w:szCs w:val="28"/>
          <w:lang w:eastAsia="zh-CN"/>
        </w:rPr>
        <w:t>平方米（0.33公顷）。土地利用现状总体情况统计如下表，地块现状土地具体使用情况数据详见土地使用现状图</w:t>
      </w:r>
      <w:r>
        <w:rPr>
          <w:rFonts w:eastAsia="宋体" w:hint="eastAsia"/>
          <w:color w:val="auto"/>
          <w:kern w:val="0"/>
          <w:sz w:val="28"/>
          <w:szCs w:val="28"/>
          <w:lang w:val="en-US" w:eastAsia="zh-CN"/>
        </w:rPr>
        <w:t>。</w:t>
      </w:r>
    </w:p>
    <w:p>
      <w:pPr>
        <w:widowControl/>
        <w:spacing w:before="4" w:line="360" w:lineRule="auto"/>
        <w:ind w:right="351"/>
        <w:jc w:val="center"/>
        <w:rPr>
          <w:rFonts w:hint="eastAsia"/>
          <w:color w:val="auto"/>
          <w:kern w:val="0"/>
          <w:sz w:val="28"/>
          <w:szCs w:val="28"/>
          <w:lang w:val="en-US" w:eastAsia="zh-CN"/>
        </w:rPr>
      </w:pPr>
      <w:r>
        <w:rPr>
          <w:rFonts w:hint="eastAsia"/>
          <w:color w:val="auto"/>
          <w:kern w:val="0"/>
          <w:sz w:val="28"/>
          <w:szCs w:val="28"/>
          <w:lang w:val="en-US" w:eastAsia="zh-CN"/>
        </w:rPr>
        <w:t>项目土地利用现状面积表（采用椭球面积计算）</w:t>
      </w:r>
    </w:p>
    <w:tbl>
      <w:tblPr>
        <w:jc w:val="left"/>
        <w:tblInd w:w="588" w:type="dxa"/>
        <w:tblW w:w="7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46"/>
        <w:gridCol w:w="2047"/>
        <w:gridCol w:w="1719"/>
        <w:gridCol w:w="2104"/>
      </w:tblGrid>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地类编码</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地类名称</w:t>
            </w: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面积（㎡）</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面积（公顷）</w:t>
            </w:r>
          </w:p>
        </w:tc>
      </w:tr>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0301</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乔木林地</w:t>
            </w: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2770.09</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0.277</w:t>
            </w:r>
          </w:p>
        </w:tc>
      </w:tr>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0404</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其他草地</w:t>
            </w: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529.88</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0.053</w:t>
            </w:r>
          </w:p>
        </w:tc>
      </w:tr>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vertAlign w:val="baseline"/>
                <w:lang w:val="en-US" w:eastAsia="zh-CN"/>
              </w:rPr>
            </w:pPr>
            <w:r>
              <w:rPr>
                <w:rFonts w:hint="eastAsia"/>
                <w:b/>
                <w:bCs/>
                <w:color w:val="auto"/>
                <w:kern w:val="0"/>
                <w:sz w:val="28"/>
                <w:szCs w:val="28"/>
                <w:vertAlign w:val="baseline"/>
                <w:lang w:val="en-US" w:eastAsia="zh-CN"/>
              </w:rPr>
              <w:t>合计</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lang w:val="en-US" w:eastAsia="zh-CN"/>
              </w:rPr>
            </w:pP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b/>
                <w:bCs/>
                <w:color w:val="auto"/>
                <w:kern w:val="0"/>
                <w:sz w:val="28"/>
                <w:szCs w:val="28"/>
                <w:vertAlign w:val="baseline"/>
                <w:lang w:val="en-US" w:eastAsia="zh-CN"/>
              </w:rPr>
            </w:pPr>
            <w:r>
              <w:rPr>
                <w:rFonts w:hint="eastAsia"/>
                <w:b/>
                <w:bCs/>
                <w:color w:val="auto"/>
                <w:kern w:val="0"/>
                <w:sz w:val="28"/>
                <w:szCs w:val="28"/>
                <w:vertAlign w:val="baseline"/>
                <w:lang w:val="en-US" w:eastAsia="zh-CN"/>
              </w:rPr>
              <w:t>3299.97</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b/>
                <w:bCs/>
                <w:color w:val="auto"/>
                <w:kern w:val="0"/>
                <w:sz w:val="28"/>
                <w:szCs w:val="28"/>
                <w:vertAlign w:val="baseline"/>
                <w:lang w:val="en-US" w:eastAsia="zh-CN"/>
              </w:rPr>
            </w:pPr>
            <w:r>
              <w:rPr>
                <w:rFonts w:hint="eastAsia"/>
                <w:b/>
                <w:bCs/>
                <w:color w:val="auto"/>
                <w:kern w:val="0"/>
                <w:sz w:val="28"/>
                <w:szCs w:val="28"/>
                <w:vertAlign w:val="baseline"/>
                <w:lang w:val="en-US" w:eastAsia="zh-CN"/>
              </w:rPr>
              <w:t>0.33</w:t>
            </w:r>
          </w:p>
        </w:tc>
      </w:tr>
    </w:tbl>
    <w:p>
      <w:pPr>
        <w:widowControl/>
        <w:spacing w:before="4" w:line="360" w:lineRule="auto"/>
        <w:ind w:right="351"/>
        <w:jc w:val="center"/>
        <w:rPr>
          <w:rFonts w:hint="eastAsia"/>
          <w:color w:val="auto"/>
          <w:kern w:val="0"/>
          <w:sz w:val="28"/>
          <w:szCs w:val="28"/>
          <w:lang w:val="en-US" w:eastAsia="zh-CN"/>
        </w:rPr>
      </w:pPr>
      <w:r>
        <w:rPr>
          <w:rFonts w:hint="eastAsia"/>
          <w:color w:val="auto"/>
          <w:kern w:val="0"/>
          <w:sz w:val="28"/>
          <w:szCs w:val="28"/>
          <w:lang w:val="en-US" w:eastAsia="zh-CN"/>
        </w:rPr>
        <w:t>项目土地利用现状面积表（采用平面面积计算）</w:t>
      </w:r>
    </w:p>
    <w:tbl>
      <w:tblPr>
        <w:jc w:val="left"/>
        <w:tblInd w:w="588" w:type="dxa"/>
        <w:tblW w:w="7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46"/>
        <w:gridCol w:w="2047"/>
        <w:gridCol w:w="1719"/>
        <w:gridCol w:w="2104"/>
      </w:tblGrid>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地类编码</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地类名称</w:t>
            </w: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面积（㎡）</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面积（公顷）</w:t>
            </w:r>
          </w:p>
        </w:tc>
      </w:tr>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0301</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乔木林地</w:t>
            </w: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2770.18</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0.277</w:t>
            </w:r>
          </w:p>
        </w:tc>
      </w:tr>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0404</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其他草地</w:t>
            </w: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529.90</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0.053</w:t>
            </w:r>
          </w:p>
        </w:tc>
      </w:tr>
      <w:tr>
        <w:tc>
          <w:tcPr>
            <w:tcW w:w="1846"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vertAlign w:val="baseline"/>
                <w:lang w:val="en-US" w:eastAsia="zh-CN"/>
              </w:rPr>
            </w:pPr>
            <w:r>
              <w:rPr>
                <w:rFonts w:hint="eastAsia"/>
                <w:b/>
                <w:bCs/>
                <w:color w:val="auto"/>
                <w:kern w:val="0"/>
                <w:sz w:val="28"/>
                <w:szCs w:val="28"/>
                <w:vertAlign w:val="baseline"/>
                <w:lang w:val="en-US" w:eastAsia="zh-CN"/>
              </w:rPr>
              <w:t>合计</w:t>
            </w:r>
          </w:p>
        </w:tc>
        <w:tc>
          <w:tcPr>
            <w:tcW w:w="204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lang w:val="en-US" w:eastAsia="zh-CN"/>
              </w:rPr>
            </w:pPr>
          </w:p>
        </w:tc>
        <w:tc>
          <w:tcPr>
            <w:tcW w:w="1719"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b/>
                <w:bCs/>
                <w:color w:val="auto"/>
                <w:kern w:val="0"/>
                <w:sz w:val="28"/>
                <w:szCs w:val="28"/>
                <w:vertAlign w:val="baseline"/>
                <w:lang w:val="en-US" w:eastAsia="zh-CN"/>
              </w:rPr>
            </w:pPr>
            <w:r>
              <w:rPr>
                <w:rFonts w:hint="eastAsia"/>
                <w:b/>
                <w:bCs/>
                <w:color w:val="auto"/>
                <w:kern w:val="0"/>
                <w:sz w:val="28"/>
                <w:szCs w:val="28"/>
                <w:vertAlign w:val="baseline"/>
                <w:lang w:val="en-US" w:eastAsia="zh-CN"/>
              </w:rPr>
              <w:t>3300.08</w:t>
            </w:r>
          </w:p>
        </w:tc>
        <w:tc>
          <w:tcPr>
            <w:tcW w:w="2104"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b/>
                <w:bCs/>
                <w:color w:val="auto"/>
                <w:kern w:val="0"/>
                <w:sz w:val="28"/>
                <w:szCs w:val="28"/>
                <w:vertAlign w:val="baseline"/>
                <w:lang w:val="en-US" w:eastAsia="zh-CN"/>
              </w:rPr>
            </w:pPr>
            <w:r>
              <w:rPr>
                <w:rFonts w:hint="eastAsia"/>
                <w:b/>
                <w:bCs/>
                <w:color w:val="auto"/>
                <w:kern w:val="0"/>
                <w:sz w:val="28"/>
                <w:szCs w:val="28"/>
                <w:vertAlign w:val="baseline"/>
                <w:lang w:val="en-US" w:eastAsia="zh-CN"/>
              </w:rPr>
              <w:t>0.33</w:t>
            </w:r>
          </w:p>
        </w:tc>
      </w:tr>
    </w:tbl>
    <w:p>
      <w:pPr>
        <w:widowControl/>
        <w:spacing w:line="360" w:lineRule="auto"/>
        <w:ind w:left="840"/>
        <w:jc w:val="center"/>
        <w:rPr>
          <w:rFonts w:ascii="黑体" w:eastAsia="黑体" w:hAnsi="黑体" w:hint="eastAsia"/>
          <w:color w:val="auto"/>
          <w:sz w:val="24"/>
          <w:szCs w:val="24"/>
          <w:lang w:eastAsia="zh-CN"/>
        </w:rPr>
      </w:pPr>
    </w:p>
    <w:p>
      <w:pPr>
        <w:widowControl/>
        <w:spacing w:line="360" w:lineRule="auto"/>
        <w:ind w:left="840"/>
        <w:jc w:val="center"/>
        <w:rPr>
          <w:rFonts w:ascii="黑体" w:eastAsia="黑体" w:hAnsi="黑体" w:hint="eastAsia"/>
          <w:color w:val="auto"/>
          <w:sz w:val="24"/>
          <w:szCs w:val="24"/>
          <w:lang w:eastAsia="zh-CN"/>
        </w:rPr>
      </w:pPr>
      <w:r>
        <w:rPr>
          <w:rFonts w:ascii="宋体" w:eastAsia="宋体" w:cs="宋体" w:hAnsi="宋体" w:hint="eastAsia"/>
          <w:color w:val="auto"/>
          <w:sz w:val="24"/>
          <w:szCs w:val="24"/>
          <w:lang w:eastAsia="zh-CN"/>
        </w:rPr>
        <w:t>用地用海分类</w:t>
      </w:r>
      <w:r>
        <w:rPr>
          <w:rFonts w:ascii="宋体" w:eastAsia="宋体" w:cs="宋体" w:hAnsi="宋体" w:hint="eastAsia"/>
          <w:color w:val="auto"/>
          <w:sz w:val="24"/>
          <w:szCs w:val="24"/>
          <w:lang w:val="en-US" w:eastAsia="zh-CN"/>
        </w:rPr>
        <w:t>第三次全国国土调查</w:t>
      </w:r>
      <w:r>
        <w:rPr>
          <w:rFonts w:ascii="宋体" w:eastAsia="宋体" w:cs="宋体" w:hAnsi="宋体" w:hint="eastAsia"/>
          <w:color w:val="auto"/>
          <w:sz w:val="24"/>
          <w:szCs w:val="24"/>
        </w:rPr>
        <w:t>工作分类</w:t>
      </w:r>
      <w:r>
        <w:rPr>
          <w:rFonts w:ascii="宋体" w:eastAsia="宋体" w:cs="宋体" w:hAnsi="宋体" w:hint="eastAsia"/>
          <w:color w:val="auto"/>
          <w:sz w:val="24"/>
          <w:szCs w:val="24"/>
          <w:lang w:eastAsia="zh-CN"/>
        </w:rPr>
        <w:t>对应情况</w:t>
      </w:r>
    </w:p>
    <w:tbl>
      <w:tblPr>
        <w:jc w:val="cente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60"/>
        <w:gridCol w:w="1072"/>
        <w:gridCol w:w="709"/>
        <w:gridCol w:w="1417"/>
        <w:gridCol w:w="1808"/>
        <w:gridCol w:w="1900"/>
        <w:gridCol w:w="1429"/>
      </w:tblGrid>
      <w:tr>
        <w:trPr>
          <w:cantSplit/>
          <w:trHeight w:val="581"/>
          <w:tblHeader/>
        </w:trPr>
        <w:tc>
          <w:tcPr>
            <w:tcW w:w="3958" w:type="dxa"/>
            <w:gridSpan w:val="4"/>
            <w:shd w:val="clear" w:color="auto" w:fill="D9D9D9"/>
            <w:noWrap/>
            <w:vAlign w:val="center"/>
          </w:tcPr>
          <w:p>
            <w:pPr>
              <w:jc w:val="center"/>
              <w:rPr>
                <w:rFonts w:ascii="宋体" w:eastAsia="宋体" w:cs="宋体" w:hAnsi="宋体" w:hint="eastAsia"/>
                <w:b w:val="0"/>
                <w:bCs/>
                <w:color w:val="auto"/>
                <w:sz w:val="21"/>
                <w:szCs w:val="21"/>
              </w:rPr>
            </w:pPr>
            <w:r>
              <w:rPr>
                <w:rFonts w:ascii="宋体" w:eastAsia="宋体" w:cs="宋体" w:hAnsi="宋体" w:hint="eastAsia"/>
                <w:b w:val="0"/>
                <w:bCs/>
                <w:color w:val="auto"/>
                <w:sz w:val="21"/>
                <w:szCs w:val="21"/>
                <w:lang w:eastAsia="zh-CN"/>
              </w:rPr>
              <w:t>第三次全国国土调查</w:t>
            </w:r>
            <w:r>
              <w:rPr>
                <w:rFonts w:ascii="宋体" w:eastAsia="宋体" w:cs="宋体" w:hAnsi="宋体" w:hint="eastAsia"/>
                <w:b w:val="0"/>
                <w:bCs/>
                <w:color w:val="auto"/>
                <w:sz w:val="21"/>
                <w:szCs w:val="21"/>
              </w:rPr>
              <w:t>工作分类</w:t>
            </w:r>
          </w:p>
        </w:tc>
        <w:tc>
          <w:tcPr>
            <w:tcW w:w="5137" w:type="dxa"/>
            <w:gridSpan w:val="3"/>
            <w:noWrap/>
            <w:vAlign w:val="center"/>
          </w:tcPr>
          <w:p>
            <w:pPr>
              <w:jc w:val="center"/>
              <w:rPr>
                <w:rFonts w:ascii="宋体" w:eastAsia="宋体" w:cs="宋体" w:hAnsi="宋体" w:hint="eastAsia"/>
                <w:b/>
                <w:color w:val="auto"/>
                <w:sz w:val="21"/>
                <w:szCs w:val="21"/>
              </w:rPr>
            </w:pPr>
            <w:r>
              <w:rPr>
                <w:rFonts w:ascii="宋体" w:eastAsia="宋体" w:cs="宋体" w:hAnsi="宋体" w:hint="eastAsia"/>
                <w:b/>
                <w:color w:val="auto"/>
                <w:sz w:val="21"/>
                <w:szCs w:val="21"/>
              </w:rPr>
              <w:t>国土空间调查、规划、用途管制用地用海分类</w:t>
            </w:r>
          </w:p>
        </w:tc>
      </w:tr>
      <w:tr>
        <w:trPr>
          <w:cantSplit/>
          <w:trHeight w:val="396"/>
          <w:tblHeader/>
        </w:trPr>
        <w:tc>
          <w:tcPr>
            <w:tcW w:w="183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宋体" w:cs="宋体" w:hAnsi="宋体" w:hint="eastAsia"/>
                <w:b w:val="0"/>
                <w:bCs/>
                <w:color w:val="auto"/>
                <w:sz w:val="21"/>
                <w:szCs w:val="21"/>
              </w:rPr>
            </w:pPr>
            <w:r>
              <w:rPr>
                <w:rFonts w:ascii="宋体" w:cs="宋体" w:hAnsi="宋体" w:hint="eastAsia"/>
                <w:b w:val="0"/>
                <w:bCs/>
                <w:color w:val="auto"/>
                <w:sz w:val="21"/>
                <w:szCs w:val="21"/>
              </w:rPr>
              <w:t>一级类</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宋体" w:cs="宋体" w:hAnsi="宋体" w:hint="eastAsia"/>
                <w:b w:val="0"/>
                <w:bCs/>
                <w:color w:val="auto"/>
                <w:sz w:val="21"/>
                <w:szCs w:val="21"/>
              </w:rPr>
            </w:pPr>
            <w:r>
              <w:rPr>
                <w:rFonts w:ascii="宋体" w:cs="宋体" w:hAnsi="宋体" w:hint="eastAsia"/>
                <w:b w:val="0"/>
                <w:bCs/>
                <w:color w:val="auto"/>
                <w:sz w:val="21"/>
                <w:szCs w:val="21"/>
              </w:rPr>
              <w:t>二级类</w:t>
            </w:r>
          </w:p>
        </w:tc>
        <w:tc>
          <w:tcPr>
            <w:tcW w:w="1808"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cs="宋体" w:hAnsi="宋体" w:hint="eastAsia"/>
                <w:b/>
                <w:color w:val="auto"/>
                <w:sz w:val="21"/>
                <w:szCs w:val="21"/>
              </w:rPr>
            </w:pPr>
            <w:r>
              <w:rPr>
                <w:rFonts w:ascii="宋体" w:cs="宋体" w:hAnsi="宋体" w:hint="eastAsia"/>
                <w:b/>
                <w:color w:val="auto"/>
                <w:sz w:val="21"/>
                <w:szCs w:val="21"/>
              </w:rPr>
              <w:t>三级类</w:t>
            </w:r>
          </w:p>
        </w:tc>
        <w:tc>
          <w:tcPr>
            <w:tcW w:w="1900"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cs="宋体" w:hAnsi="宋体" w:hint="eastAsia"/>
                <w:b/>
                <w:color w:val="auto"/>
                <w:sz w:val="21"/>
                <w:szCs w:val="21"/>
              </w:rPr>
            </w:pPr>
            <w:r>
              <w:rPr>
                <w:rFonts w:ascii="宋体" w:cs="宋体" w:hAnsi="宋体" w:hint="eastAsia"/>
                <w:b/>
                <w:color w:val="auto"/>
                <w:sz w:val="21"/>
                <w:szCs w:val="21"/>
              </w:rPr>
              <w:t>二级类</w:t>
            </w:r>
          </w:p>
        </w:tc>
        <w:tc>
          <w:tcPr>
            <w:tcW w:w="1429"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cs="宋体" w:hAnsi="宋体" w:hint="eastAsia"/>
                <w:b/>
                <w:color w:val="auto"/>
                <w:sz w:val="21"/>
                <w:szCs w:val="21"/>
              </w:rPr>
            </w:pPr>
            <w:r>
              <w:rPr>
                <w:rFonts w:ascii="宋体" w:cs="宋体" w:hAnsi="宋体" w:hint="eastAsia"/>
                <w:b/>
                <w:color w:val="auto"/>
                <w:sz w:val="21"/>
                <w:szCs w:val="21"/>
              </w:rPr>
              <w:t>一级类</w:t>
            </w:r>
          </w:p>
        </w:tc>
      </w:tr>
      <w:tr>
        <w:trPr>
          <w:cantSplit/>
          <w:trHeight w:val="465"/>
        </w:trPr>
        <w:tc>
          <w:tcPr>
            <w:tcW w:w="7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ind w:right="33"/>
              <w:jc w:val="center"/>
              <w:rPr>
                <w:rFonts w:ascii="宋体" w:cs="宋体" w:hAnsi="宋体" w:hint="eastAsia"/>
                <w:b w:val="0"/>
                <w:bCs/>
                <w:color w:val="auto"/>
                <w:sz w:val="21"/>
                <w:szCs w:val="21"/>
              </w:rPr>
            </w:pPr>
            <w:r>
              <w:rPr>
                <w:rFonts w:ascii="宋体" w:cs="宋体" w:hAnsi="宋体" w:hint="eastAsia"/>
                <w:b w:val="0"/>
                <w:bCs/>
                <w:color w:val="auto"/>
                <w:sz w:val="21"/>
                <w:szCs w:val="21"/>
              </w:rPr>
              <w:t>05</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ind w:right="33"/>
              <w:jc w:val="center"/>
              <w:rPr>
                <w:rFonts w:ascii="宋体" w:cs="宋体" w:hAnsi="宋体" w:hint="eastAsia"/>
                <w:b w:val="0"/>
                <w:bCs/>
                <w:color w:val="auto"/>
                <w:sz w:val="21"/>
                <w:szCs w:val="21"/>
              </w:rPr>
            </w:pPr>
            <w:r>
              <w:rPr>
                <w:rFonts w:ascii="宋体" w:cs="宋体" w:hAnsi="宋体" w:hint="eastAsia"/>
                <w:b w:val="0"/>
                <w:bCs/>
                <w:color w:val="auto"/>
                <w:sz w:val="21"/>
                <w:szCs w:val="21"/>
              </w:rPr>
              <w:t>商业服</w:t>
            </w:r>
          </w:p>
          <w:p>
            <w:pPr>
              <w:ind w:right="33"/>
              <w:jc w:val="center"/>
              <w:rPr>
                <w:rFonts w:ascii="宋体" w:cs="宋体" w:hAnsi="宋体" w:hint="eastAsia"/>
                <w:b w:val="0"/>
                <w:bCs/>
                <w:color w:val="auto"/>
                <w:sz w:val="21"/>
                <w:szCs w:val="21"/>
              </w:rPr>
            </w:pPr>
            <w:r>
              <w:rPr>
                <w:rFonts w:ascii="宋体" w:cs="宋体" w:hAnsi="宋体" w:hint="eastAsia"/>
                <w:b w:val="0"/>
                <w:bCs/>
                <w:color w:val="auto"/>
                <w:sz w:val="21"/>
                <w:szCs w:val="21"/>
              </w:rPr>
              <w:t>务业用地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rPr>
                <w:rFonts w:ascii="宋体" w:cs="宋体" w:hAnsi="宋体" w:hint="eastAsia"/>
                <w:b w:val="0"/>
                <w:bCs/>
                <w:color w:val="auto"/>
                <w:sz w:val="21"/>
                <w:szCs w:val="21"/>
              </w:rPr>
            </w:pPr>
            <w:r>
              <w:rPr>
                <w:rFonts w:ascii="宋体" w:cs="宋体" w:hAnsi="宋体" w:hint="eastAsia"/>
                <w:b w:val="0"/>
                <w:bCs/>
                <w:color w:val="auto"/>
                <w:sz w:val="21"/>
                <w:szCs w:val="21"/>
              </w:rPr>
              <w:t>05H1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rPr>
                <w:rFonts w:ascii="宋体" w:cs="宋体" w:hAnsi="宋体" w:hint="eastAsia"/>
                <w:b w:val="0"/>
                <w:bCs/>
                <w:color w:val="auto"/>
                <w:sz w:val="21"/>
                <w:szCs w:val="21"/>
              </w:rPr>
            </w:pPr>
            <w:r>
              <w:rPr>
                <w:rFonts w:ascii="宋体" w:cs="宋体" w:hAnsi="宋体" w:hint="eastAsia"/>
                <w:b w:val="0"/>
                <w:bCs/>
                <w:color w:val="auto"/>
                <w:sz w:val="21"/>
                <w:szCs w:val="21"/>
              </w:rPr>
              <w:t>商业服务业设施用地</w:t>
            </w: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b/>
                <w:color w:val="auto"/>
                <w:sz w:val="21"/>
                <w:szCs w:val="21"/>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宋体" w:cs="宋体" w:hAnsi="宋体" w:hint="eastAsia"/>
                <w:color w:val="auto"/>
                <w:kern w:val="0"/>
                <w:sz w:val="21"/>
                <w:szCs w:val="21"/>
              </w:rPr>
            </w:pPr>
            <w:r>
              <w:rPr>
                <w:rFonts w:ascii="宋体" w:cs="宋体" w:hAnsi="宋体" w:hint="eastAsia"/>
                <w:color w:val="auto"/>
                <w:kern w:val="0"/>
                <w:sz w:val="21"/>
                <w:szCs w:val="21"/>
              </w:rPr>
              <w:t>0702城镇社区服务设施用地</w:t>
            </w:r>
          </w:p>
        </w:tc>
        <w:tc>
          <w:tcPr>
            <w:tcW w:w="1429" w:type="dxa"/>
            <w:vMerge w:val="restart"/>
            <w:tcBorders>
              <w:top w:val="single" w:sz="4" w:space="0" w:color="auto"/>
              <w:left w:val="single" w:sz="4" w:space="0" w:color="auto"/>
              <w:bottom w:val="single" w:sz="4" w:space="0" w:color="auto"/>
              <w:right w:val="single" w:sz="4" w:space="0" w:color="auto"/>
            </w:tcBorders>
            <w:noWrap/>
            <w:vAlign w:val="center"/>
          </w:tcPr>
          <w:p>
            <w:pPr>
              <w:rPr>
                <w:rFonts w:ascii="宋体" w:cs="宋体" w:hAnsi="宋体" w:hint="eastAsia"/>
                <w:color w:val="auto"/>
                <w:kern w:val="0"/>
                <w:sz w:val="21"/>
                <w:szCs w:val="21"/>
              </w:rPr>
            </w:pPr>
            <w:r>
              <w:rPr>
                <w:rFonts w:ascii="宋体" w:cs="宋体" w:hAnsi="宋体" w:hint="eastAsia"/>
                <w:b/>
                <w:color w:val="auto"/>
                <w:kern w:val="0"/>
                <w:sz w:val="21"/>
                <w:szCs w:val="21"/>
              </w:rPr>
              <w:t>07居住用地</w:t>
            </w:r>
          </w:p>
        </w:tc>
      </w:tr>
      <w:tr>
        <w:trPr>
          <w:cantSplit/>
          <w:trHeight w:val="362"/>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b/>
                <w:color w:val="auto"/>
                <w:sz w:val="21"/>
                <w:szCs w:val="21"/>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宋体" w:cs="宋体" w:hAnsi="宋体" w:hint="eastAsia"/>
                <w:color w:val="auto"/>
                <w:kern w:val="0"/>
                <w:sz w:val="21"/>
                <w:szCs w:val="21"/>
              </w:rPr>
            </w:pPr>
            <w:r>
              <w:rPr>
                <w:rFonts w:ascii="宋体" w:cs="宋体" w:hAnsi="宋体" w:hint="eastAsia"/>
                <w:color w:val="auto"/>
                <w:kern w:val="0"/>
                <w:sz w:val="21"/>
                <w:szCs w:val="21"/>
              </w:rPr>
              <w:t>0704农村社区服务设施用地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83"/>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color w:val="auto"/>
                <w:kern w:val="0"/>
                <w:sz w:val="21"/>
                <w:szCs w:val="21"/>
              </w:rPr>
              <w:t>090101零售商业用地</w:t>
            </w:r>
          </w:p>
        </w:tc>
        <w:tc>
          <w:tcPr>
            <w:tcW w:w="1900" w:type="dxa"/>
            <w:vMerge w:val="restart"/>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color w:val="auto"/>
                <w:sz w:val="21"/>
                <w:szCs w:val="21"/>
              </w:rPr>
            </w:pPr>
            <w:r>
              <w:rPr>
                <w:rFonts w:ascii="宋体" w:cs="宋体" w:hAnsi="宋体" w:hint="eastAsia"/>
                <w:color w:val="auto"/>
                <w:sz w:val="21"/>
                <w:szCs w:val="21"/>
              </w:rPr>
              <w:t>0901商业用地</w:t>
            </w:r>
          </w:p>
        </w:tc>
        <w:tc>
          <w:tcPr>
            <w:tcW w:w="1429" w:type="dxa"/>
            <w:vMerge w:val="restart"/>
            <w:tcBorders>
              <w:top w:val="single" w:sz="4" w:space="0" w:color="auto"/>
              <w:left w:val="single" w:sz="4" w:space="0" w:color="auto"/>
              <w:bottom w:val="single" w:sz="4" w:space="0" w:color="auto"/>
              <w:right w:val="single" w:sz="4" w:space="0" w:color="auto"/>
            </w:tcBorders>
            <w:noWrap/>
            <w:vAlign w:val="center"/>
          </w:tcPr>
          <w:p>
            <w:pPr>
              <w:ind w:right="33"/>
              <w:jc w:val="left"/>
              <w:rPr>
                <w:rFonts w:ascii="宋体" w:cs="宋体" w:hAnsi="宋体" w:hint="eastAsia"/>
                <w:b/>
                <w:color w:val="auto"/>
                <w:sz w:val="21"/>
                <w:szCs w:val="21"/>
              </w:rPr>
            </w:pPr>
            <w:r>
              <w:rPr>
                <w:rFonts w:ascii="宋体" w:cs="宋体" w:hAnsi="宋体" w:hint="eastAsia"/>
                <w:b/>
                <w:color w:val="auto"/>
                <w:sz w:val="21"/>
                <w:szCs w:val="21"/>
              </w:rPr>
              <w:t>09商业服务业用地</w:t>
            </w:r>
          </w:p>
        </w:tc>
      </w:tr>
      <w:tr>
        <w:trPr>
          <w:cantSplit/>
          <w:trHeight w:val="7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color w:val="auto"/>
                <w:kern w:val="0"/>
                <w:sz w:val="21"/>
                <w:szCs w:val="21"/>
              </w:rPr>
              <w:t>090102批发市场用地</w:t>
            </w:r>
          </w:p>
        </w:tc>
        <w:tc>
          <w:tcPr>
            <w:tcW w:w="1900" w:type="dxa"/>
            <w:vMerge/>
            <w:tcBorders>
              <w:top w:val="single" w:sz="4" w:space="0" w:color="auto"/>
              <w:left w:val="single" w:sz="4" w:space="0" w:color="auto"/>
              <w:bottom w:val="single" w:sz="4" w:space="0" w:color="auto"/>
              <w:right w:val="single" w:sz="4" w:space="0" w:color="auto"/>
            </w:tcBorders>
            <w:noWrap/>
            <w:vAlign w:val="center"/>
          </w:tcP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7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color w:val="auto"/>
                <w:kern w:val="0"/>
                <w:sz w:val="21"/>
                <w:szCs w:val="21"/>
              </w:rPr>
              <w:t>090103餐饮用地</w:t>
            </w:r>
          </w:p>
        </w:tc>
        <w:tc>
          <w:tcPr>
            <w:tcW w:w="1900" w:type="dxa"/>
            <w:vMerge/>
            <w:tcBorders>
              <w:top w:val="single" w:sz="4" w:space="0" w:color="auto"/>
              <w:left w:val="single" w:sz="4" w:space="0" w:color="auto"/>
              <w:bottom w:val="single" w:sz="4" w:space="0" w:color="auto"/>
              <w:right w:val="single" w:sz="4" w:space="0" w:color="auto"/>
            </w:tcBorders>
            <w:noWrap/>
            <w:vAlign w:val="center"/>
          </w:tcP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7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color w:val="auto"/>
                <w:kern w:val="0"/>
                <w:sz w:val="21"/>
                <w:szCs w:val="21"/>
              </w:rPr>
              <w:t>090104旅馆用地</w:t>
            </w:r>
          </w:p>
        </w:tc>
        <w:tc>
          <w:tcPr>
            <w:tcW w:w="1900" w:type="dxa"/>
            <w:vMerge/>
            <w:tcBorders>
              <w:top w:val="single" w:sz="4" w:space="0" w:color="auto"/>
              <w:left w:val="single" w:sz="4" w:space="0" w:color="auto"/>
              <w:bottom w:val="single" w:sz="4" w:space="0" w:color="auto"/>
              <w:right w:val="single" w:sz="4" w:space="0" w:color="auto"/>
            </w:tcBorders>
            <w:noWrap/>
            <w:vAlign w:val="center"/>
          </w:tcP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7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color w:val="auto"/>
                <w:kern w:val="0"/>
                <w:sz w:val="21"/>
                <w:szCs w:val="21"/>
              </w:rPr>
              <w:t>090105公用设施营业网点用地</w:t>
            </w:r>
          </w:p>
        </w:tc>
        <w:tc>
          <w:tcPr>
            <w:tcW w:w="1900" w:type="dxa"/>
            <w:vMerge/>
            <w:tcBorders>
              <w:top w:val="single" w:sz="4" w:space="0" w:color="auto"/>
              <w:left w:val="single" w:sz="4" w:space="0" w:color="auto"/>
              <w:bottom w:val="single" w:sz="4" w:space="0" w:color="auto"/>
              <w:right w:val="single" w:sz="4" w:space="0" w:color="auto"/>
            </w:tcBorders>
            <w:noWrap/>
            <w:vAlign w:val="center"/>
          </w:tcP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35"/>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b/>
                <w:color w:val="auto"/>
                <w:sz w:val="21"/>
                <w:szCs w:val="21"/>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color w:val="auto"/>
                <w:sz w:val="21"/>
                <w:szCs w:val="21"/>
              </w:rPr>
            </w:pPr>
            <w:r>
              <w:rPr>
                <w:rFonts w:ascii="宋体" w:cs="宋体" w:hAnsi="宋体" w:hint="eastAsia"/>
                <w:color w:val="auto"/>
                <w:sz w:val="21"/>
                <w:szCs w:val="21"/>
              </w:rPr>
              <w:t>0902商务金融用地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366"/>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color w:val="auto"/>
                <w:kern w:val="0"/>
                <w:sz w:val="21"/>
                <w:szCs w:val="21"/>
                <w:highlight w:val="auto"/>
              </w:rPr>
            </w:pPr>
            <w:r>
              <w:rPr>
                <w:rFonts w:ascii="宋体" w:cs="宋体" w:hAnsi="宋体" w:hint="eastAsia"/>
                <w:b/>
                <w:color w:val="auto"/>
                <w:kern w:val="2"/>
                <w:sz w:val="21"/>
                <w:szCs w:val="21"/>
                <w:highlight w:val="auto"/>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color w:val="auto"/>
                <w:kern w:val="0"/>
                <w:sz w:val="21"/>
                <w:szCs w:val="21"/>
                <w:highlight w:val="auto"/>
              </w:rPr>
            </w:pPr>
            <w:r>
              <w:rPr>
                <w:rFonts w:ascii="宋体" w:cs="宋体" w:hAnsi="宋体" w:hint="eastAsia"/>
                <w:color w:val="auto"/>
                <w:kern w:val="0"/>
                <w:sz w:val="21"/>
                <w:szCs w:val="21"/>
                <w:highlight w:val="auto"/>
              </w:rPr>
              <w:t>0903娱乐用地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51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b/>
                <w:color w:val="auto"/>
                <w:sz w:val="21"/>
                <w:szCs w:val="21"/>
              </w:rPr>
            </w:pPr>
            <w:r>
              <w:rPr>
                <w:rFonts w:ascii="宋体" w:cs="宋体" w:hAnsi="宋体" w:hint="eastAsia"/>
                <w:b/>
                <w:color w:val="auto"/>
                <w:sz w:val="21"/>
                <w:szCs w:val="21"/>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ind w:right="33"/>
              <w:rPr>
                <w:rFonts w:ascii="宋体" w:cs="宋体" w:hAnsi="宋体" w:hint="eastAsia"/>
                <w:color w:val="auto"/>
                <w:sz w:val="21"/>
                <w:szCs w:val="21"/>
              </w:rPr>
            </w:pPr>
            <w:r>
              <w:rPr>
                <w:rFonts w:ascii="宋体" w:cs="宋体" w:hAnsi="宋体" w:hint="eastAsia"/>
                <w:color w:val="auto"/>
                <w:sz w:val="21"/>
                <w:szCs w:val="21"/>
              </w:rPr>
              <w:t>0904其他商业服务业用地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bl>
    <w:p>
      <w:pPr>
        <w:rPr>
          <w:rFonts w:ascii="宋体" w:eastAsia="宋体" w:cs="宋体" w:hAnsi="宋体" w:hint="eastAsia"/>
          <w:color w:val="auto"/>
          <w:kern w:val="0"/>
          <w:sz w:val="28"/>
          <w:szCs w:val="28"/>
          <w:lang w:eastAsia="zh-CN"/>
        </w:rPr>
      </w:pPr>
      <w:r>
        <w:rPr>
          <w:rFonts w:eastAsia="宋体" w:hint="eastAsia"/>
          <w:color w:val="auto"/>
          <w:lang w:eastAsia="zh-CN"/>
        </w:rPr>
        <w:t>注：在第三次全国国土调查工作分类中公用设施用地对应的用地分类为二级类商业服务业设施用地，代码为“</w:t>
      </w:r>
      <w:r>
        <w:rPr>
          <w:rFonts w:eastAsia="宋体" w:hint="eastAsia"/>
          <w:color w:val="auto"/>
          <w:lang w:val="en-US" w:eastAsia="zh-CN"/>
        </w:rPr>
        <w:t>05H1</w:t>
      </w:r>
      <w:r>
        <w:rPr>
          <w:rFonts w:eastAsia="宋体" w:hint="eastAsia"/>
          <w:color w:val="auto"/>
          <w:lang w:eastAsia="zh-CN"/>
        </w:rPr>
        <w:t>”，在《国土空间调查、规划、用途管制用地用海分类指南》（</w:t>
      </w:r>
      <w:r>
        <w:rPr>
          <w:rFonts w:eastAsia="宋体" w:hint="eastAsia"/>
          <w:color w:val="auto"/>
          <w:lang w:val="en-US" w:eastAsia="zh-CN"/>
        </w:rPr>
        <w:t>2023版</w:t>
      </w:r>
      <w:r>
        <w:rPr>
          <w:rFonts w:eastAsia="宋体" w:hint="eastAsia"/>
          <w:color w:val="auto"/>
          <w:lang w:eastAsia="zh-CN"/>
        </w:rPr>
        <w:t>）中公用设施营业网点用地对应的二级类代码为“</w:t>
      </w:r>
      <w:r>
        <w:rPr>
          <w:rFonts w:eastAsia="宋体" w:hint="eastAsia"/>
          <w:color w:val="auto"/>
          <w:lang w:val="en-US" w:eastAsia="zh-CN"/>
        </w:rPr>
        <w:t>0901</w:t>
      </w:r>
      <w:r>
        <w:rPr>
          <w:rFonts w:eastAsia="宋体" w:hint="eastAsia"/>
          <w:color w:val="auto"/>
          <w:lang w:eastAsia="zh-CN"/>
        </w:rPr>
        <w:t>”商业用地，三级类代码为“</w:t>
      </w:r>
      <w:r>
        <w:rPr>
          <w:rFonts w:eastAsia="宋体" w:hint="eastAsia"/>
          <w:color w:val="auto"/>
          <w:lang w:val="en-US" w:eastAsia="zh-CN"/>
        </w:rPr>
        <w:t>090105</w:t>
      </w:r>
      <w:r>
        <w:rPr>
          <w:rFonts w:eastAsia="宋体" w:hint="eastAsia"/>
          <w:color w:val="auto"/>
          <w:lang w:eastAsia="zh-CN"/>
        </w:rPr>
        <w:t>”。</w:t>
      </w:r>
    </w:p>
    <w:p>
      <w:pPr>
        <w:rPr>
          <w:rFonts w:eastAsia="宋体" w:hint="eastAsia"/>
          <w:color w:val="auto"/>
          <w:lang w:val="en-US" w:eastAsia="zh-CN"/>
        </w:rPr>
      </w:pPr>
    </w:p>
    <w:p>
      <w:pPr>
        <w:widowControl/>
        <w:spacing w:before="4" w:line="360" w:lineRule="auto"/>
        <w:ind w:right="351"/>
        <w:jc w:val="both"/>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2514600" cy="1887220"/>
            <wp:effectExtent l="0" t="0" r="39" b="35"/>
            <wp:docPr id="16" name="图片 11" descr="E:/00王麒麟项目/王麒麟大直加油站控规/大直加油站现场调研照片2025.10.24/IMG_4309.JPGIMG_4309"/>
            <wp:cNvGraphicFramePr>
              <a:graphicFrameLocks noChangeAspect="1"/>
            </wp:cNvGraphicFramePr>
            <a:graphic>
              <a:graphicData uri="http://schemas.openxmlformats.org/drawingml/2006/picture">
                <pic:pic>
                  <pic:nvPicPr>
                    <pic:cNvPr id="18" name="图片 11 18"/>
                    <pic:cNvPicPr/>
                  </pic:nvPicPr>
                  <pic:blipFill>
                    <a:blip r:embed="rId8"/>
                    <a:srcRect l="51" r="51"/>
                    <a:stretch>
                      <a:fillRect/>
                    </a:stretch>
                  </pic:blipFill>
                  <pic:spPr>
                    <a:xfrm rot="0">
                      <a:off x="0" y="0"/>
                      <a:ext cx="2514600" cy="1887220"/>
                    </a:xfrm>
                    <a:prstGeom prst="rect"/>
                    <a:noFill/>
                    <a:ln w="9525" cmpd="sng" cap="flat">
                      <a:noFill/>
                      <a:prstDash val="solid"/>
                      <a:miter/>
                    </a:ln>
                  </pic:spPr>
                </pic:pic>
              </a:graphicData>
            </a:graphic>
          </wp:inline>
        </w:drawing>
      </w:r>
      <w:r>
        <w:rPr>
          <w:rFonts w:ascii="宋体" w:eastAsia="宋体" w:cs="宋体" w:hAnsi="宋体" w:hint="eastAsia"/>
          <w:color w:val="auto"/>
          <w:kern w:val="0"/>
          <w:sz w:val="28"/>
          <w:szCs w:val="28"/>
          <w:lang w:eastAsia="zh-CN"/>
        </w:rPr>
        <w:drawing>
          <wp:inline distT="0" distB="0" distL="114300" distR="114300">
            <wp:extent cx="2527935" cy="1898015"/>
            <wp:effectExtent l="0" t="0" r="39" b="3"/>
            <wp:docPr id="19" name="图片 13" descr="E:/00王麒麟项目/王麒麟大直加油站控规/大直加油站现场调研照片2025.10.24/IMG_4315.JPGIMG_4315"/>
            <wp:cNvGraphicFramePr>
              <a:graphicFrameLocks noChangeAspect="1"/>
            </wp:cNvGraphicFramePr>
            <a:graphic>
              <a:graphicData uri="http://schemas.openxmlformats.org/drawingml/2006/picture">
                <pic:pic>
                  <pic:nvPicPr>
                    <pic:cNvPr id="21" name="图片 13 21"/>
                    <pic:cNvPicPr/>
                  </pic:nvPicPr>
                  <pic:blipFill>
                    <a:blip r:embed="rId9"/>
                    <a:srcRect l="67" r="67"/>
                    <a:stretch>
                      <a:fillRect/>
                    </a:stretch>
                  </pic:blipFill>
                  <pic:spPr>
                    <a:xfrm rot="0">
                      <a:off x="0" y="0"/>
                      <a:ext cx="2527935" cy="1898015"/>
                    </a:xfrm>
                    <a:prstGeom prst="rect"/>
                    <a:noFill/>
                    <a:ln w="9525" cmpd="sng" cap="flat">
                      <a:noFill/>
                      <a:prstDash val="solid"/>
                      <a:miter/>
                    </a:ln>
                  </pic:spPr>
                </pic:pic>
              </a:graphicData>
            </a:graphic>
          </wp:inline>
        </w:drawing>
      </w:r>
    </w:p>
    <w:p>
      <w:pPr>
        <w:widowControl/>
        <w:spacing w:before="4" w:line="360" w:lineRule="auto"/>
        <w:ind w:right="351"/>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2521585" cy="1891028"/>
            <wp:effectExtent l="0" t="0" r="25" b="36"/>
            <wp:docPr id="22" name="图片 14" descr="E:/00王麒麟项目/王麒麟大直加油站控规/大直加油站现场调研照片2025.10.24/IMG_4337.JPGIMG_4337"/>
            <wp:cNvGraphicFramePr>
              <a:graphicFrameLocks noChangeAspect="1"/>
            </wp:cNvGraphicFramePr>
            <a:graphic>
              <a:graphicData uri="http://schemas.openxmlformats.org/drawingml/2006/picture">
                <pic:pic>
                  <pic:nvPicPr>
                    <pic:cNvPr id="24" name="图片 14 24"/>
                    <pic:cNvPicPr/>
                  </pic:nvPicPr>
                  <pic:blipFill>
                    <a:blip r:embed="rId10"/>
                    <a:srcRect t="13" b="13"/>
                    <a:stretch>
                      <a:fillRect/>
                    </a:stretch>
                  </pic:blipFill>
                  <pic:spPr>
                    <a:xfrm rot="0">
                      <a:off x="0" y="0"/>
                      <a:ext cx="2521585" cy="1891028"/>
                    </a:xfrm>
                    <a:prstGeom prst="rect"/>
                    <a:noFill/>
                    <a:ln w="9525" cmpd="sng" cap="flat">
                      <a:noFill/>
                      <a:prstDash val="solid"/>
                      <a:miter/>
                    </a:ln>
                  </pic:spPr>
                </pic:pic>
              </a:graphicData>
            </a:graphic>
          </wp:inline>
        </w:drawing>
      </w:r>
      <w:r>
        <w:rPr>
          <w:rFonts w:ascii="宋体" w:eastAsia="宋体" w:cs="宋体" w:hAnsi="宋体" w:hint="eastAsia"/>
          <w:color w:val="auto"/>
          <w:kern w:val="0"/>
          <w:sz w:val="28"/>
          <w:szCs w:val="28"/>
          <w:lang w:eastAsia="zh-CN"/>
        </w:rPr>
        <w:drawing>
          <wp:inline distT="0" distB="0" distL="114300" distR="114300">
            <wp:extent cx="2513965" cy="1886585"/>
            <wp:effectExtent l="0" t="0" r="25" b="3"/>
            <wp:docPr id="25" name="图片 15" descr="E:/00王麒麟项目/王麒麟大直加油站控规/大直加油站现场调研照片2025.10.24/IMG_4361.JPGIMG_4361"/>
            <wp:cNvGraphicFramePr>
              <a:graphicFrameLocks noChangeAspect="1"/>
            </wp:cNvGraphicFramePr>
            <a:graphic>
              <a:graphicData uri="http://schemas.openxmlformats.org/drawingml/2006/picture">
                <pic:pic>
                  <pic:nvPicPr>
                    <pic:cNvPr id="27" name="图片 15 27"/>
                    <pic:cNvPicPr/>
                  </pic:nvPicPr>
                  <pic:blipFill>
                    <a:blip r:embed="rId11"/>
                    <a:srcRect l="34" r="34"/>
                    <a:stretch>
                      <a:fillRect/>
                    </a:stretch>
                  </pic:blipFill>
                  <pic:spPr>
                    <a:xfrm rot="0">
                      <a:off x="0" y="0"/>
                      <a:ext cx="2513965" cy="1886585"/>
                    </a:xfrm>
                    <a:prstGeom prst="rect"/>
                    <a:noFill/>
                    <a:ln w="9525" cmpd="sng" cap="flat">
                      <a:noFill/>
                      <a:prstDash val="solid"/>
                      <a:miter/>
                    </a:ln>
                  </pic:spPr>
                </pic:pic>
              </a:graphicData>
            </a:graphic>
          </wp:inline>
        </w:drawing>
      </w:r>
    </w:p>
    <w:p>
      <w:pPr>
        <w:pStyle w:val="17"/>
        <w:autoSpaceDE w:val="0"/>
        <w:autoSpaceDN w:val="0"/>
        <w:spacing w:before="4" w:line="360" w:lineRule="auto"/>
        <w:ind w:right="351"/>
        <w:jc w:val="center"/>
        <w:rPr>
          <w:rFonts w:ascii="宋体" w:eastAsia="宋体" w:cs="宋体" w:hAnsi="宋体"/>
          <w:color w:val="auto"/>
          <w:kern w:val="0"/>
          <w:sz w:val="24"/>
        </w:rPr>
      </w:pPr>
      <w:r>
        <w:rPr>
          <w:rFonts w:hint="eastAsia"/>
          <w:b/>
          <w:bCs/>
          <w:color w:val="auto"/>
          <w:lang w:val="en-US" w:eastAsia="zh-CN"/>
        </w:rPr>
        <w:t>规划场址现状及地形地貌</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26" w:name="_Toc27882"/>
      <w:r>
        <w:rPr>
          <w:rFonts w:ascii="宋体" w:eastAsia="宋体" w:cs="宋体" w:hAnsi="宋体" w:hint="eastAsia"/>
          <w:bCs/>
          <w:color w:val="auto"/>
          <w:sz w:val="32"/>
          <w:szCs w:val="32"/>
          <w:lang w:val="en-US" w:eastAsia="zh-CN"/>
        </w:rPr>
        <w:t>2.4周边建设情况</w:t>
      </w:r>
      <w:bookmarkEnd w:id="26"/>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（1）道路建设</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本地块西侧紧邻国道</w:t>
      </w:r>
      <w:r>
        <w:rPr>
          <w:rFonts w:ascii="宋体" w:eastAsia="宋体" w:cs="宋体" w:hAnsi="宋体" w:hint="eastAsia"/>
          <w:color w:val="auto"/>
          <w:kern w:val="0"/>
          <w:sz w:val="28"/>
          <w:szCs w:val="28"/>
          <w:lang w:val="en-US" w:eastAsia="zh-CN"/>
        </w:rPr>
        <w:t>G210</w:t>
      </w:r>
      <w:r>
        <w:rPr>
          <w:rFonts w:ascii="宋体" w:eastAsia="宋体" w:cs="宋体" w:hAnsi="宋体" w:hint="eastAsia"/>
          <w:color w:val="auto"/>
          <w:kern w:val="0"/>
          <w:sz w:val="28"/>
          <w:szCs w:val="28"/>
          <w:lang w:eastAsia="zh-CN"/>
        </w:rPr>
        <w:t>，现状道路路面宽度</w:t>
      </w:r>
      <w:r>
        <w:rPr>
          <w:rFonts w:ascii="宋体" w:eastAsia="宋体" w:cs="宋体" w:hAnsi="宋体" w:hint="eastAsia"/>
          <w:color w:val="auto"/>
          <w:kern w:val="0"/>
          <w:sz w:val="28"/>
          <w:szCs w:val="28"/>
          <w:lang w:val="en-US" w:eastAsia="zh-CN"/>
        </w:rPr>
        <w:t>12米。</w:t>
      </w:r>
      <w:r>
        <w:rPr>
          <w:rFonts w:ascii="宋体" w:eastAsia="宋体" w:cs="宋体" w:hAnsi="宋体" w:hint="eastAsia"/>
          <w:color w:val="auto"/>
          <w:kern w:val="0"/>
          <w:sz w:val="28"/>
          <w:szCs w:val="28"/>
          <w:lang w:eastAsia="zh-CN"/>
        </w:rPr>
        <w:t>往北约</w:t>
      </w:r>
      <w:r>
        <w:rPr>
          <w:rFonts w:ascii="宋体" w:eastAsia="宋体" w:cs="宋体" w:hAnsi="宋体" w:hint="eastAsia"/>
          <w:color w:val="auto"/>
          <w:kern w:val="0"/>
          <w:sz w:val="28"/>
          <w:szCs w:val="28"/>
          <w:lang w:val="en-US" w:eastAsia="zh-CN"/>
        </w:rPr>
        <w:t>23公里</w:t>
      </w:r>
      <w:r>
        <w:rPr>
          <w:rFonts w:ascii="宋体" w:eastAsia="宋体" w:cs="宋体" w:hAnsi="宋体" w:hint="eastAsia"/>
          <w:color w:val="auto"/>
          <w:kern w:val="0"/>
          <w:sz w:val="28"/>
          <w:szCs w:val="28"/>
          <w:lang w:eastAsia="zh-CN"/>
        </w:rPr>
        <w:t>接合那高速，再往前通往上思、南宁，往南约</w:t>
      </w:r>
      <w:r>
        <w:rPr>
          <w:rFonts w:ascii="宋体" w:eastAsia="宋体" w:cs="宋体" w:hAnsi="宋体" w:hint="eastAsia"/>
          <w:color w:val="auto"/>
          <w:kern w:val="0"/>
          <w:sz w:val="28"/>
          <w:szCs w:val="28"/>
          <w:lang w:val="en-US" w:eastAsia="zh-CN"/>
        </w:rPr>
        <w:t>21公里</w:t>
      </w:r>
      <w:r>
        <w:rPr>
          <w:rFonts w:ascii="宋体" w:eastAsia="宋体" w:cs="宋体" w:hAnsi="宋体" w:hint="eastAsia"/>
          <w:color w:val="auto"/>
          <w:kern w:val="0"/>
          <w:sz w:val="28"/>
          <w:szCs w:val="28"/>
          <w:lang w:eastAsia="zh-CN"/>
        </w:rPr>
        <w:t>接钦东高速，再往前至防城港。</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南防路，现状路面宽度约</w:t>
      </w:r>
      <w:r>
        <w:rPr>
          <w:rFonts w:ascii="宋体" w:eastAsia="宋体" w:cs="宋体" w:hAnsi="宋体" w:hint="eastAsia"/>
          <w:color w:val="auto"/>
          <w:kern w:val="0"/>
          <w:sz w:val="28"/>
          <w:szCs w:val="28"/>
          <w:lang w:val="en-US" w:eastAsia="zh-CN"/>
        </w:rPr>
        <w:t>7米。</w:t>
      </w:r>
      <w:r>
        <w:rPr>
          <w:rFonts w:ascii="宋体" w:eastAsia="宋体" w:cs="宋体" w:hAnsi="宋体" w:hint="eastAsia"/>
          <w:color w:val="auto"/>
          <w:kern w:val="0"/>
          <w:sz w:val="28"/>
          <w:szCs w:val="28"/>
          <w:lang w:eastAsia="zh-CN"/>
        </w:rPr>
        <w:t>位于规划用地北面</w:t>
      </w:r>
      <w:r>
        <w:rPr>
          <w:rFonts w:ascii="宋体" w:eastAsia="宋体" w:cs="宋体" w:hAnsi="宋体" w:hint="eastAsia"/>
          <w:color w:val="auto"/>
          <w:kern w:val="0"/>
          <w:sz w:val="28"/>
          <w:szCs w:val="28"/>
          <w:lang w:val="en-US" w:eastAsia="zh-CN"/>
        </w:rPr>
        <w:t>250米处</w:t>
      </w:r>
      <w:r>
        <w:rPr>
          <w:rFonts w:ascii="宋体" w:eastAsia="宋体" w:cs="宋体" w:hAnsi="宋体" w:hint="eastAsia"/>
          <w:color w:val="auto"/>
          <w:kern w:val="0"/>
          <w:sz w:val="28"/>
          <w:szCs w:val="28"/>
          <w:lang w:eastAsia="zh-CN"/>
        </w:rPr>
        <w:t>，南与国道</w:t>
      </w:r>
      <w:r>
        <w:rPr>
          <w:rFonts w:ascii="宋体" w:eastAsia="宋体" w:cs="宋体" w:hAnsi="宋体" w:hint="eastAsia"/>
          <w:color w:val="auto"/>
          <w:kern w:val="0"/>
          <w:sz w:val="28"/>
          <w:szCs w:val="28"/>
          <w:lang w:val="en-US" w:eastAsia="zh-CN"/>
        </w:rPr>
        <w:t>G210交汇，通过旧镇区，</w:t>
      </w:r>
      <w:r>
        <w:rPr>
          <w:rFonts w:ascii="宋体" w:eastAsia="宋体" w:cs="宋体" w:hAnsi="宋体" w:hint="eastAsia"/>
          <w:color w:val="auto"/>
          <w:kern w:val="0"/>
          <w:sz w:val="28"/>
          <w:szCs w:val="28"/>
          <w:lang w:eastAsia="zh-CN"/>
        </w:rPr>
        <w:t>北与省道</w:t>
      </w:r>
      <w:r>
        <w:rPr>
          <w:rFonts w:ascii="宋体" w:eastAsia="宋体" w:cs="宋体" w:hAnsi="宋体" w:hint="eastAsia"/>
          <w:color w:val="auto"/>
          <w:kern w:val="0"/>
          <w:sz w:val="28"/>
          <w:szCs w:val="28"/>
          <w:lang w:val="en-US" w:eastAsia="zh-CN"/>
        </w:rPr>
        <w:t>S515交汇</w:t>
      </w:r>
      <w:r>
        <w:rPr>
          <w:rFonts w:ascii="宋体" w:eastAsia="宋体" w:cs="宋体" w:hAnsi="宋体" w:hint="eastAsia"/>
          <w:color w:val="auto"/>
          <w:kern w:val="0"/>
          <w:sz w:val="28"/>
          <w:szCs w:val="28"/>
          <w:lang w:eastAsia="zh-CN"/>
        </w:rPr>
        <w:t>。</w:t>
      </w:r>
    </w:p>
    <w:p>
      <w:pPr>
        <w:widowControl/>
        <w:spacing w:before="4" w:line="360" w:lineRule="auto"/>
        <w:ind w:right="351"/>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2505710" cy="1880235"/>
            <wp:effectExtent l="0" t="0" r="7" b="29"/>
            <wp:docPr id="28" name="图片 1" descr="E:/00王麒麟项目/王麒麟大直加油站控规/大直加油站现场调研照片2025.10.24/IMG_4313.JPGIMG_4313"/>
            <wp:cNvGraphicFramePr>
              <a:graphicFrameLocks noChangeAspect="1"/>
            </wp:cNvGraphicFramePr>
            <a:graphic>
              <a:graphicData uri="http://schemas.openxmlformats.org/drawingml/2006/picture">
                <pic:pic>
                  <pic:nvPicPr>
                    <pic:cNvPr id="30" name="图片 1 30"/>
                    <pic:cNvPicPr/>
                  </pic:nvPicPr>
                  <pic:blipFill>
                    <a:blip r:embed="rId12"/>
                    <a:srcRect l="33" r="33"/>
                    <a:stretch>
                      <a:fillRect/>
                    </a:stretch>
                  </pic:blipFill>
                  <pic:spPr>
                    <a:xfrm rot="0">
                      <a:off x="0" y="0"/>
                      <a:ext cx="2505710" cy="1880235"/>
                    </a:xfrm>
                    <a:prstGeom prst="rect"/>
                    <a:noFill/>
                    <a:ln w="9525" cmpd="sng" cap="flat">
                      <a:noFill/>
                      <a:prstDash val="solid"/>
                      <a:miter/>
                    </a:ln>
                  </pic:spPr>
                </pic:pic>
              </a:graphicData>
            </a:graphic>
          </wp:inline>
        </w:drawing>
      </w:r>
      <w:r>
        <w:rPr>
          <w:rFonts w:ascii="宋体" w:eastAsia="宋体" w:cs="宋体" w:hAnsi="宋体" w:hint="eastAsia"/>
          <w:color w:val="auto"/>
          <w:kern w:val="0"/>
          <w:sz w:val="28"/>
          <w:szCs w:val="28"/>
          <w:lang w:eastAsia="zh-CN"/>
        </w:rPr>
        <w:drawing>
          <wp:inline distT="0" distB="0" distL="114300" distR="114300">
            <wp:extent cx="2512060" cy="1885950"/>
            <wp:effectExtent l="0" t="0" r="25" b="29"/>
            <wp:docPr id="31" name="图片 5" descr="E:/00王麒麟项目/王麒麟大直加油站控规/大直加油站现场调研照片2025.10.24/IMG_4371.JPGIMG_4371"/>
            <wp:cNvGraphicFramePr>
              <a:graphicFrameLocks noChangeAspect="1"/>
            </wp:cNvGraphicFramePr>
            <a:graphic>
              <a:graphicData uri="http://schemas.openxmlformats.org/drawingml/2006/picture">
                <pic:pic>
                  <pic:nvPicPr>
                    <pic:cNvPr id="33" name="图片 5 33"/>
                    <pic:cNvPicPr/>
                  </pic:nvPicPr>
                  <pic:blipFill>
                    <a:blip r:embed="rId13"/>
                    <a:srcRect l="51" r="51"/>
                    <a:stretch>
                      <a:fillRect/>
                    </a:stretch>
                  </pic:blipFill>
                  <pic:spPr>
                    <a:xfrm rot="0">
                      <a:off x="0" y="0"/>
                      <a:ext cx="2512060" cy="1885950"/>
                    </a:xfrm>
                    <a:prstGeom prst="rect"/>
                    <a:noFill/>
                    <a:ln w="9525" cmpd="sng" cap="flat">
                      <a:noFill/>
                      <a:prstDash val="solid"/>
                      <a:miter/>
                    </a:ln>
                  </pic:spPr>
                </pic:pic>
              </a:graphicData>
            </a:graphic>
          </wp:inline>
        </w:drawing>
      </w:r>
    </w:p>
    <w:p>
      <w:pPr>
        <w:widowControl/>
        <w:spacing w:before="4" w:line="360" w:lineRule="auto"/>
        <w:ind w:right="351"/>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2521585" cy="1891028"/>
            <wp:effectExtent l="0" t="0" r="25" b="36"/>
            <wp:docPr id="34" name="图片 6" descr="E:/00王麒麟项目/王麒麟大直加油站控规/大直加油站现场调研照片2025.10.24/IMG_4373.JPGIMG_4373"/>
            <wp:cNvGraphicFramePr>
              <a:graphicFrameLocks noChangeAspect="1"/>
            </wp:cNvGraphicFramePr>
            <a:graphic>
              <a:graphicData uri="http://schemas.openxmlformats.org/drawingml/2006/picture">
                <pic:pic>
                  <pic:nvPicPr>
                    <pic:cNvPr id="36" name="图片 6 36"/>
                    <pic:cNvPicPr/>
                  </pic:nvPicPr>
                  <pic:blipFill>
                    <a:blip r:embed="rId14"/>
                    <a:srcRect t="13" b="13"/>
                    <a:stretch>
                      <a:fillRect/>
                    </a:stretch>
                  </pic:blipFill>
                  <pic:spPr>
                    <a:xfrm rot="0">
                      <a:off x="0" y="0"/>
                      <a:ext cx="2521585" cy="1891028"/>
                    </a:xfrm>
                    <a:prstGeom prst="rect"/>
                    <a:noFill/>
                    <a:ln w="9525" cmpd="sng" cap="flat">
                      <a:noFill/>
                      <a:prstDash val="solid"/>
                      <a:miter/>
                    </a:ln>
                  </pic:spPr>
                </pic:pic>
              </a:graphicData>
            </a:graphic>
          </wp:inline>
        </w:drawing>
      </w:r>
      <w:r>
        <w:rPr>
          <w:rFonts w:ascii="宋体" w:eastAsia="宋体" w:cs="宋体" w:hAnsi="宋体" w:hint="eastAsia"/>
          <w:color w:val="auto"/>
          <w:kern w:val="0"/>
          <w:sz w:val="28"/>
          <w:szCs w:val="28"/>
          <w:lang w:eastAsia="zh-CN"/>
        </w:rPr>
        <w:drawing>
          <wp:inline distT="0" distB="0" distL="114300" distR="114300">
            <wp:extent cx="2513965" cy="1886585"/>
            <wp:effectExtent l="0" t="0" r="25" b="3"/>
            <wp:docPr id="37" name="图片 8" descr="E:/00王麒麟项目/王麒麟大直加油站控规/大直加油站现场调研照片2025.10.24/IMG_4375（2）.jpgIMG_4375（2）"/>
            <wp:cNvGraphicFramePr>
              <a:graphicFrameLocks noChangeAspect="1"/>
            </wp:cNvGraphicFramePr>
            <a:graphic>
              <a:graphicData uri="http://schemas.openxmlformats.org/drawingml/2006/picture">
                <pic:pic>
                  <pic:nvPicPr>
                    <pic:cNvPr id="39" name="图片 8 39"/>
                    <pic:cNvPicPr/>
                  </pic:nvPicPr>
                  <pic:blipFill>
                    <a:blip r:embed="rId15"/>
                    <a:srcRect l="17" r="17"/>
                    <a:stretch>
                      <a:fillRect/>
                    </a:stretch>
                  </pic:blipFill>
                  <pic:spPr>
                    <a:xfrm rot="0">
                      <a:off x="0" y="0"/>
                      <a:ext cx="2513965" cy="1886585"/>
                    </a:xfrm>
                    <a:prstGeom prst="rect"/>
                    <a:noFill/>
                    <a:ln w="9525" cmpd="sng" cap="flat">
                      <a:noFill/>
                      <a:prstDash val="solid"/>
                      <a:miter/>
                    </a:ln>
                  </pic:spPr>
                </pic:pic>
              </a:graphicData>
            </a:graphic>
          </wp:inline>
        </w:drawing>
      </w:r>
    </w:p>
    <w:p>
      <w:pPr>
        <w:pStyle w:val="17"/>
        <w:autoSpaceDE w:val="0"/>
        <w:autoSpaceDN w:val="0"/>
        <w:spacing w:before="4" w:line="360" w:lineRule="auto"/>
        <w:ind w:right="351"/>
        <w:jc w:val="center"/>
        <w:rPr>
          <w:rFonts w:ascii="宋体" w:eastAsia="宋体" w:cs="宋体" w:hAnsi="宋体" w:hint="eastAsia"/>
          <w:color w:val="auto"/>
          <w:kern w:val="0"/>
          <w:sz w:val="28"/>
          <w:szCs w:val="28"/>
          <w:lang w:eastAsia="zh-CN"/>
        </w:rPr>
      </w:pPr>
      <w:r>
        <w:rPr>
          <w:rFonts w:hint="eastAsia"/>
          <w:b/>
          <w:bCs/>
          <w:color w:val="auto"/>
          <w:lang w:val="en-US" w:eastAsia="zh-CN"/>
        </w:rPr>
        <w:t>规划区周边道路建设现状</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（2）市政工程建设</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①给水</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大直镇给水管道现状已敷设至南防南路，项目用地位于南防南路南面，已敷设的给水管网距离约</w:t>
      </w:r>
      <w:r>
        <w:rPr>
          <w:rFonts w:ascii="宋体" w:eastAsia="宋体" w:cs="宋体" w:hAnsi="宋体" w:hint="eastAsia"/>
          <w:color w:val="auto"/>
          <w:kern w:val="0"/>
          <w:sz w:val="28"/>
          <w:szCs w:val="28"/>
          <w:lang w:val="en-US" w:eastAsia="zh-CN"/>
        </w:rPr>
        <w:t>300米</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②排水</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项目用地周边主要为丘陵和低洼地带，排水现状主要为就近自然排放。</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③电力</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现状地块距大直镇区较近，周边已有电力电缆从镇区接入，电力设施有保障。</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④电信</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大直镇分别设有邮政支局和电信支局，通讯设备较完善，程控电话、移动电话覆盖全镇。所在地周边通讯信号覆盖良好，通讯畅通，现状电讯接入点均来自镇区。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（3）城镇建设</w:t>
      </w:r>
    </w:p>
    <w:p>
      <w:pPr>
        <w:widowControl/>
        <w:spacing w:before="4" w:line="360" w:lineRule="auto"/>
        <w:ind w:left="118" w:right="351" w:firstLineChars="200" w:firstLine="560"/>
        <w:jc w:val="left"/>
        <w:rPr>
          <w:rFonts w:hint="eastAsia"/>
          <w:color w:val="auto"/>
          <w:kern w:val="0"/>
          <w:sz w:val="28"/>
          <w:szCs w:val="28"/>
          <w:lang w:val="en-US" w:eastAsia="zh-CN"/>
        </w:rPr>
      </w:pPr>
      <w:r>
        <w:rPr>
          <w:rFonts w:ascii="宋体" w:eastAsia="宋体" w:cs="宋体" w:hAnsi="宋体" w:hint="eastAsia"/>
          <w:color w:val="auto"/>
          <w:kern w:val="0"/>
          <w:sz w:val="28"/>
          <w:szCs w:val="28"/>
          <w:lang w:eastAsia="zh-CN"/>
        </w:rPr>
        <w:t>大直镇城镇建设的公服设施和商服设施配套较完善，规划地块距镇中心仅约</w:t>
      </w:r>
      <w:r>
        <w:rPr>
          <w:rFonts w:ascii="宋体" w:eastAsia="宋体" w:cs="宋体" w:hAnsi="宋体" w:hint="eastAsia"/>
          <w:color w:val="auto"/>
          <w:kern w:val="0"/>
          <w:sz w:val="28"/>
          <w:szCs w:val="28"/>
          <w:lang w:val="en-US" w:eastAsia="zh-CN"/>
        </w:rPr>
        <w:t>1公里，</w:t>
      </w:r>
      <w:r>
        <w:rPr>
          <w:rFonts w:ascii="宋体" w:eastAsia="宋体" w:cs="宋体" w:hAnsi="宋体" w:hint="eastAsia"/>
          <w:color w:val="auto"/>
          <w:kern w:val="0"/>
          <w:sz w:val="28"/>
          <w:szCs w:val="28"/>
          <w:lang w:eastAsia="zh-CN"/>
        </w:rPr>
        <w:t>项目建设所需材料主要有石料、砂、水泥、钢筋等，原材料在大直镇及钦北区周边市场均有足量供应，易于采购。现状城镇北面城郊已有建一处加油站，位于</w:t>
      </w:r>
      <w:r>
        <w:rPr>
          <w:rFonts w:ascii="宋体" w:eastAsia="宋体" w:cs="宋体" w:hAnsi="宋体" w:hint="eastAsia"/>
          <w:color w:val="auto"/>
          <w:kern w:val="0"/>
          <w:sz w:val="28"/>
          <w:szCs w:val="28"/>
          <w:lang w:val="en-US" w:eastAsia="zh-CN"/>
        </w:rPr>
        <w:t>G210</w:t>
      </w:r>
      <w:r>
        <w:rPr>
          <w:rFonts w:ascii="宋体" w:eastAsia="宋体" w:cs="宋体" w:hAnsi="宋体" w:hint="eastAsia"/>
          <w:color w:val="auto"/>
          <w:kern w:val="0"/>
          <w:sz w:val="28"/>
          <w:szCs w:val="28"/>
          <w:lang w:eastAsia="zh-CN"/>
        </w:rPr>
        <w:t>国道和</w:t>
      </w:r>
      <w:r>
        <w:rPr>
          <w:rFonts w:ascii="宋体" w:eastAsia="宋体" w:cs="宋体" w:hAnsi="宋体" w:hint="eastAsia"/>
          <w:color w:val="auto"/>
          <w:kern w:val="0"/>
          <w:sz w:val="28"/>
          <w:szCs w:val="28"/>
          <w:lang w:val="en-US" w:eastAsia="zh-CN"/>
        </w:rPr>
        <w:t>S515省道交汇处北面约120米；本</w:t>
      </w:r>
      <w:r>
        <w:rPr>
          <w:rFonts w:ascii="宋体" w:eastAsia="宋体" w:cs="宋体" w:hAnsi="宋体" w:hint="eastAsia"/>
          <w:color w:val="auto"/>
          <w:kern w:val="0"/>
          <w:sz w:val="28"/>
          <w:szCs w:val="28"/>
          <w:lang w:eastAsia="zh-CN"/>
        </w:rPr>
        <w:t>项目地块所处位置为大直镇南部城郊，与已建加油站相距约</w:t>
      </w:r>
      <w:r>
        <w:rPr>
          <w:rFonts w:ascii="宋体" w:eastAsia="宋体" w:cs="宋体" w:hAnsi="宋体" w:hint="eastAsia"/>
          <w:color w:val="auto"/>
          <w:kern w:val="0"/>
          <w:sz w:val="28"/>
          <w:szCs w:val="28"/>
          <w:lang w:val="en-US" w:eastAsia="zh-CN"/>
        </w:rPr>
        <w:t>3公里。</w:t>
      </w:r>
      <w:r>
        <w:rPr>
          <w:rFonts w:ascii="宋体" w:eastAsia="宋体" w:cs="宋体" w:hAnsi="宋体" w:hint="eastAsia"/>
          <w:color w:val="auto"/>
          <w:kern w:val="0"/>
          <w:sz w:val="28"/>
          <w:szCs w:val="28"/>
          <w:lang w:eastAsia="zh-CN"/>
        </w:rPr>
        <w:t>用地西临</w:t>
      </w:r>
      <w:r>
        <w:rPr>
          <w:rFonts w:ascii="宋体" w:eastAsia="宋体" w:cs="宋体" w:hAnsi="宋体" w:hint="eastAsia"/>
          <w:color w:val="auto"/>
          <w:kern w:val="0"/>
          <w:sz w:val="28"/>
          <w:szCs w:val="28"/>
          <w:lang w:val="en-US" w:eastAsia="zh-CN"/>
        </w:rPr>
        <w:t>G210</w:t>
      </w:r>
      <w:r>
        <w:rPr>
          <w:rFonts w:ascii="宋体" w:eastAsia="宋体" w:cs="宋体" w:hAnsi="宋体" w:hint="eastAsia"/>
          <w:color w:val="auto"/>
          <w:kern w:val="0"/>
          <w:sz w:val="28"/>
          <w:szCs w:val="28"/>
          <w:lang w:eastAsia="zh-CN"/>
        </w:rPr>
        <w:t>国道，周围约</w:t>
      </w:r>
      <w:r>
        <w:rPr>
          <w:rFonts w:ascii="宋体" w:eastAsia="宋体" w:cs="宋体" w:hAnsi="宋体" w:hint="eastAsia"/>
          <w:color w:val="auto"/>
          <w:kern w:val="0"/>
          <w:sz w:val="28"/>
          <w:szCs w:val="28"/>
          <w:lang w:val="en-US" w:eastAsia="zh-CN"/>
        </w:rPr>
        <w:t>300～400m半径内</w:t>
      </w:r>
      <w:r>
        <w:rPr>
          <w:rFonts w:ascii="宋体" w:eastAsia="宋体" w:cs="宋体" w:hAnsi="宋体" w:hint="eastAsia"/>
          <w:color w:val="auto"/>
          <w:kern w:val="0"/>
          <w:sz w:val="28"/>
          <w:szCs w:val="28"/>
          <w:lang w:eastAsia="zh-CN"/>
        </w:rPr>
        <w:t>为零星的居民点和临时建筑，距北面最近的居民集中区距离约</w:t>
      </w:r>
      <w:r>
        <w:rPr>
          <w:rFonts w:ascii="宋体" w:eastAsia="宋体" w:cs="宋体" w:hAnsi="宋体" w:hint="eastAsia"/>
          <w:color w:val="auto"/>
          <w:kern w:val="0"/>
          <w:sz w:val="28"/>
          <w:szCs w:val="28"/>
          <w:lang w:val="en-US" w:eastAsia="zh-CN"/>
        </w:rPr>
        <w:t>500米</w:t>
      </w:r>
      <w:r>
        <w:rPr>
          <w:rFonts w:hint="eastAsia"/>
          <w:color w:val="auto"/>
          <w:kern w:val="0"/>
          <w:sz w:val="28"/>
          <w:szCs w:val="28"/>
          <w:lang w:val="en-US" w:eastAsia="zh-CN"/>
        </w:rPr>
        <w:t>。</w:t>
      </w:r>
    </w:p>
    <w:p>
      <w:pPr>
        <w:pStyle w:val="1"/>
        <w:numPr>
          <w:ilvl w:val="0"/>
          <w:numId w:val="0"/>
        </w:numPr>
        <w:spacing w:before="260" w:line="360" w:lineRule="auto"/>
        <w:ind w:left="420" w:right="351"/>
        <w:jc w:val="center"/>
        <w:rPr>
          <w:rFonts w:ascii="宋体" w:eastAsia="宋体" w:cs="宋体" w:hAnsi="宋体" w:hint="eastAsia"/>
          <w:color w:val="auto"/>
          <w:sz w:val="30"/>
          <w:szCs w:val="30"/>
          <w:lang w:val="en-US" w:eastAsia="zh-CN"/>
        </w:rPr>
      </w:pPr>
      <w:bookmarkStart w:id="27" w:name="_Toc24225"/>
      <w:r>
        <w:rPr>
          <w:rFonts w:ascii="宋体" w:eastAsia="宋体" w:cs="宋体" w:hAnsi="宋体" w:hint="eastAsia"/>
          <w:bCs/>
          <w:color w:val="auto"/>
          <w:sz w:val="32"/>
          <w:szCs w:val="32"/>
          <w:lang w:eastAsia="zh-CN"/>
        </w:rPr>
        <w:t>第三章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用地布局规划</w:t>
      </w:r>
      <w:bookmarkEnd w:id="27"/>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28" w:name="_Toc14776"/>
      <w:r>
        <w:rPr>
          <w:rFonts w:ascii="宋体" w:eastAsia="宋体" w:cs="宋体" w:hAnsi="宋体" w:hint="eastAsia"/>
          <w:bCs/>
          <w:color w:val="auto"/>
          <w:sz w:val="32"/>
          <w:szCs w:val="32"/>
          <w:lang w:val="en-US" w:eastAsia="zh-CN"/>
        </w:rPr>
        <w:t>3.1规划依据</w:t>
      </w:r>
      <w:bookmarkEnd w:id="28"/>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《钦州市加油站行业发展规划（2021-2025）》；</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《成品油零售企业管理技术规范》（SB/T10390-2004）；</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《石油库设计规范》（GB50074-2014）；</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《汽车加油加气加氢站技术标准》（GB50156-2021）；</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《加油站大气污染物排放标准》（GB20952-20</w:t>
      </w:r>
      <w:r>
        <w:rPr>
          <w:rFonts w:ascii="宋体" w:eastAsia="宋体" w:cs="宋体" w:hAnsi="宋体" w:hint="eastAsia"/>
          <w:color w:val="auto"/>
          <w:kern w:val="0"/>
          <w:sz w:val="28"/>
          <w:szCs w:val="28"/>
          <w:lang w:val="en-US" w:eastAsia="zh-CN"/>
        </w:rPr>
        <w:t>20</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《建筑设计防火规范》（</w:t>
      </w:r>
      <w:r>
        <w:rPr>
          <w:rFonts w:ascii="宋体" w:eastAsia="宋体" w:cs="宋体" w:hAnsi="宋体"/>
          <w:color w:val="auto"/>
          <w:kern w:val="0"/>
          <w:sz w:val="28"/>
          <w:szCs w:val="28"/>
        </w:rPr>
        <w:t>GB50016-2014）（2018版）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Times New Roman"/>
          <w:color w:val="auto"/>
          <w:kern w:val="0"/>
          <w:sz w:val="24"/>
          <w:szCs w:val="24"/>
        </w:rPr>
      </w:pP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《国土空间调查、规划、用途管制用地用海分类指南》</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2023年</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《第三次全国国土调查技术规程》（TD/T 1055—2019）</w:t>
      </w:r>
      <w:r>
        <w:rPr>
          <w:rFonts w:ascii="宋体" w:eastAsia="宋体" w:cs="宋体" w:hAnsi="宋体"/>
          <w:color w:val="auto"/>
          <w:kern w:val="0"/>
          <w:sz w:val="28"/>
          <w:szCs w:val="28"/>
        </w:rPr>
        <w:t>；</w:t>
      </w:r>
    </w:p>
    <w:p>
      <w:pPr>
        <w:widowControl/>
        <w:spacing w:before="4" w:line="360" w:lineRule="auto"/>
        <w:ind w:leftChars="322" w:left="676" w:right="351" w:firstLine="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《公路涉路施工活动技术评价规范》（DB45/T 1202-2024）；</w:t>
      </w:r>
      <w:r>
        <w:rPr>
          <w:rFonts w:ascii="宋体" w:eastAsia="宋体" w:cs="宋体" w:hAnsi="宋体" w:hint="eastAsia"/>
          <w:color w:val="auto"/>
          <w:kern w:val="0"/>
          <w:sz w:val="28"/>
          <w:szCs w:val="28"/>
        </w:rPr>
        <w:t>其他相关国家、自治区和钦州市的规划标准、规范</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29" w:name="_Toc10028"/>
      <w:r>
        <w:rPr>
          <w:rFonts w:ascii="宋体" w:eastAsia="宋体" w:cs="宋体" w:hAnsi="宋体" w:hint="eastAsia"/>
          <w:bCs/>
          <w:color w:val="auto"/>
          <w:sz w:val="32"/>
          <w:szCs w:val="32"/>
          <w:lang w:val="en-US" w:eastAsia="zh-CN"/>
        </w:rPr>
        <w:t>3.2规划原则</w:t>
      </w:r>
      <w:bookmarkEnd w:id="29"/>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加油站的选址应符合《汽车加油加气加氢站技术标准》（GB50156-2021）等国家有关标准的安全要求</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）应充分考虑城市景观、环境、绿化等多方面的要求，应和城市景观的规划布局相协调，减少加油站对城市环境带来的负面影响。</w:t>
      </w:r>
    </w:p>
    <w:p>
      <w:pPr>
        <w:widowControl/>
        <w:spacing w:before="4" w:line="360" w:lineRule="auto"/>
        <w:ind w:left="0" w:right="351" w:firstLineChars="200" w:firstLine="560"/>
        <w:jc w:val="left"/>
        <w:rPr>
          <w:rFonts w:hint="eastAsia"/>
          <w:color w:val="auto"/>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）总平面布置在满足实际要求的情况下，严格按照《公路涉路施工活动技术评价规范》（DB45/T 1202-2024）的要求进行设计，采用科学的布置方案，尽量减少用地规模，提高土地利用的产出率。</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0" w:name="_Toc29784"/>
      <w:r>
        <w:rPr>
          <w:rFonts w:ascii="宋体" w:eastAsia="宋体" w:cs="宋体" w:hAnsi="宋体" w:hint="eastAsia"/>
          <w:bCs/>
          <w:color w:val="auto"/>
          <w:sz w:val="32"/>
          <w:szCs w:val="32"/>
          <w:lang w:val="en-US" w:eastAsia="zh-CN"/>
        </w:rPr>
        <w:t>3.3土地利用规划</w:t>
      </w:r>
      <w:bookmarkEnd w:id="30"/>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eastAsia="zh-CN"/>
        </w:rPr>
      </w:pPr>
      <w:r>
        <w:rPr>
          <w:rFonts w:hint="eastAsia"/>
          <w:b/>
          <w:bCs/>
          <w:color w:val="auto"/>
          <w:sz w:val="28"/>
          <w:szCs w:val="28"/>
          <w:lang w:val="en-US" w:eastAsia="zh-CN"/>
        </w:rPr>
        <w:t>3.3.1 用地性质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本规划为钦州皇马资产经营集团有限公司大直加油站</w:t>
      </w:r>
      <w:r>
        <w:rPr>
          <w:rFonts w:ascii="宋体" w:eastAsia="宋体" w:cs="宋体" w:hAnsi="宋体" w:hint="eastAsia"/>
          <w:color w:val="auto"/>
          <w:kern w:val="0"/>
          <w:sz w:val="28"/>
          <w:szCs w:val="28"/>
        </w:rPr>
        <w:t>项目</w:t>
      </w:r>
      <w:r>
        <w:rPr>
          <w:rFonts w:ascii="宋体" w:eastAsia="宋体" w:cs="宋体" w:hAnsi="宋体" w:hint="eastAsia"/>
          <w:color w:val="auto"/>
          <w:kern w:val="0"/>
          <w:sz w:val="28"/>
          <w:szCs w:val="28"/>
          <w:lang w:eastAsia="zh-CN"/>
        </w:rPr>
        <w:t>独立地块详细规划，项目用地位于钦北区大直镇</w:t>
      </w:r>
      <w:r>
        <w:rPr>
          <w:rFonts w:ascii="宋体" w:eastAsia="宋体" w:cs="宋体" w:hAnsi="宋体" w:hint="eastAsia"/>
          <w:color w:val="auto"/>
          <w:kern w:val="0"/>
          <w:sz w:val="28"/>
          <w:szCs w:val="28"/>
          <w:lang w:val="en-US" w:eastAsia="zh-CN"/>
        </w:rPr>
        <w:t>G210国道与</w:t>
      </w:r>
      <w:r>
        <w:rPr>
          <w:rFonts w:ascii="宋体" w:eastAsia="宋体" w:cs="宋体" w:hAnsi="宋体" w:hint="eastAsia"/>
          <w:color w:val="auto"/>
          <w:kern w:val="0"/>
          <w:sz w:val="28"/>
          <w:szCs w:val="28"/>
          <w:lang w:eastAsia="zh-CN"/>
        </w:rPr>
        <w:t>南防南路交汇处往南约</w:t>
      </w:r>
      <w:r>
        <w:rPr>
          <w:rFonts w:ascii="宋体" w:eastAsia="宋体" w:cs="宋体" w:hAnsi="宋体" w:hint="eastAsia"/>
          <w:color w:val="auto"/>
          <w:kern w:val="0"/>
          <w:sz w:val="28"/>
          <w:szCs w:val="28"/>
          <w:lang w:val="en-US" w:eastAsia="zh-CN"/>
        </w:rPr>
        <w:t>250米</w:t>
      </w:r>
      <w:r>
        <w:rPr>
          <w:rFonts w:ascii="宋体" w:eastAsia="宋体" w:cs="宋体" w:hAnsi="宋体" w:hint="eastAsia"/>
          <w:color w:val="auto"/>
          <w:kern w:val="0"/>
          <w:sz w:val="28"/>
          <w:szCs w:val="28"/>
          <w:lang w:eastAsia="zh-CN"/>
        </w:rPr>
        <w:t>，该项目规划建设用地计划纳入新一轮国土空间规划。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按照《国土空间调查、规划、用途管制用地用海分类指南》（2023年版）用地分类采用三级分类体系的规定，本项目地块建设用地性质为：一级类“商业服务业用地”（代码</w:t>
      </w:r>
      <w:r>
        <w:rPr>
          <w:rFonts w:ascii="宋体" w:eastAsia="宋体" w:cs="宋体" w:hAnsi="宋体" w:hint="eastAsia"/>
          <w:color w:val="auto"/>
          <w:kern w:val="0"/>
          <w:sz w:val="28"/>
          <w:szCs w:val="28"/>
          <w:lang w:val="en-US" w:eastAsia="zh-CN"/>
        </w:rPr>
        <w:t>09</w:t>
      </w:r>
      <w:r>
        <w:rPr>
          <w:rFonts w:ascii="宋体" w:eastAsia="宋体" w:cs="宋体" w:hAnsi="宋体" w:hint="eastAsia"/>
          <w:color w:val="auto"/>
          <w:kern w:val="0"/>
          <w:sz w:val="28"/>
          <w:szCs w:val="28"/>
          <w:lang w:eastAsia="zh-CN"/>
        </w:rPr>
        <w:t>）～二级类“商业用地”（代码</w:t>
      </w:r>
      <w:r>
        <w:rPr>
          <w:rFonts w:ascii="宋体" w:eastAsia="宋体" w:cs="宋体" w:hAnsi="宋体" w:hint="eastAsia"/>
          <w:color w:val="auto"/>
          <w:kern w:val="0"/>
          <w:sz w:val="28"/>
          <w:szCs w:val="28"/>
          <w:lang w:val="en-US" w:eastAsia="zh-CN"/>
        </w:rPr>
        <w:t>0901</w:t>
      </w:r>
      <w:r>
        <w:rPr>
          <w:rFonts w:ascii="宋体" w:eastAsia="宋体" w:cs="宋体" w:hAnsi="宋体" w:hint="eastAsia"/>
          <w:color w:val="auto"/>
          <w:kern w:val="0"/>
          <w:sz w:val="28"/>
          <w:szCs w:val="28"/>
          <w:lang w:eastAsia="zh-CN"/>
        </w:rPr>
        <w:t>）～三级类“公用设施营业网点用地”（代码</w:t>
      </w:r>
      <w:r>
        <w:rPr>
          <w:rFonts w:ascii="宋体" w:eastAsia="宋体" w:cs="宋体" w:hAnsi="宋体" w:hint="eastAsia"/>
          <w:color w:val="auto"/>
          <w:kern w:val="0"/>
          <w:sz w:val="28"/>
          <w:szCs w:val="28"/>
          <w:lang w:val="en-US" w:eastAsia="zh-CN"/>
        </w:rPr>
        <w:t>090105</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b/>
          <w:bCs/>
          <w:color w:val="auto"/>
          <w:kern w:val="2"/>
          <w:sz w:val="28"/>
          <w:szCs w:val="28"/>
          <w:lang w:val="en-US" w:eastAsia="zh-CN" w:bidi="zh-CN"/>
        </w:rPr>
      </w:pPr>
      <w:r>
        <w:rPr>
          <w:rFonts w:ascii="宋体" w:eastAsia="宋体" w:cs="宋体" w:hAnsi="宋体" w:hint="eastAsia"/>
          <w:b/>
          <w:bCs/>
          <w:color w:val="auto"/>
          <w:kern w:val="2"/>
          <w:sz w:val="28"/>
          <w:szCs w:val="28"/>
          <w:lang w:val="en-US" w:eastAsia="zh-CN" w:bidi="zh-CN"/>
        </w:rPr>
        <w:t>3.3.2 功能分区</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在用地界址范围和现状地形的基础上，主要参照《汽车加油加气加氢站技术标准》（GB50156-2021），加油站用地主要分为作业区和辅助服务区。本规划对地块建设用地按规范进行合理的规划布局及管控，进一步将加油站项目用地划分功能分区，主要细分为加油区、储油区、营业服务区、辅助服务区、车辆通行与停车区五大功能区。</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b/>
          <w:bCs/>
          <w:color w:val="auto"/>
          <w:kern w:val="2"/>
          <w:sz w:val="28"/>
          <w:szCs w:val="28"/>
          <w:lang w:val="en-US" w:eastAsia="zh-CN" w:bidi="zh-CN"/>
        </w:rPr>
        <w:t>3.3.3 用地布局</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加油区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规划加油区位于项目地块的中部，该区域主要布置的有加油罩棚、加油岛以及加油机等汽油、柴油工艺设备。其中罩棚且罩棚属于有顶盖无围护结构，顶盖水平投影面积约为</w:t>
      </w:r>
      <w:r>
        <w:rPr>
          <w:rFonts w:ascii="宋体" w:eastAsia="宋体" w:cs="宋体" w:hAnsi="宋体" w:hint="eastAsia"/>
          <w:color w:val="auto"/>
          <w:kern w:val="0"/>
          <w:sz w:val="28"/>
          <w:szCs w:val="28"/>
          <w:lang w:val="en-US" w:eastAsia="zh-CN"/>
        </w:rPr>
        <w:t>362平方米，建筑面积按其顶盖水平投影面积的1/2计算约181平方米。</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储油区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规划储油区位于加油区的地下位置，西侧地面为卸油平台、密闭卸油箱、消防器材箱及消防沙箱等。地下设</w:t>
      </w:r>
      <w:r>
        <w:rPr>
          <w:rFonts w:ascii="宋体" w:eastAsia="宋体" w:cs="宋体" w:hAnsi="宋体" w:hint="eastAsia"/>
          <w:color w:val="auto"/>
          <w:kern w:val="0"/>
          <w:sz w:val="28"/>
          <w:szCs w:val="28"/>
          <w:lang w:val="en-US" w:eastAsia="zh-CN"/>
        </w:rPr>
        <w:t>30m³0#柴油储罐1台、30m³92#汽油储罐1台、30m³95#汽油储罐1台，</w:t>
      </w:r>
      <w:r>
        <w:rPr>
          <w:rFonts w:ascii="宋体" w:eastAsia="宋体" w:cs="宋体" w:hAnsi="宋体" w:hint="eastAsia"/>
          <w:color w:val="auto"/>
          <w:kern w:val="0"/>
          <w:sz w:val="28"/>
          <w:szCs w:val="28"/>
          <w:lang w:eastAsia="zh-CN"/>
        </w:rPr>
        <w:t>总容量为</w:t>
      </w:r>
      <w:r>
        <w:rPr>
          <w:rFonts w:ascii="宋体" w:eastAsia="宋体" w:cs="宋体" w:hAnsi="宋体" w:hint="eastAsia"/>
          <w:color w:val="auto"/>
          <w:kern w:val="0"/>
          <w:sz w:val="28"/>
          <w:szCs w:val="28"/>
          <w:lang w:val="en-US" w:eastAsia="zh-CN"/>
        </w:rPr>
        <w:t>90m³，折合汽油容积75m³。</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营业服务区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规划营业服务区位于地块东部，为加油站的站房，内部主要布置便利店、值班室、会客厅、站长室、储藏间、配电间、公共厕所等功能用房。</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营业服务区站房建筑面积共约</w:t>
      </w:r>
      <w:r>
        <w:rPr>
          <w:rFonts w:ascii="宋体" w:eastAsia="宋体" w:cs="宋体" w:hAnsi="宋体" w:hint="eastAsia"/>
          <w:color w:val="auto"/>
          <w:kern w:val="0"/>
          <w:sz w:val="28"/>
          <w:szCs w:val="28"/>
          <w:lang w:val="en-US" w:eastAsia="zh-CN"/>
        </w:rPr>
        <w:t>144平方米。其中：</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1）便利店布置在站房中部，建筑面积约59.38㎡，主要销售饮用水、袋装零食、熟食以及日用品等；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2）配电间、公共厕所设置于站房西北侧，共设男、女卫生间、无障碍卫生间各一个，男、女卫生间建筑面积约2.5㎡/间，无障碍卫生间建筑面积约4㎡；配电间建筑面积约5㎡；</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3）站长室和储藏间设置于便利店西北侧，站长室建筑面积约15.58㎡，储藏间建筑面积约8.38㎡；</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4）会客厅和备餐间设置于站房东南侧，会客厅建筑面积约14.3㎡并配置一个专用卫生间约3㎡，备餐间建筑面积约6㎡；</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val="en-US" w:eastAsia="zh-CN"/>
        </w:rPr>
        <w:t>5）在便利店东南侧设置两个值班室，建筑面积约11.68㎡/间。</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辅助服务区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规划辅助服务区位于营业服务区东南侧，主要布置临时停车位、洗车工位、维保工位等</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车辆通行与停车区</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车辆通行区贯穿整个加油场地，主要停车区位于地块东北面，按比例设置燃油汽车停车位和预留新能源汽车停车位、充电桩、充电主机以及箱式变压器</w:t>
      </w:r>
      <w:r>
        <w:rPr>
          <w:rFonts w:ascii="宋体" w:eastAsia="宋体" w:cs="宋体" w:hAnsi="宋体" w:hint="eastAsia"/>
          <w:color w:val="auto"/>
          <w:kern w:val="0"/>
          <w:sz w:val="28"/>
          <w:szCs w:val="28"/>
          <w:lang w:val="en-US" w:eastAsia="zh-CN"/>
        </w:rPr>
        <w:t>。</w:t>
      </w:r>
    </w:p>
    <w:p>
      <w:pPr>
        <w:widowControl/>
        <w:spacing w:before="4" w:line="360" w:lineRule="auto"/>
        <w:ind w:right="351"/>
        <w:jc w:val="center"/>
        <w:rPr>
          <w:rFonts w:hint="eastAsia"/>
          <w:b/>
          <w:bCs/>
          <w:color w:val="auto"/>
          <w:sz w:val="24"/>
          <w:lang w:eastAsia="zh-CN"/>
        </w:rPr>
      </w:pPr>
      <w:r>
        <w:rPr>
          <w:rFonts w:hint="eastAsia"/>
          <w:b/>
          <w:bCs/>
          <w:color w:val="auto"/>
          <w:sz w:val="24"/>
          <w:lang w:eastAsia="zh-CN"/>
        </w:rPr>
        <w:drawing>
          <wp:inline distT="0" distB="0" distL="114300" distR="114300">
            <wp:extent cx="5459095" cy="4939029"/>
            <wp:effectExtent l="0" t="0" r="20" b="11"/>
            <wp:docPr id="40" name="图片 9" descr="E:/00王麒麟项目/王麒麟大直加油站控规/大直加油站控规提供资料收集/(3）20260211修改-钦州中石化大直加油站 总图方案-模型.png(3）20260211修改-钦州中石化大直加油站 总图方案-模型"/>
            <wp:cNvGraphicFramePr>
              <a:graphicFrameLocks noChangeAspect="1"/>
            </wp:cNvGraphicFramePr>
            <a:graphic>
              <a:graphicData uri="http://schemas.openxmlformats.org/drawingml/2006/picture">
                <pic:pic>
                  <pic:nvPicPr>
                    <pic:cNvPr id="42" name="图片 9 42"/>
                    <pic:cNvPicPr/>
                  </pic:nvPicPr>
                  <pic:blipFill>
                    <a:blip r:embed="rId16"/>
                    <a:srcRect l="6" r="6"/>
                    <a:stretch>
                      <a:fillRect/>
                    </a:stretch>
                  </pic:blipFill>
                  <pic:spPr>
                    <a:xfrm rot="0">
                      <a:off x="0" y="0"/>
                      <a:ext cx="5459095" cy="4939029"/>
                    </a:xfrm>
                    <a:prstGeom prst="rect"/>
                    <a:noFill/>
                    <a:ln w="9525" cmpd="sng" cap="flat">
                      <a:noFill/>
                      <a:prstDash val="solid"/>
                      <a:miter/>
                    </a:ln>
                  </pic:spPr>
                </pic:pic>
              </a:graphicData>
            </a:graphic>
          </wp:inline>
        </w:drawing>
      </w:r>
    </w:p>
    <w:p>
      <w:pPr>
        <w:widowControl/>
        <w:spacing w:before="4" w:line="360" w:lineRule="auto"/>
        <w:ind w:right="351"/>
        <w:jc w:val="center"/>
        <w:rPr>
          <w:rFonts w:ascii="宋体" w:eastAsia="宋体" w:cs="宋体" w:hAnsi="宋体"/>
          <w:b w:val="0"/>
          <w:bCs w:val="0"/>
          <w:color w:val="auto"/>
          <w:kern w:val="0"/>
          <w:sz w:val="21"/>
          <w:szCs w:val="21"/>
          <w:lang w:val="en-US" w:eastAsia="zh-CN"/>
        </w:rPr>
      </w:pPr>
      <w:r>
        <w:rPr>
          <w:rFonts w:hint="eastAsia"/>
          <w:b w:val="0"/>
          <w:bCs w:val="0"/>
          <w:color w:val="auto"/>
          <w:sz w:val="21"/>
          <w:szCs w:val="21"/>
          <w:lang w:eastAsia="zh-CN"/>
        </w:rPr>
        <w:t>加油站平面布局示意图</w:t>
      </w:r>
    </w:p>
    <w:p>
      <w:pPr>
        <w:widowControl/>
        <w:autoSpaceDE w:val="0"/>
        <w:autoSpaceDN w:val="0"/>
        <w:spacing w:before="4" w:line="360" w:lineRule="auto"/>
        <w:ind w:left="118" w:right="351" w:firstLineChars="200" w:firstLine="560"/>
        <w:jc w:val="left"/>
        <w:rPr>
          <w:color w:val="auto"/>
          <w:kern w:val="0"/>
          <w:sz w:val="28"/>
          <w:szCs w:val="28"/>
          <w:lang w:val="en-US"/>
        </w:rPr>
      </w:pPr>
      <w:r>
        <w:rPr>
          <w:rFonts w:ascii="宋体" w:eastAsia="宋体" w:cs="宋体" w:hAnsi="宋体" w:hint="eastAsia"/>
          <w:color w:val="auto"/>
          <w:kern w:val="0"/>
          <w:sz w:val="28"/>
          <w:szCs w:val="28"/>
          <w:lang w:val="en-US" w:eastAsia="zh-CN"/>
        </w:rPr>
        <w:t>（6）绿地</w:t>
      </w:r>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除了以上功能分区外，根据实际需要在加油</w:t>
      </w:r>
      <w:r>
        <w:rPr>
          <w:rFonts w:hint="eastAsia"/>
          <w:color w:val="auto"/>
          <w:kern w:val="0"/>
          <w:sz w:val="28"/>
          <w:szCs w:val="28"/>
          <w:lang w:val="en-US"/>
        </w:rPr>
        <w:t>站内</w:t>
      </w:r>
      <w:r>
        <w:rPr>
          <w:rFonts w:hint="eastAsia"/>
          <w:color w:val="auto"/>
          <w:kern w:val="0"/>
          <w:sz w:val="28"/>
          <w:szCs w:val="28"/>
          <w:lang w:val="en-US" w:eastAsia="zh-CN"/>
        </w:rPr>
        <w:t>沿G210国道和围墙一侧种植草坪进行绿化对加油站美化。</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1" w:name="_Toc22322"/>
      <w:r>
        <w:rPr>
          <w:rFonts w:ascii="宋体" w:eastAsia="宋体" w:cs="宋体" w:hAnsi="宋体" w:hint="eastAsia"/>
          <w:bCs/>
          <w:color w:val="auto"/>
          <w:sz w:val="32"/>
          <w:szCs w:val="32"/>
          <w:lang w:val="en-US" w:eastAsia="zh-CN"/>
        </w:rPr>
        <w:t>3.4用地规划与相邻区域关系</w:t>
      </w:r>
      <w:bookmarkEnd w:id="31"/>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（1）对相邻区域的关系</w:t>
      </w:r>
    </w:p>
    <w:p>
      <w:pPr>
        <w:pStyle w:val="17"/>
        <w:autoSpaceDE w:val="0"/>
        <w:autoSpaceDN w:val="0"/>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hint="eastAsia"/>
          <w:color w:val="auto"/>
          <w:kern w:val="0"/>
          <w:sz w:val="28"/>
          <w:szCs w:val="28"/>
          <w:lang w:val="en-US" w:eastAsia="zh-CN"/>
        </w:rPr>
        <w:t>规划项目地块位于钦北区大直镇区南部城郊，属非集中连片的城镇开发边界内项目用地，地块范围内</w:t>
      </w:r>
      <w:r>
        <w:rPr>
          <w:rFonts w:hint="eastAsia"/>
          <w:color w:val="auto"/>
          <w:kern w:val="0"/>
          <w:sz w:val="28"/>
          <w:szCs w:val="28"/>
          <w:lang w:val="en-US"/>
        </w:rPr>
        <w:t>不涉及</w:t>
      </w:r>
      <w:r>
        <w:rPr>
          <w:rFonts w:hint="eastAsia"/>
          <w:color w:val="auto"/>
          <w:kern w:val="0"/>
          <w:sz w:val="28"/>
          <w:szCs w:val="28"/>
          <w:lang w:val="en-US" w:eastAsia="zh-CN"/>
        </w:rPr>
        <w:t>占用</w:t>
      </w:r>
      <w:r>
        <w:rPr>
          <w:rFonts w:hint="eastAsia"/>
          <w:color w:val="auto"/>
          <w:kern w:val="0"/>
          <w:sz w:val="28"/>
          <w:szCs w:val="28"/>
          <w:lang w:val="en-US"/>
        </w:rPr>
        <w:t>基本农田</w:t>
      </w:r>
      <w:r>
        <w:rPr>
          <w:rFonts w:hint="eastAsia"/>
          <w:color w:val="auto"/>
          <w:kern w:val="0"/>
          <w:sz w:val="28"/>
          <w:szCs w:val="28"/>
          <w:lang w:val="en-US" w:eastAsia="zh-CN"/>
        </w:rPr>
        <w:t>和</w:t>
      </w:r>
      <w:r>
        <w:rPr>
          <w:rFonts w:hint="eastAsia"/>
          <w:color w:val="auto"/>
          <w:sz w:val="28"/>
          <w:szCs w:val="28"/>
          <w:lang w:val="en-US" w:eastAsia="zh-CN"/>
        </w:rPr>
        <w:t>生态保护红线</w:t>
      </w:r>
      <w:r>
        <w:rPr>
          <w:rFonts w:hint="eastAsia"/>
          <w:color w:val="auto"/>
          <w:kern w:val="0"/>
          <w:sz w:val="28"/>
          <w:szCs w:val="28"/>
          <w:lang w:val="en-US" w:eastAsia="zh-CN"/>
        </w:rPr>
        <w:t>。</w:t>
      </w:r>
      <w:r>
        <w:rPr>
          <w:rFonts w:hint="eastAsia"/>
          <w:color w:val="auto"/>
          <w:kern w:val="0"/>
          <w:sz w:val="28"/>
          <w:szCs w:val="28"/>
          <w:lang w:val="en-US"/>
        </w:rPr>
        <w:t>规划</w:t>
      </w:r>
      <w:r>
        <w:rPr>
          <w:rFonts w:hint="eastAsia"/>
          <w:color w:val="auto"/>
          <w:kern w:val="0"/>
          <w:sz w:val="28"/>
          <w:szCs w:val="28"/>
          <w:lang w:val="en-US" w:eastAsia="zh-CN"/>
        </w:rPr>
        <w:t>项目建设零售加油站，属公用设施营业网点</w:t>
      </w:r>
      <w:r>
        <w:rPr>
          <w:rFonts w:hint="eastAsia"/>
          <w:color w:val="auto"/>
          <w:kern w:val="0"/>
          <w:sz w:val="28"/>
          <w:szCs w:val="28"/>
          <w:lang w:val="en-US"/>
        </w:rPr>
        <w:t>用地，</w:t>
      </w:r>
      <w:r>
        <w:rPr>
          <w:rFonts w:hint="eastAsia"/>
          <w:color w:val="auto"/>
          <w:kern w:val="0"/>
          <w:sz w:val="28"/>
          <w:szCs w:val="28"/>
          <w:lang w:val="en-US" w:eastAsia="zh-CN"/>
        </w:rPr>
        <w:t>规划用地35米范围内无居民住宅和重要公共建筑物以及一、二、三类保护物，相邻的北、东、南面</w:t>
      </w:r>
      <w:r>
        <w:rPr>
          <w:rFonts w:hint="eastAsia"/>
          <w:color w:val="auto"/>
          <w:kern w:val="0"/>
          <w:sz w:val="28"/>
          <w:szCs w:val="28"/>
          <w:lang w:val="en-US"/>
        </w:rPr>
        <w:t>区域主要为</w:t>
      </w:r>
      <w:r>
        <w:rPr>
          <w:rFonts w:hint="eastAsia"/>
          <w:color w:val="auto"/>
          <w:kern w:val="0"/>
          <w:sz w:val="28"/>
          <w:szCs w:val="28"/>
          <w:lang w:val="en-US" w:eastAsia="zh-CN"/>
        </w:rPr>
        <w:t>乔木</w:t>
      </w:r>
      <w:r>
        <w:rPr>
          <w:rFonts w:hint="eastAsia"/>
          <w:color w:val="auto"/>
          <w:kern w:val="0"/>
          <w:sz w:val="28"/>
          <w:szCs w:val="28"/>
          <w:lang w:val="en-US"/>
        </w:rPr>
        <w:t>林地、</w:t>
      </w:r>
      <w:r>
        <w:rPr>
          <w:rFonts w:hint="eastAsia"/>
          <w:color w:val="auto"/>
          <w:kern w:val="0"/>
          <w:sz w:val="28"/>
          <w:szCs w:val="28"/>
          <w:lang w:val="en-US" w:eastAsia="zh-CN"/>
        </w:rPr>
        <w:t>坑塘水面和其他</w:t>
      </w:r>
      <w:r>
        <w:rPr>
          <w:rFonts w:hint="eastAsia"/>
          <w:color w:val="auto"/>
          <w:kern w:val="0"/>
          <w:sz w:val="28"/>
          <w:szCs w:val="28"/>
          <w:lang w:val="en-US"/>
        </w:rPr>
        <w:t>草地等</w:t>
      </w:r>
      <w:r>
        <w:rPr>
          <w:rFonts w:hint="eastAsia"/>
          <w:color w:val="auto"/>
          <w:kern w:val="0"/>
          <w:sz w:val="28"/>
          <w:szCs w:val="28"/>
          <w:lang w:val="en-US" w:eastAsia="zh-CN"/>
        </w:rPr>
        <w:t>，地块西面紧邻公路用地</w:t>
      </w:r>
      <w:r>
        <w:rPr>
          <w:rFonts w:cs="宋体" w:hint="eastAsia"/>
          <w:color w:val="auto"/>
          <w:kern w:val="0"/>
          <w:sz w:val="28"/>
          <w:szCs w:val="28"/>
          <w:lang w:eastAsia="zh-CN"/>
        </w:rPr>
        <w:t>。</w:t>
      </w:r>
    </w:p>
    <w:p>
      <w:pPr>
        <w:pStyle w:val="17"/>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（2）地下矿产资源及文物古迹状况</w:t>
      </w:r>
    </w:p>
    <w:p>
      <w:pPr>
        <w:pStyle w:val="17"/>
        <w:autoSpaceDE w:val="0"/>
        <w:autoSpaceDN w:val="0"/>
        <w:spacing w:before="4" w:line="360" w:lineRule="auto"/>
        <w:ind w:right="351" w:firstLineChars="200" w:firstLine="560"/>
        <w:jc w:val="left"/>
        <w:rPr>
          <w:rFonts w:eastAsia="宋体" w:hint="eastAsia"/>
          <w:color w:val="auto"/>
          <w:kern w:val="0"/>
          <w:sz w:val="28"/>
          <w:szCs w:val="28"/>
          <w:lang w:val="en-US" w:eastAsia="zh-CN"/>
        </w:rPr>
      </w:pPr>
      <w:r>
        <w:rPr>
          <w:rFonts w:cs="宋体" w:hint="eastAsia"/>
          <w:color w:val="auto"/>
          <w:kern w:val="0"/>
          <w:sz w:val="28"/>
          <w:szCs w:val="28"/>
          <w:lang w:val="en-US" w:eastAsia="zh-CN"/>
        </w:rPr>
        <w:t>规划地块周边35米范围内未发现已探明的重要矿床；没有采矿权、探矿权设置；无文物古迹和自然保护区及生态保护目标。</w:t>
      </w:r>
      <w:r>
        <w:rPr>
          <w:rFonts w:hint="eastAsia"/>
          <w:color w:val="auto"/>
          <w:kern w:val="0"/>
          <w:sz w:val="28"/>
          <w:szCs w:val="28"/>
          <w:lang w:val="en-US" w:eastAsia="zh-CN"/>
        </w:rPr>
        <w:t>不在历史文化保护核心地段和控制建设区范围内，</w:t>
      </w:r>
      <w:r>
        <w:rPr>
          <w:rFonts w:hint="eastAsia"/>
          <w:color w:val="auto"/>
          <w:kern w:val="0"/>
          <w:sz w:val="28"/>
          <w:szCs w:val="28"/>
          <w:lang w:val="en-US"/>
        </w:rPr>
        <w:t>不存在压覆</w:t>
      </w:r>
      <w:r>
        <w:rPr>
          <w:rFonts w:hint="eastAsia"/>
          <w:color w:val="auto"/>
          <w:kern w:val="0"/>
          <w:sz w:val="28"/>
          <w:szCs w:val="28"/>
          <w:lang w:val="en-US" w:eastAsia="zh-CN"/>
        </w:rPr>
        <w:t>重要</w:t>
      </w:r>
      <w:r>
        <w:rPr>
          <w:rFonts w:hint="eastAsia"/>
          <w:color w:val="auto"/>
          <w:kern w:val="0"/>
          <w:sz w:val="28"/>
          <w:szCs w:val="28"/>
          <w:lang w:val="en-US"/>
        </w:rPr>
        <w:t>矿产资源和压埋文物古迹问题</w:t>
      </w:r>
      <w:r>
        <w:rPr>
          <w:rFonts w:hint="eastAsia"/>
          <w:color w:val="auto"/>
          <w:kern w:val="0"/>
          <w:sz w:val="28"/>
          <w:szCs w:val="28"/>
          <w:lang w:val="en-US" w:eastAsia="zh-CN"/>
        </w:rPr>
        <w:t>。</w:t>
      </w:r>
    </w:p>
    <w:p>
      <w:pPr>
        <w:pStyle w:val="17"/>
        <w:autoSpaceDE w:val="0"/>
        <w:autoSpaceDN w:val="0"/>
        <w:spacing w:before="4" w:line="360" w:lineRule="auto"/>
        <w:ind w:right="351" w:firstLineChars="200" w:firstLine="560"/>
        <w:jc w:val="left"/>
        <w:rPr>
          <w:rFonts w:hint="eastAsia"/>
          <w:color w:val="auto"/>
          <w:kern w:val="0"/>
          <w:sz w:val="28"/>
          <w:szCs w:val="28"/>
          <w:lang w:val="en-US" w:eastAsia="zh-CN"/>
        </w:rPr>
      </w:pPr>
      <w:r>
        <w:rPr>
          <w:rFonts w:cs="宋体" w:hint="eastAsia"/>
          <w:color w:val="auto"/>
          <w:kern w:val="0"/>
          <w:sz w:val="28"/>
          <w:szCs w:val="28"/>
          <w:lang w:eastAsia="zh-CN"/>
        </w:rPr>
        <w:t>因此，本用地的选址和规划布局基本符合《汽车加油加气加氢站技术标准》（GB50156-2021）第4.0.4条规定的要求，项目的建设对邻里用地之间的影响不大。</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32" w:name="_Toc28346"/>
      <w:r>
        <w:rPr>
          <w:rFonts w:ascii="宋体" w:eastAsia="宋体" w:cs="宋体" w:hAnsi="宋体" w:hint="eastAsia"/>
          <w:bCs/>
          <w:color w:val="auto"/>
          <w:sz w:val="32"/>
          <w:szCs w:val="32"/>
          <w:lang w:eastAsia="zh-CN"/>
        </w:rPr>
        <w:t>第四章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综合交通及竖向规划</w:t>
      </w:r>
      <w:bookmarkEnd w:id="32"/>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3" w:name="_Toc19024"/>
      <w:r>
        <w:rPr>
          <w:rFonts w:ascii="宋体" w:eastAsia="宋体" w:cs="宋体" w:hAnsi="宋体" w:hint="eastAsia"/>
          <w:bCs/>
          <w:color w:val="auto"/>
          <w:sz w:val="32"/>
          <w:szCs w:val="32"/>
          <w:lang w:val="en-US" w:eastAsia="zh-CN"/>
        </w:rPr>
        <w:t>4.1综合交通规划</w:t>
      </w:r>
      <w:bookmarkEnd w:id="33"/>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）外部道路交通规划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钦北区交通发达便捷，G75兰海高速公路、</w:t>
      </w:r>
      <w:r>
        <w:rPr>
          <w:rFonts w:ascii="宋体" w:eastAsia="宋体" w:cs="宋体" w:hAnsi="宋体" w:hint="eastAsia"/>
          <w:color w:val="auto"/>
          <w:kern w:val="0"/>
          <w:sz w:val="28"/>
          <w:szCs w:val="28"/>
          <w:lang w:val="en-US" w:eastAsia="zh-CN"/>
        </w:rPr>
        <w:t>S60</w:t>
      </w:r>
      <w:r>
        <w:rPr>
          <w:rFonts w:ascii="宋体" w:eastAsia="宋体" w:cs="宋体" w:hAnsi="宋体" w:hint="eastAsia"/>
          <w:color w:val="auto"/>
          <w:kern w:val="0"/>
          <w:sz w:val="28"/>
          <w:szCs w:val="28"/>
          <w:lang w:eastAsia="zh-CN"/>
        </w:rPr>
        <w:t>合那高速公路、</w:t>
      </w:r>
      <w:r>
        <w:rPr>
          <w:rFonts w:ascii="宋体" w:eastAsia="宋体" w:cs="宋体" w:hAnsi="宋体" w:hint="eastAsia"/>
          <w:color w:val="auto"/>
          <w:kern w:val="0"/>
          <w:sz w:val="28"/>
          <w:szCs w:val="28"/>
        </w:rPr>
        <w:t xml:space="preserve">国道G325 </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G210</w:t>
      </w:r>
      <w:r>
        <w:rPr>
          <w:rFonts w:ascii="宋体" w:eastAsia="宋体" w:cs="宋体" w:hAnsi="宋体" w:hint="eastAsia"/>
          <w:color w:val="auto"/>
          <w:kern w:val="0"/>
          <w:sz w:val="28"/>
          <w:szCs w:val="28"/>
        </w:rPr>
        <w:t>和省道</w:t>
      </w:r>
      <w:r>
        <w:rPr>
          <w:rFonts w:ascii="宋体" w:eastAsia="宋体" w:cs="宋体" w:hAnsi="宋体" w:hint="eastAsia"/>
          <w:color w:val="auto"/>
          <w:kern w:val="0"/>
          <w:sz w:val="28"/>
          <w:szCs w:val="28"/>
          <w:lang w:eastAsia="zh-CN"/>
        </w:rPr>
        <w:t>S</w:t>
      </w:r>
      <w:r>
        <w:rPr>
          <w:rFonts w:ascii="宋体" w:eastAsia="宋体" w:cs="宋体" w:hAnsi="宋体" w:hint="eastAsia"/>
          <w:color w:val="auto"/>
          <w:kern w:val="0"/>
          <w:sz w:val="28"/>
          <w:szCs w:val="28"/>
          <w:lang w:val="en-US" w:eastAsia="zh-CN"/>
        </w:rPr>
        <w:t>218</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S515、</w:t>
      </w:r>
      <w:r>
        <w:rPr>
          <w:rFonts w:ascii="宋体" w:eastAsia="宋体" w:cs="宋体" w:hAnsi="宋体" w:hint="eastAsia"/>
          <w:color w:val="auto"/>
          <w:kern w:val="0"/>
          <w:sz w:val="28"/>
          <w:szCs w:val="28"/>
        </w:rPr>
        <w:t>黎钦铁路等均贯穿境内，全区公路四通八达。</w:t>
      </w:r>
      <w:r>
        <w:rPr>
          <w:rFonts w:ascii="宋体" w:eastAsia="宋体" w:cs="宋体" w:hAnsi="宋体" w:hint="eastAsia"/>
          <w:color w:val="auto"/>
          <w:kern w:val="0"/>
          <w:sz w:val="28"/>
          <w:szCs w:val="28"/>
          <w:lang w:eastAsia="zh-CN"/>
        </w:rPr>
        <w:t>本规划项目</w:t>
      </w:r>
      <w:r>
        <w:rPr>
          <w:rFonts w:ascii="宋体" w:eastAsia="宋体" w:cs="宋体" w:hAnsi="宋体" w:hint="eastAsia"/>
          <w:color w:val="auto"/>
          <w:kern w:val="0"/>
          <w:sz w:val="28"/>
          <w:szCs w:val="28"/>
        </w:rPr>
        <w:t>位于广西钦州市</w:t>
      </w:r>
      <w:r>
        <w:rPr>
          <w:rFonts w:ascii="宋体" w:eastAsia="宋体" w:cs="宋体" w:hAnsi="宋体" w:hint="eastAsia"/>
          <w:color w:val="auto"/>
          <w:kern w:val="0"/>
          <w:sz w:val="28"/>
          <w:szCs w:val="28"/>
          <w:lang w:eastAsia="zh-CN"/>
        </w:rPr>
        <w:t>的</w:t>
      </w:r>
      <w:r>
        <w:rPr>
          <w:rFonts w:ascii="宋体" w:eastAsia="宋体" w:cs="宋体" w:hAnsi="宋体" w:hint="eastAsia"/>
          <w:color w:val="auto"/>
          <w:kern w:val="0"/>
          <w:sz w:val="28"/>
          <w:szCs w:val="28"/>
        </w:rPr>
        <w:t>西部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大直</w:t>
      </w:r>
      <w:r>
        <w:rPr>
          <w:rFonts w:ascii="宋体" w:eastAsia="宋体" w:cs="宋体" w:hAnsi="宋体" w:hint="eastAsia"/>
          <w:color w:val="auto"/>
          <w:kern w:val="0"/>
          <w:sz w:val="28"/>
          <w:szCs w:val="28"/>
        </w:rPr>
        <w:t>镇</w:t>
      </w:r>
      <w:r>
        <w:rPr>
          <w:rFonts w:ascii="宋体" w:eastAsia="宋体" w:cs="宋体" w:hAnsi="宋体" w:hint="eastAsia"/>
          <w:color w:val="auto"/>
          <w:kern w:val="0"/>
          <w:sz w:val="28"/>
          <w:szCs w:val="28"/>
          <w:lang w:eastAsia="zh-CN"/>
        </w:rPr>
        <w:t>城镇南部城郊</w:t>
      </w:r>
      <w:r>
        <w:rPr>
          <w:rFonts w:ascii="宋体" w:eastAsia="宋体" w:cs="宋体" w:hAnsi="宋体" w:hint="eastAsia"/>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地块西侧紧邻国道G210，现状道路</w:t>
      </w:r>
      <w:r>
        <w:rPr>
          <w:rFonts w:ascii="宋体" w:eastAsia="宋体" w:cs="宋体" w:hAnsi="宋体" w:hint="eastAsia"/>
          <w:color w:val="auto"/>
          <w:kern w:val="0"/>
          <w:sz w:val="28"/>
          <w:szCs w:val="28"/>
          <w:lang w:eastAsia="zh-CN"/>
        </w:rPr>
        <w:t>路面</w:t>
      </w:r>
      <w:r>
        <w:rPr>
          <w:rFonts w:ascii="宋体" w:eastAsia="宋体" w:cs="宋体" w:hAnsi="宋体" w:hint="eastAsia"/>
          <w:color w:val="auto"/>
          <w:kern w:val="0"/>
          <w:sz w:val="28"/>
          <w:szCs w:val="28"/>
        </w:rPr>
        <w:t>宽度1</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米。往北约23公里接合那高速，再往前通往上思、南宁，往南约21公里接钦东高速，再往前至防城港。</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南防路，现状路面宽度约7米。位于规划用地北面250米处，南与国道G210交汇，通过旧镇区，北与省道S515交汇。</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地块</w:t>
      </w:r>
      <w:r>
        <w:rPr>
          <w:rFonts w:hint="eastAsia"/>
          <w:color w:val="auto"/>
          <w:kern w:val="0"/>
          <w:sz w:val="28"/>
          <w:szCs w:val="28"/>
          <w:lang w:val="en-US"/>
        </w:rPr>
        <w:t>距</w:t>
      </w:r>
      <w:r>
        <w:rPr>
          <w:rFonts w:hint="eastAsia"/>
          <w:color w:val="auto"/>
          <w:kern w:val="0"/>
          <w:sz w:val="28"/>
          <w:szCs w:val="28"/>
          <w:lang w:val="en-US" w:eastAsia="zh-CN"/>
        </w:rPr>
        <w:t>S51</w:t>
      </w:r>
      <w:r>
        <w:rPr>
          <w:rFonts w:hint="eastAsia"/>
          <w:color w:val="auto"/>
          <w:kern w:val="0"/>
          <w:sz w:val="28"/>
          <w:szCs w:val="28"/>
          <w:lang w:val="en-US"/>
        </w:rPr>
        <w:t>5</w:t>
      </w:r>
      <w:r>
        <w:rPr>
          <w:rFonts w:hint="eastAsia"/>
          <w:color w:val="auto"/>
          <w:kern w:val="0"/>
          <w:sz w:val="28"/>
          <w:szCs w:val="28"/>
          <w:lang w:val="en-US" w:eastAsia="zh-CN"/>
        </w:rPr>
        <w:t>省</w:t>
      </w:r>
      <w:r>
        <w:rPr>
          <w:rFonts w:hint="eastAsia"/>
          <w:color w:val="auto"/>
          <w:kern w:val="0"/>
          <w:sz w:val="28"/>
          <w:szCs w:val="28"/>
          <w:lang w:val="en-US"/>
        </w:rPr>
        <w:t>道约</w:t>
      </w:r>
      <w:r>
        <w:rPr>
          <w:rFonts w:hint="eastAsia"/>
          <w:color w:val="auto"/>
          <w:kern w:val="0"/>
          <w:sz w:val="28"/>
          <w:szCs w:val="28"/>
          <w:lang w:val="en-US" w:eastAsia="zh-CN"/>
        </w:rPr>
        <w:t>2.5公里，</w:t>
      </w:r>
      <w:r>
        <w:rPr>
          <w:rFonts w:ascii="宋体" w:eastAsia="宋体" w:cs="宋体" w:hAnsi="宋体" w:hint="eastAsia"/>
          <w:color w:val="auto"/>
          <w:kern w:val="0"/>
          <w:sz w:val="28"/>
          <w:szCs w:val="28"/>
        </w:rPr>
        <w:t>至钦州市公路里程约39km。</w:t>
      </w:r>
    </w:p>
    <w:p>
      <w:pPr>
        <w:widowControl/>
        <w:spacing w:before="4" w:line="360" w:lineRule="auto"/>
        <w:ind w:left="118" w:right="351" w:firstLineChars="200" w:firstLine="560"/>
        <w:jc w:val="left"/>
        <w:rPr>
          <w:rFonts w:hint="eastAsia"/>
          <w:color w:val="auto"/>
          <w:kern w:val="0"/>
          <w:sz w:val="28"/>
          <w:szCs w:val="28"/>
          <w:lang w:val="en-US" w:eastAsia="zh-CN"/>
        </w:rPr>
      </w:pPr>
      <w:r>
        <w:rPr>
          <w:rFonts w:ascii="宋体" w:eastAsia="宋体" w:cs="宋体" w:hAnsi="宋体" w:hint="eastAsia"/>
          <w:color w:val="auto"/>
          <w:kern w:val="0"/>
          <w:sz w:val="28"/>
          <w:szCs w:val="28"/>
          <w:lang w:eastAsia="zh-CN"/>
        </w:rPr>
        <w:t>镇</w:t>
      </w:r>
      <w:r>
        <w:rPr>
          <w:rFonts w:ascii="宋体" w:eastAsia="宋体" w:cs="宋体" w:hAnsi="宋体" w:hint="eastAsia"/>
          <w:color w:val="auto"/>
          <w:kern w:val="0"/>
          <w:sz w:val="28"/>
          <w:szCs w:val="28"/>
        </w:rPr>
        <w:t>区内部各个</w:t>
      </w:r>
      <w:r>
        <w:rPr>
          <w:rFonts w:ascii="宋体" w:eastAsia="宋体" w:cs="宋体" w:hAnsi="宋体" w:hint="eastAsia"/>
          <w:color w:val="auto"/>
          <w:kern w:val="0"/>
          <w:sz w:val="28"/>
          <w:szCs w:val="28"/>
          <w:lang w:eastAsia="zh-CN"/>
        </w:rPr>
        <w:t>国</w:t>
      </w:r>
      <w:r>
        <w:rPr>
          <w:rFonts w:ascii="宋体" w:eastAsia="宋体" w:cs="宋体" w:hAnsi="宋体" w:hint="eastAsia"/>
          <w:color w:val="auto"/>
          <w:kern w:val="0"/>
          <w:sz w:val="28"/>
          <w:szCs w:val="28"/>
        </w:rPr>
        <w:t>道、</w:t>
      </w:r>
      <w:r>
        <w:rPr>
          <w:rFonts w:ascii="宋体" w:eastAsia="宋体" w:cs="宋体" w:hAnsi="宋体" w:hint="eastAsia"/>
          <w:color w:val="auto"/>
          <w:kern w:val="0"/>
          <w:sz w:val="28"/>
          <w:szCs w:val="28"/>
          <w:lang w:eastAsia="zh-CN"/>
        </w:rPr>
        <w:t>省道、县</w:t>
      </w:r>
      <w:r>
        <w:rPr>
          <w:rFonts w:ascii="宋体" w:eastAsia="宋体" w:cs="宋体" w:hAnsi="宋体" w:hint="eastAsia"/>
          <w:color w:val="auto"/>
          <w:kern w:val="0"/>
          <w:sz w:val="28"/>
          <w:szCs w:val="28"/>
        </w:rPr>
        <w:t>道交错纵横，对外交通较为便利。以上</w:t>
      </w:r>
      <w:r>
        <w:rPr>
          <w:rFonts w:ascii="宋体" w:eastAsia="宋体" w:cs="宋体" w:hAnsi="宋体" w:hint="eastAsia"/>
          <w:color w:val="auto"/>
          <w:kern w:val="0"/>
          <w:sz w:val="28"/>
          <w:szCs w:val="28"/>
          <w:lang w:val="en-US" w:eastAsia="zh-CN"/>
        </w:rPr>
        <w:t>路段</w:t>
      </w:r>
      <w:r>
        <w:rPr>
          <w:rFonts w:ascii="宋体" w:eastAsia="宋体" w:cs="宋体" w:hAnsi="宋体" w:hint="eastAsia"/>
          <w:color w:val="auto"/>
          <w:kern w:val="0"/>
          <w:sz w:val="28"/>
          <w:szCs w:val="28"/>
        </w:rPr>
        <w:t>路况均良好，路线平坦，公路主干道路面宽度、线路纵坡度、线路横向坡度、竖曲线等均</w:t>
      </w:r>
      <w:r>
        <w:rPr>
          <w:rFonts w:ascii="宋体" w:eastAsia="宋体" w:cs="宋体" w:hAnsi="宋体" w:hint="eastAsia"/>
          <w:color w:val="auto"/>
          <w:kern w:val="0"/>
          <w:sz w:val="28"/>
          <w:szCs w:val="28"/>
          <w:lang w:eastAsia="zh-CN"/>
        </w:rPr>
        <w:t>基本</w:t>
      </w:r>
      <w:r>
        <w:rPr>
          <w:rFonts w:ascii="宋体" w:eastAsia="宋体" w:cs="宋体" w:hAnsi="宋体" w:hint="eastAsia"/>
          <w:color w:val="auto"/>
          <w:kern w:val="0"/>
          <w:sz w:val="28"/>
          <w:szCs w:val="28"/>
        </w:rPr>
        <w:t>能满足</w:t>
      </w:r>
      <w:r>
        <w:rPr>
          <w:rFonts w:ascii="宋体" w:eastAsia="宋体" w:cs="宋体" w:hAnsi="宋体" w:hint="eastAsia"/>
          <w:color w:val="auto"/>
          <w:kern w:val="0"/>
          <w:sz w:val="28"/>
          <w:szCs w:val="28"/>
          <w:lang w:eastAsia="zh-CN"/>
        </w:rPr>
        <w:t>汽油</w:t>
      </w:r>
      <w:r>
        <w:rPr>
          <w:rFonts w:ascii="宋体" w:eastAsia="宋体" w:cs="宋体" w:hAnsi="宋体" w:hint="eastAsia"/>
          <w:color w:val="auto"/>
          <w:kern w:val="0"/>
          <w:sz w:val="28"/>
          <w:szCs w:val="28"/>
        </w:rPr>
        <w:t>运输</w:t>
      </w:r>
      <w:r>
        <w:rPr>
          <w:rFonts w:ascii="宋体" w:eastAsia="宋体" w:cs="宋体" w:hAnsi="宋体" w:hint="eastAsia"/>
          <w:color w:val="auto"/>
          <w:kern w:val="0"/>
          <w:sz w:val="28"/>
          <w:szCs w:val="28"/>
          <w:lang w:eastAsia="zh-CN"/>
        </w:rPr>
        <w:t>车辆</w:t>
      </w:r>
      <w:r>
        <w:rPr>
          <w:rFonts w:ascii="宋体" w:eastAsia="宋体" w:cs="宋体" w:hAnsi="宋体" w:hint="eastAsia"/>
          <w:color w:val="auto"/>
          <w:kern w:val="0"/>
          <w:sz w:val="28"/>
          <w:szCs w:val="28"/>
        </w:rPr>
        <w:t>的</w:t>
      </w:r>
      <w:r>
        <w:rPr>
          <w:rFonts w:ascii="宋体" w:eastAsia="宋体" w:cs="宋体" w:hAnsi="宋体" w:hint="eastAsia"/>
          <w:color w:val="auto"/>
          <w:kern w:val="0"/>
          <w:sz w:val="28"/>
          <w:szCs w:val="28"/>
          <w:lang w:eastAsia="zh-CN"/>
        </w:rPr>
        <w:t>行驶</w:t>
      </w:r>
      <w:r>
        <w:rPr>
          <w:rFonts w:ascii="宋体" w:eastAsia="宋体" w:cs="宋体" w:hAnsi="宋体" w:hint="eastAsia"/>
          <w:color w:val="auto"/>
          <w:kern w:val="0"/>
          <w:sz w:val="28"/>
          <w:szCs w:val="28"/>
        </w:rPr>
        <w:t>要求，交通运输条件较好</w:t>
      </w:r>
      <w:r>
        <w:rPr>
          <w:rFonts w:hint="eastAsia"/>
          <w:color w:val="auto"/>
          <w:kern w:val="0"/>
          <w:sz w:val="28"/>
          <w:szCs w:val="28"/>
          <w:lang w:val="en-US" w:eastAsia="zh-CN"/>
        </w:rPr>
        <w:t>。</w:t>
      </w:r>
    </w:p>
    <w:p>
      <w:pPr>
        <w:widowControl/>
        <w:spacing w:before="4" w:line="360" w:lineRule="auto"/>
        <w:ind w:leftChars="200" w:left="420" w:right="351"/>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）地块内部道路交通规划</w:t>
      </w:r>
    </w:p>
    <w:p>
      <w:pPr>
        <w:widowControl/>
        <w:spacing w:before="4" w:line="360" w:lineRule="auto"/>
        <w:ind w:left="0"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规划用地西向为G210国道，地块车辆入口和出口分开设置并与国道衔接，其中入口规划于加油站西南角，出口规划于西北角，两个道口中点距离约</w:t>
      </w:r>
      <w:r>
        <w:rPr>
          <w:rFonts w:ascii="宋体" w:eastAsia="宋体" w:cs="宋体" w:hAnsi="宋体" w:hint="eastAsia"/>
          <w:color w:val="auto"/>
          <w:kern w:val="0"/>
          <w:sz w:val="28"/>
          <w:szCs w:val="28"/>
          <w:lang w:val="en-US" w:eastAsia="zh-CN"/>
        </w:rPr>
        <w:t>63</w:t>
      </w:r>
      <w:r>
        <w:rPr>
          <w:rFonts w:ascii="宋体" w:eastAsia="宋体" w:cs="宋体" w:hAnsi="宋体" w:hint="eastAsia"/>
          <w:color w:val="auto"/>
          <w:kern w:val="0"/>
          <w:sz w:val="28"/>
          <w:szCs w:val="28"/>
          <w:lang w:eastAsia="zh-CN"/>
        </w:rPr>
        <w:t>米，出口距地块北面的G210国道与南防南路交叉口距离约为250米。规划对该地块出入口实行右进右出交通流线，同时对该路段进行限速管制。两个出入口之间的范围、出入口与用地红线之间预留的车辆转弯范围均为禁止机动车开口管控路段。分别在地块与</w:t>
      </w:r>
      <w:r>
        <w:rPr>
          <w:rFonts w:ascii="宋体" w:eastAsia="宋体" w:cs="宋体" w:hAnsi="宋体" w:hint="eastAsia"/>
          <w:color w:val="auto"/>
          <w:kern w:val="0"/>
          <w:sz w:val="28"/>
          <w:szCs w:val="28"/>
          <w:lang w:val="en-US" w:eastAsia="zh-CN"/>
        </w:rPr>
        <w:t>G210国道交接的</w:t>
      </w:r>
      <w:r>
        <w:rPr>
          <w:rFonts w:ascii="宋体" w:eastAsia="宋体" w:cs="宋体" w:hAnsi="宋体" w:hint="eastAsia"/>
          <w:color w:val="auto"/>
          <w:kern w:val="0"/>
          <w:sz w:val="28"/>
          <w:szCs w:val="28"/>
          <w:lang w:eastAsia="zh-CN"/>
        </w:rPr>
        <w:t>入口和出口处设置水沟承重涵管，顶部设置承重盖板接入主线，入口至出口的排水沟铺设盖板边沟，保障车辆的安全出入</w:t>
      </w:r>
      <w:r>
        <w:rPr>
          <w:rFonts w:ascii="宋体" w:eastAsia="宋体" w:cs="宋体" w:hAnsi="宋体" w:hint="eastAsia"/>
          <w:color w:val="auto"/>
          <w:kern w:val="0"/>
          <w:sz w:val="28"/>
          <w:szCs w:val="28"/>
          <w:lang w:val="en-US"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加油站行车场地面为混凝土地面，混凝土地面的具体做法遵循现行标准《石油化工厂区竖向工程施工及验收规范》</w:t>
      </w:r>
      <w:r>
        <w:rPr>
          <w:rFonts w:ascii="宋体" w:eastAsia="宋体" w:cs="宋体" w:hAnsi="宋体" w:hint="eastAsia"/>
          <w:color w:val="auto"/>
          <w:kern w:val="0"/>
          <w:sz w:val="28"/>
          <w:szCs w:val="28"/>
          <w:lang w:val="en-US" w:eastAsia="zh-CN"/>
        </w:rPr>
        <w:t>SH/T3529-2018的各项规定进行施工。站内单车道或单车停车位宽度≥4m，双车道或双车停车位宽度≥6m，道路转弯半径≥9m</w:t>
      </w:r>
      <w:r>
        <w:rPr>
          <w:rFonts w:ascii="宋体" w:eastAsia="宋体" w:cs="宋体" w:hAnsi="宋体" w:hint="eastAsia"/>
          <w:color w:val="auto"/>
          <w:kern w:val="0"/>
          <w:sz w:val="28"/>
          <w:szCs w:val="28"/>
          <w:lang w:eastAsia="zh-CN"/>
        </w:rPr>
        <w:t>。</w:t>
      </w:r>
    </w:p>
    <w:p>
      <w:pPr>
        <w:pStyle w:val="1"/>
        <w:keepNext/>
        <w:keepLines/>
        <w:widowControl/>
        <w:numPr>
          <w:ilvl w:val="0"/>
          <w:numId w:val="0"/>
        </w:numPr>
        <w:spacing w:before="260" w:line="360" w:lineRule="auto"/>
        <w:ind w:left="0" w:right="351" w:firstLineChars="200" w:firstLine="640"/>
        <w:jc w:val="left"/>
        <w:rPr>
          <w:rFonts w:ascii="宋体" w:eastAsia="宋体" w:cs="宋体" w:hAnsi="宋体" w:hint="eastAsia"/>
          <w:bCs/>
          <w:color w:val="auto"/>
          <w:sz w:val="32"/>
          <w:szCs w:val="32"/>
          <w:lang w:val="en-US" w:eastAsia="zh-CN"/>
        </w:rPr>
      </w:pPr>
      <w:bookmarkStart w:id="34" w:name="_Toc27057"/>
      <w:r>
        <w:rPr>
          <w:rFonts w:ascii="宋体" w:eastAsia="宋体" w:cs="宋体" w:hAnsi="宋体" w:hint="eastAsia"/>
          <w:bCs/>
          <w:color w:val="auto"/>
          <w:sz w:val="32"/>
          <w:szCs w:val="32"/>
          <w:lang w:val="en-US" w:eastAsia="zh-CN"/>
        </w:rPr>
        <w:t>4.2竖向规划</w:t>
      </w:r>
      <w:bookmarkEnd w:id="34"/>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本</w:t>
      </w:r>
      <w:r>
        <w:rPr>
          <w:rFonts w:ascii="宋体" w:eastAsia="宋体" w:cs="宋体" w:hAnsi="宋体" w:hint="eastAsia"/>
          <w:color w:val="auto"/>
          <w:kern w:val="0"/>
          <w:sz w:val="28"/>
          <w:szCs w:val="28"/>
          <w:lang w:eastAsia="zh-CN"/>
        </w:rPr>
        <w:t>项目规划</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整体呈西北高、东南低，场地</w:t>
      </w:r>
      <w:r>
        <w:rPr>
          <w:rFonts w:ascii="宋体" w:eastAsia="宋体" w:cs="宋体" w:hAnsi="宋体" w:hint="eastAsia"/>
          <w:color w:val="auto"/>
          <w:kern w:val="0"/>
          <w:sz w:val="28"/>
          <w:szCs w:val="28"/>
        </w:rPr>
        <w:t>设计标高</w:t>
      </w:r>
      <w:r>
        <w:rPr>
          <w:rFonts w:ascii="宋体" w:eastAsia="宋体" w:cs="宋体" w:hAnsi="宋体" w:hint="eastAsia"/>
          <w:color w:val="auto"/>
          <w:kern w:val="0"/>
          <w:sz w:val="28"/>
          <w:szCs w:val="28"/>
          <w:lang w:eastAsia="zh-CN"/>
        </w:rPr>
        <w:t>在</w:t>
      </w:r>
      <w:r>
        <w:rPr>
          <w:rFonts w:ascii="宋体" w:eastAsia="宋体" w:cs="宋体" w:hAnsi="宋体" w:hint="eastAsia"/>
          <w:color w:val="auto"/>
          <w:kern w:val="0"/>
          <w:sz w:val="28"/>
          <w:szCs w:val="28"/>
          <w:lang w:val="en-US" w:eastAsia="zh-CN"/>
        </w:rPr>
        <w:t>14.85m</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15.25m</w:t>
      </w:r>
      <w:r>
        <w:rPr>
          <w:rFonts w:ascii="宋体" w:eastAsia="宋体" w:cs="宋体" w:hAnsi="宋体" w:hint="eastAsia"/>
          <w:color w:val="auto"/>
          <w:kern w:val="0"/>
          <w:sz w:val="28"/>
          <w:szCs w:val="28"/>
        </w:rPr>
        <w:t>之间</w:t>
      </w:r>
      <w:r>
        <w:rPr>
          <w:rFonts w:ascii="宋体" w:eastAsia="宋体" w:cs="宋体" w:hAnsi="宋体" w:hint="eastAsia"/>
          <w:color w:val="auto"/>
          <w:kern w:val="0"/>
          <w:sz w:val="28"/>
          <w:szCs w:val="28"/>
          <w:lang w:eastAsia="zh-CN"/>
        </w:rPr>
        <w:t>，平均标高</w:t>
      </w:r>
      <w:r>
        <w:rPr>
          <w:rFonts w:ascii="宋体" w:eastAsia="宋体" w:cs="宋体" w:hAnsi="宋体" w:hint="eastAsia"/>
          <w:color w:val="auto"/>
          <w:kern w:val="0"/>
          <w:sz w:val="28"/>
          <w:szCs w:val="28"/>
          <w:lang w:val="en-US" w:eastAsia="zh-CN"/>
        </w:rPr>
        <w:t>15.0m</w:t>
      </w:r>
      <w:r>
        <w:rPr>
          <w:rFonts w:ascii="宋体" w:eastAsia="宋体" w:cs="宋体" w:hAnsi="宋体" w:hint="eastAsia"/>
          <w:color w:val="auto"/>
          <w:kern w:val="0"/>
          <w:sz w:val="28"/>
          <w:szCs w:val="28"/>
        </w:rPr>
        <w:t>。整个场地较为平缓，高差不大，</w:t>
      </w:r>
      <w:r>
        <w:rPr>
          <w:rFonts w:ascii="宋体" w:eastAsia="宋体" w:cs="宋体" w:hAnsi="宋体" w:hint="eastAsia"/>
          <w:color w:val="auto"/>
          <w:kern w:val="0"/>
          <w:sz w:val="28"/>
          <w:szCs w:val="28"/>
          <w:lang w:eastAsia="zh-CN"/>
        </w:rPr>
        <w:t>站内停车位为平坡，</w:t>
      </w:r>
      <w:r>
        <w:rPr>
          <w:rFonts w:ascii="宋体" w:eastAsia="宋体" w:cs="宋体" w:hAnsi="宋体" w:hint="eastAsia"/>
          <w:color w:val="auto"/>
          <w:kern w:val="0"/>
          <w:sz w:val="28"/>
          <w:szCs w:val="28"/>
        </w:rPr>
        <w:t>设计坡度在0.</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0.7</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范围</w:t>
      </w:r>
      <w:r>
        <w:rPr>
          <w:rFonts w:ascii="宋体" w:eastAsia="宋体" w:cs="宋体" w:hAnsi="宋体" w:hint="eastAsia"/>
          <w:color w:val="auto"/>
          <w:kern w:val="0"/>
          <w:sz w:val="28"/>
          <w:szCs w:val="28"/>
        </w:rPr>
        <w:t>之间</w:t>
      </w:r>
      <w:r>
        <w:rPr>
          <w:rFonts w:ascii="宋体" w:eastAsia="宋体" w:cs="宋体" w:hAnsi="宋体" w:hint="eastAsia"/>
          <w:color w:val="auto"/>
          <w:kern w:val="0"/>
          <w:sz w:val="28"/>
          <w:szCs w:val="28"/>
          <w:lang w:eastAsia="zh-CN"/>
        </w:rPr>
        <w:t>，均坡向站外。出入口纵坡应在0.15</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～3.0</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的范围内上坡接入接顺公路</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场地详细标高和坡向详见图。</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35" w:name="_Toc27407"/>
      <w:r>
        <w:rPr>
          <w:rFonts w:ascii="宋体" w:eastAsia="宋体" w:cs="宋体" w:hAnsi="宋体" w:hint="eastAsia"/>
          <w:bCs/>
          <w:color w:val="auto"/>
          <w:sz w:val="32"/>
          <w:szCs w:val="32"/>
          <w:lang w:eastAsia="zh-CN"/>
        </w:rPr>
        <w:t>第五章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市政工程规划</w:t>
      </w:r>
      <w:bookmarkEnd w:id="35"/>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6" w:name="_Toc9889"/>
      <w:r>
        <w:rPr>
          <w:rFonts w:ascii="宋体" w:eastAsia="宋体" w:cs="宋体" w:hAnsi="宋体" w:hint="eastAsia"/>
          <w:bCs/>
          <w:color w:val="auto"/>
          <w:sz w:val="32"/>
          <w:szCs w:val="32"/>
          <w:lang w:val="en-US" w:eastAsia="zh-CN"/>
        </w:rPr>
        <w:t>5.1给水工程规划</w:t>
      </w:r>
      <w:bookmarkEnd w:id="36"/>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5.1.1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（1）《城市给水工程规划规范》GB50282-2016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）《室外给水设计规范》GB50013-2018</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《城市工程管线综合规划规范》（GB50289-2016）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《城市供水水质标准》（CJ/T206-2005）</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）甲方提供的用地勘测地形图和市政给水基础资料。</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5.1.2 </w:t>
      </w:r>
      <w:r>
        <w:rPr>
          <w:rFonts w:hint="eastAsia"/>
          <w:b/>
          <w:bCs/>
          <w:color w:val="auto"/>
          <w:sz w:val="28"/>
          <w:szCs w:val="28"/>
        </w:rPr>
        <w:t>用水量预测</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lang w:eastAsia="zh-CN"/>
        </w:rPr>
        <w:t>规划地块内以商业用水为主。用水量的预测依据《城市给水工程规划规范》（GB50282-2016），采用单位建设用地指标法预测用水量，其中商业用地</w:t>
      </w:r>
      <w:r>
        <w:rPr>
          <w:rFonts w:ascii="宋体" w:eastAsia="宋体" w:cs="宋体" w:hAnsi="宋体" w:hint="eastAsia"/>
          <w:color w:val="auto"/>
          <w:kern w:val="0"/>
          <w:sz w:val="28"/>
          <w:szCs w:val="28"/>
        </w:rPr>
        <w:t>用水量指标50～</w:t>
      </w:r>
      <w:r>
        <w:rPr>
          <w:rFonts w:ascii="宋体" w:eastAsia="宋体" w:cs="宋体" w:hAnsi="宋体" w:hint="eastAsia"/>
          <w:color w:val="auto"/>
          <w:kern w:val="0"/>
          <w:sz w:val="28"/>
          <w:szCs w:val="28"/>
          <w:lang w:val="en-US" w:eastAsia="zh-CN"/>
        </w:rPr>
        <w:t>200</w:t>
      </w:r>
      <w:r>
        <w:rPr>
          <w:rFonts w:ascii="宋体" w:eastAsia="宋体" w:cs="宋体" w:hAnsi="宋体" w:hint="eastAsia"/>
          <w:color w:val="auto"/>
          <w:kern w:val="0"/>
          <w:sz w:val="28"/>
          <w:szCs w:val="28"/>
        </w:rPr>
        <w:t>m</w:t>
      </w:r>
      <w:r>
        <w:rPr>
          <w:rFonts w:ascii="宋体" w:eastAsia="宋体" w:cs="宋体" w:hAnsi="宋体" w:hint="eastAsia"/>
          <w:color w:val="auto"/>
          <w:kern w:val="0"/>
          <w:sz w:val="28"/>
          <w:szCs w:val="28"/>
          <w:vertAlign w:val="superscript"/>
        </w:rPr>
        <w:t>3</w:t>
      </w:r>
      <w:r>
        <w:rPr>
          <w:rFonts w:ascii="宋体" w:eastAsia="宋体" w:cs="宋体" w:hAnsi="宋体" w:hint="eastAsia"/>
          <w:color w:val="auto"/>
          <w:kern w:val="0"/>
          <w:sz w:val="28"/>
          <w:szCs w:val="28"/>
        </w:rPr>
        <w:t>/hm</w:t>
      </w:r>
      <w:r>
        <w:rPr>
          <w:rFonts w:ascii="宋体" w:eastAsia="宋体" w:cs="宋体" w:hAnsi="宋体" w:hint="eastAsia"/>
          <w:color w:val="auto"/>
          <w:kern w:val="0"/>
          <w:sz w:val="28"/>
          <w:szCs w:val="28"/>
          <w:vertAlign w:val="superscript"/>
        </w:rPr>
        <w:t>2</w:t>
      </w:r>
      <w:r>
        <w:rPr>
          <w:rFonts w:ascii="宋体" w:eastAsia="宋体" w:cs="宋体" w:hAnsi="宋体" w:hint="eastAsia"/>
          <w:color w:val="auto"/>
          <w:kern w:val="0"/>
          <w:sz w:val="28"/>
          <w:szCs w:val="28"/>
        </w:rPr>
        <w:t>·d，本规划根据地块实际用途</w:t>
      </w:r>
      <w:r>
        <w:rPr>
          <w:rFonts w:ascii="宋体" w:eastAsia="宋体" w:cs="宋体" w:hAnsi="宋体" w:hint="eastAsia"/>
          <w:color w:val="auto"/>
          <w:kern w:val="0"/>
          <w:sz w:val="28"/>
          <w:szCs w:val="28"/>
          <w:lang w:eastAsia="zh-CN"/>
        </w:rPr>
        <w:t>，主要为场地和车辆冲洗、公共厕所用水、草地浇灌等，</w:t>
      </w:r>
      <w:r>
        <w:rPr>
          <w:rFonts w:ascii="宋体" w:eastAsia="宋体" w:cs="宋体" w:hAnsi="宋体" w:hint="eastAsia"/>
          <w:color w:val="auto"/>
          <w:kern w:val="0"/>
          <w:sz w:val="28"/>
          <w:szCs w:val="28"/>
        </w:rPr>
        <w:t>用水量指标取</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rPr>
        <w:t>0 m</w:t>
      </w:r>
      <w:r>
        <w:rPr>
          <w:rFonts w:ascii="宋体" w:eastAsia="宋体" w:cs="宋体" w:hAnsi="宋体" w:hint="eastAsia"/>
          <w:color w:val="auto"/>
          <w:kern w:val="0"/>
          <w:sz w:val="28"/>
          <w:szCs w:val="28"/>
          <w:vertAlign w:val="superscript"/>
        </w:rPr>
        <w:t>3</w:t>
      </w:r>
      <w:r>
        <w:rPr>
          <w:rFonts w:ascii="宋体" w:eastAsia="宋体" w:cs="宋体" w:hAnsi="宋体" w:hint="eastAsia"/>
          <w:color w:val="auto"/>
          <w:kern w:val="0"/>
          <w:sz w:val="28"/>
          <w:szCs w:val="28"/>
        </w:rPr>
        <w:t>/hm</w:t>
      </w:r>
      <w:r>
        <w:rPr>
          <w:rFonts w:ascii="宋体" w:eastAsia="宋体" w:cs="宋体" w:hAnsi="宋体" w:hint="eastAsia"/>
          <w:color w:val="auto"/>
          <w:kern w:val="0"/>
          <w:sz w:val="28"/>
          <w:szCs w:val="28"/>
          <w:vertAlign w:val="superscript"/>
        </w:rPr>
        <w:t>2</w:t>
      </w:r>
      <w:r>
        <w:rPr>
          <w:rFonts w:ascii="宋体" w:eastAsia="宋体" w:cs="宋体" w:hAnsi="宋体" w:hint="eastAsia"/>
          <w:color w:val="auto"/>
          <w:kern w:val="0"/>
          <w:sz w:val="28"/>
          <w:szCs w:val="28"/>
        </w:rPr>
        <w:t>·d，</w:t>
      </w:r>
      <w:r>
        <w:rPr>
          <w:rFonts w:ascii="宋体" w:eastAsia="宋体" w:cs="宋体" w:hAnsi="宋体" w:hint="eastAsia"/>
          <w:color w:val="auto"/>
          <w:kern w:val="0"/>
          <w:sz w:val="28"/>
          <w:szCs w:val="28"/>
          <w:lang w:eastAsia="zh-CN"/>
        </w:rPr>
        <w:t>加油站</w:t>
      </w:r>
      <w:r>
        <w:rPr>
          <w:rFonts w:ascii="宋体" w:eastAsia="宋体" w:cs="宋体" w:hAnsi="宋体" w:hint="eastAsia"/>
          <w:color w:val="auto"/>
          <w:kern w:val="0"/>
          <w:sz w:val="28"/>
          <w:szCs w:val="28"/>
        </w:rPr>
        <w:t>用地面积为</w:t>
      </w:r>
      <w:r>
        <w:rPr>
          <w:rFonts w:ascii="宋体" w:eastAsia="宋体" w:cs="宋体" w:hAnsi="宋体" w:hint="eastAsia"/>
          <w:color w:val="auto"/>
          <w:kern w:val="0"/>
          <w:sz w:val="28"/>
          <w:szCs w:val="28"/>
          <w:lang w:val="en-US" w:eastAsia="zh-CN"/>
        </w:rPr>
        <w:t>3300.08</w:t>
      </w:r>
      <w:r>
        <w:rPr>
          <w:rFonts w:ascii="宋体" w:eastAsia="宋体" w:cs="宋体" w:hAnsi="宋体" w:hint="eastAsia"/>
          <w:color w:val="auto"/>
          <w:kern w:val="0"/>
          <w:sz w:val="28"/>
          <w:szCs w:val="28"/>
        </w:rPr>
        <w:t>平方米</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0.33公顷</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，则</w:t>
      </w:r>
      <w:r>
        <w:rPr>
          <w:rFonts w:ascii="宋体" w:eastAsia="宋体" w:cs="宋体" w:hAnsi="宋体" w:hint="eastAsia"/>
          <w:color w:val="auto"/>
          <w:kern w:val="0"/>
          <w:sz w:val="28"/>
          <w:szCs w:val="28"/>
          <w:lang w:eastAsia="zh-CN"/>
        </w:rPr>
        <w:t>加油站</w:t>
      </w:r>
      <w:r>
        <w:rPr>
          <w:rFonts w:ascii="宋体" w:eastAsia="宋体" w:cs="宋体" w:hAnsi="宋体" w:hint="eastAsia"/>
          <w:color w:val="auto"/>
          <w:kern w:val="0"/>
          <w:sz w:val="28"/>
          <w:szCs w:val="28"/>
        </w:rPr>
        <w:t>地块最高日用水量为</w:t>
      </w:r>
      <w:r>
        <w:rPr>
          <w:rFonts w:ascii="宋体" w:eastAsia="宋体" w:cs="宋体" w:hAnsi="宋体" w:hint="eastAsia"/>
          <w:color w:val="auto"/>
          <w:kern w:val="0"/>
          <w:sz w:val="28"/>
          <w:szCs w:val="28"/>
          <w:lang w:val="en-US" w:eastAsia="zh-CN"/>
        </w:rPr>
        <w:t>33m³</w:t>
      </w:r>
      <w:r>
        <w:rPr>
          <w:rFonts w:ascii="宋体" w:eastAsia="宋体" w:cs="宋体" w:hAnsi="宋体" w:hint="eastAsia"/>
          <w:color w:val="auto"/>
          <w:kern w:val="0"/>
          <w:sz w:val="28"/>
          <w:szCs w:val="28"/>
        </w:rPr>
        <w:t>/d。</w:t>
      </w:r>
    </w:p>
    <w:p>
      <w:pPr>
        <w:pStyle w:val="17"/>
        <w:autoSpaceDE w:val="0"/>
        <w:autoSpaceDN w:val="0"/>
        <w:spacing w:before="4" w:line="420" w:lineRule="auto"/>
        <w:ind w:left="118" w:right="351" w:firstLine="479"/>
        <w:rPr>
          <w:rFonts w:eastAsia="宋体" w:hint="eastAsia"/>
          <w:b/>
          <w:bCs/>
          <w:color w:val="auto"/>
          <w:sz w:val="28"/>
          <w:szCs w:val="28"/>
          <w:lang w:val="en-US" w:eastAsia="zh-CN"/>
        </w:rPr>
      </w:pPr>
      <w:r>
        <w:rPr>
          <w:rFonts w:hint="eastAsia"/>
          <w:b/>
          <w:bCs/>
          <w:color w:val="auto"/>
          <w:sz w:val="28"/>
          <w:szCs w:val="28"/>
          <w:lang w:val="en-US" w:eastAsia="zh-CN"/>
        </w:rPr>
        <w:t xml:space="preserve">5.1.3 </w:t>
      </w:r>
      <w:r>
        <w:rPr>
          <w:rFonts w:hint="eastAsia"/>
          <w:b/>
          <w:bCs/>
          <w:color w:val="auto"/>
          <w:sz w:val="28"/>
          <w:szCs w:val="28"/>
          <w:lang w:eastAsia="zh-CN"/>
        </w:rPr>
        <w:t>给水规划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）本规划地块用水由大直镇自来水厂供给，水厂取水水源为大直江，水源水质符合二类饮用水质标准，由</w:t>
      </w:r>
      <w:r>
        <w:rPr>
          <w:rFonts w:ascii="宋体" w:eastAsia="宋体" w:cs="宋体" w:hAnsi="宋体" w:hint="eastAsia"/>
          <w:color w:val="auto"/>
          <w:kern w:val="0"/>
          <w:sz w:val="28"/>
          <w:szCs w:val="28"/>
          <w:lang w:val="en-US" w:eastAsia="zh-CN"/>
        </w:rPr>
        <w:t>G210国道敷设</w:t>
      </w:r>
      <w:r>
        <w:rPr>
          <w:rFonts w:ascii="宋体" w:eastAsia="宋体" w:cs="宋体" w:hAnsi="宋体" w:hint="eastAsia"/>
          <w:color w:val="auto"/>
          <w:kern w:val="0"/>
          <w:sz w:val="28"/>
          <w:szCs w:val="28"/>
          <w:lang w:eastAsia="zh-CN"/>
        </w:rPr>
        <w:t>的管径为DN</w:t>
      </w:r>
      <w:r>
        <w:rPr>
          <w:rFonts w:ascii="宋体" w:eastAsia="宋体" w:cs="宋体" w:hAnsi="宋体" w:hint="eastAsia"/>
          <w:color w:val="auto"/>
          <w:kern w:val="0"/>
          <w:sz w:val="28"/>
          <w:szCs w:val="28"/>
          <w:lang w:val="en-US" w:eastAsia="zh-CN"/>
        </w:rPr>
        <w:t>150</w:t>
      </w:r>
      <w:r>
        <w:rPr>
          <w:rFonts w:ascii="宋体" w:eastAsia="宋体" w:cs="宋体" w:hAnsi="宋体" w:hint="eastAsia"/>
          <w:color w:val="auto"/>
          <w:kern w:val="0"/>
          <w:sz w:val="28"/>
          <w:szCs w:val="28"/>
          <w:lang w:eastAsia="zh-CN"/>
        </w:rPr>
        <w:t>市政供水管引入地块。</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根据《汽车加油加气加氢站技术标准》GB50156-2021第12.2.3规定：“加油站,CNG加气站、三级LNG加气站和采用埋地、地下、半地下LNG储罐的各级LNG加气站及合建站,可不设消防给水系统。合建站中地上LNG储罐总容积不大于60</w:t>
      </w:r>
      <w:r>
        <w:rPr>
          <w:rFonts w:ascii="宋体" w:eastAsia="宋体" w:cs="宋体" w:hAnsi="宋体" w:hint="eastAsia"/>
          <w:color w:val="auto"/>
          <w:kern w:val="0"/>
          <w:sz w:val="28"/>
          <w:szCs w:val="28"/>
          <w:lang w:val="en-US" w:eastAsia="zh-CN"/>
        </w:rPr>
        <w:t>m³</w:t>
      </w:r>
      <w:r>
        <w:rPr>
          <w:rFonts w:ascii="宋体" w:eastAsia="宋体" w:cs="宋体" w:hAnsi="宋体" w:hint="eastAsia"/>
          <w:color w:val="auto"/>
          <w:kern w:val="0"/>
          <w:sz w:val="28"/>
          <w:szCs w:val="28"/>
          <w:lang w:eastAsia="zh-CN"/>
        </w:rPr>
        <w:t>时,可不设消防给水系统。”本地块规划设置的加油站为汽车汽（柴）油三级加油站，北面紧邻天然水塘，因此，根据以上规定，本规划加油站可不设消防给水系统</w:t>
      </w:r>
      <w:r>
        <w:rPr>
          <w:rFonts w:ascii="宋体" w:eastAsia="宋体" w:cs="宋体" w:hAnsi="宋体" w:hint="eastAsia"/>
          <w:color w:val="auto"/>
          <w:kern w:val="0"/>
          <w:sz w:val="28"/>
          <w:szCs w:val="28"/>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7" w:name="_Toc2595"/>
      <w:bookmarkStart w:id="38" w:name="_Toc23130"/>
      <w:r>
        <w:rPr>
          <w:rFonts w:ascii="宋体" w:eastAsia="宋体" w:cs="宋体" w:hAnsi="宋体" w:hint="eastAsia"/>
          <w:bCs/>
          <w:color w:val="auto"/>
          <w:sz w:val="32"/>
          <w:szCs w:val="32"/>
          <w:lang w:val="en-US" w:eastAsia="zh-CN"/>
        </w:rPr>
        <w:t>5.2排水工程规划</w:t>
      </w:r>
      <w:bookmarkEnd w:id="37"/>
      <w:bookmarkEnd w:id="38"/>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5.2.1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《城市排水工程规划规范》GB50318-2017</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）《室外排水设计规范》GB50014-2016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《城市工程管线综合规划规范》（GB50289-2016）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《污水综合排放标准》（GB8978-1996）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）甲方提供的用地勘测地形图和市政排水基础资料。</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5.2.2 </w:t>
      </w:r>
      <w:r>
        <w:rPr>
          <w:rFonts w:hint="eastAsia"/>
          <w:b/>
          <w:bCs/>
          <w:color w:val="auto"/>
          <w:sz w:val="28"/>
          <w:szCs w:val="28"/>
        </w:rPr>
        <w:t>现状概况</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项目用地位于大直镇南部城郊，</w:t>
      </w:r>
      <w:r>
        <w:rPr>
          <w:rFonts w:ascii="宋体" w:eastAsia="宋体" w:cs="宋体" w:hAnsi="宋体" w:hint="eastAsia"/>
          <w:color w:val="auto"/>
          <w:kern w:val="0"/>
          <w:sz w:val="28"/>
          <w:szCs w:val="28"/>
        </w:rPr>
        <w:t>离城镇中心</w:t>
      </w:r>
      <w:r>
        <w:rPr>
          <w:rFonts w:ascii="宋体" w:eastAsia="宋体" w:cs="宋体" w:hAnsi="宋体" w:hint="eastAsia"/>
          <w:color w:val="auto"/>
          <w:kern w:val="0"/>
          <w:sz w:val="28"/>
          <w:szCs w:val="28"/>
          <w:lang w:eastAsia="zh-CN"/>
        </w:rPr>
        <w:t>相对较近</w:t>
      </w:r>
      <w:r>
        <w:rPr>
          <w:rFonts w:ascii="宋体" w:eastAsia="宋体" w:cs="宋体" w:hAnsi="宋体" w:hint="eastAsia"/>
          <w:color w:val="auto"/>
          <w:kern w:val="0"/>
          <w:sz w:val="28"/>
          <w:szCs w:val="28"/>
        </w:rPr>
        <w:t>，周边大部分区域未开发</w:t>
      </w:r>
      <w:r>
        <w:rPr>
          <w:rFonts w:hint="eastAsia"/>
          <w:color w:val="auto"/>
          <w:kern w:val="0"/>
          <w:sz w:val="28"/>
          <w:szCs w:val="28"/>
          <w:lang w:val="en-US" w:eastAsia="zh-CN"/>
        </w:rPr>
        <w:t>，</w:t>
      </w:r>
      <w:r>
        <w:rPr>
          <w:rFonts w:ascii="宋体" w:eastAsia="宋体" w:cs="宋体" w:hAnsi="宋体" w:hint="eastAsia"/>
          <w:color w:val="auto"/>
          <w:kern w:val="0"/>
          <w:sz w:val="28"/>
          <w:szCs w:val="28"/>
        </w:rPr>
        <w:t>现状</w:t>
      </w:r>
      <w:r>
        <w:rPr>
          <w:rFonts w:ascii="宋体" w:eastAsia="宋体" w:cs="宋体" w:hAnsi="宋体" w:hint="eastAsia"/>
          <w:color w:val="auto"/>
          <w:kern w:val="0"/>
          <w:sz w:val="28"/>
          <w:szCs w:val="28"/>
          <w:lang w:val="en-US" w:eastAsia="zh-CN"/>
        </w:rPr>
        <w:t>G210国道两侧已敷设排水沟</w:t>
      </w:r>
      <w:r>
        <w:rPr>
          <w:rFonts w:ascii="宋体" w:eastAsia="宋体" w:cs="宋体" w:hAnsi="宋体" w:hint="eastAsia"/>
          <w:color w:val="auto"/>
          <w:kern w:val="0"/>
          <w:sz w:val="28"/>
          <w:szCs w:val="28"/>
        </w:rPr>
        <w:t>。</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5.2.3 </w:t>
      </w:r>
      <w:r>
        <w:rPr>
          <w:rFonts w:hint="eastAsia"/>
          <w:b/>
          <w:bCs/>
          <w:color w:val="auto"/>
          <w:sz w:val="28"/>
          <w:szCs w:val="28"/>
        </w:rPr>
        <w:t>排水体制</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lang w:eastAsia="zh-CN"/>
        </w:rPr>
        <w:t>本规划</w:t>
      </w:r>
      <w:r>
        <w:rPr>
          <w:rFonts w:ascii="宋体" w:eastAsia="宋体" w:cs="宋体" w:hAnsi="宋体" w:hint="eastAsia"/>
          <w:color w:val="auto"/>
          <w:kern w:val="0"/>
          <w:sz w:val="28"/>
          <w:szCs w:val="28"/>
        </w:rPr>
        <w:t>排水系统主要包括</w:t>
      </w:r>
      <w:r>
        <w:rPr>
          <w:rFonts w:ascii="宋体" w:eastAsia="宋体" w:cs="宋体" w:hAnsi="宋体" w:hint="eastAsia"/>
          <w:color w:val="auto"/>
          <w:kern w:val="0"/>
          <w:sz w:val="28"/>
          <w:szCs w:val="28"/>
          <w:lang w:eastAsia="zh-CN"/>
        </w:rPr>
        <w:t>加油站</w:t>
      </w:r>
      <w:r>
        <w:rPr>
          <w:rFonts w:ascii="宋体" w:eastAsia="宋体" w:cs="宋体" w:hAnsi="宋体" w:hint="eastAsia"/>
          <w:color w:val="auto"/>
          <w:kern w:val="0"/>
          <w:sz w:val="28"/>
          <w:szCs w:val="28"/>
        </w:rPr>
        <w:t>生活污水排水系统</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rPr>
        <w:t>雨水排水系统。排水系统</w:t>
      </w:r>
      <w:r>
        <w:rPr>
          <w:rFonts w:ascii="宋体" w:eastAsia="宋体" w:cs="宋体" w:hAnsi="宋体" w:hint="eastAsia"/>
          <w:color w:val="auto"/>
          <w:kern w:val="0"/>
          <w:sz w:val="28"/>
          <w:szCs w:val="28"/>
          <w:lang w:eastAsia="zh-CN"/>
        </w:rPr>
        <w:t>远期</w:t>
      </w:r>
      <w:r>
        <w:rPr>
          <w:rFonts w:ascii="宋体" w:eastAsia="宋体" w:cs="宋体" w:hAnsi="宋体" w:hint="eastAsia"/>
          <w:color w:val="auto"/>
          <w:kern w:val="0"/>
          <w:sz w:val="28"/>
          <w:szCs w:val="28"/>
        </w:rPr>
        <w:t>采用</w:t>
      </w:r>
      <w:r>
        <w:rPr>
          <w:rFonts w:ascii="宋体" w:eastAsia="宋体" w:cs="宋体" w:hAnsi="宋体" w:hint="eastAsia"/>
          <w:color w:val="auto"/>
          <w:kern w:val="0"/>
          <w:sz w:val="28"/>
          <w:szCs w:val="28"/>
          <w:lang w:eastAsia="zh-CN"/>
        </w:rPr>
        <w:t>雨污</w:t>
      </w:r>
      <w:r>
        <w:rPr>
          <w:rFonts w:ascii="宋体" w:eastAsia="宋体" w:cs="宋体" w:hAnsi="宋体" w:hint="eastAsia"/>
          <w:color w:val="auto"/>
          <w:kern w:val="0"/>
          <w:sz w:val="28"/>
          <w:szCs w:val="28"/>
        </w:rPr>
        <w:t>分流制。</w:t>
      </w:r>
    </w:p>
    <w:p>
      <w:pPr>
        <w:pStyle w:val="17"/>
        <w:autoSpaceDE w:val="0"/>
        <w:autoSpaceDN w:val="0"/>
        <w:spacing w:before="4" w:line="420" w:lineRule="auto"/>
        <w:ind w:left="0" w:right="351" w:firstLineChars="200" w:firstLine="560"/>
        <w:rPr>
          <w:b/>
          <w:bCs/>
          <w:color w:val="auto"/>
          <w:sz w:val="28"/>
          <w:szCs w:val="28"/>
        </w:rPr>
      </w:pPr>
      <w:r>
        <w:rPr>
          <w:rFonts w:hint="eastAsia"/>
          <w:b/>
          <w:bCs/>
          <w:color w:val="auto"/>
          <w:sz w:val="28"/>
          <w:szCs w:val="28"/>
          <w:lang w:val="en-US" w:eastAsia="zh-CN"/>
        </w:rPr>
        <w:t xml:space="preserve">5.2.4 </w:t>
      </w:r>
      <w:r>
        <w:rPr>
          <w:rFonts w:hint="eastAsia"/>
          <w:b/>
          <w:bCs/>
          <w:color w:val="auto"/>
          <w:sz w:val="28"/>
          <w:szCs w:val="28"/>
        </w:rPr>
        <w:t>雨水工程</w:t>
      </w:r>
    </w:p>
    <w:p>
      <w:pPr>
        <w:widowControl/>
        <w:numPr>
          <w:ilvl w:val="0"/>
          <w:numId w:val="2"/>
        </w:numPr>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雨水量预测</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雨水量的计算与城市排涝系统规划相协调，雨水规划设计流量按下式计算：</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 Q=q•ψ•F</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式中：Q ——雨水设计流量（升/秒）；q ——设计暴雨强度（升/公顷•秒）；ψ ——径流系数；F ——汇水面积（公顷）。</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设计暴雨强度按钦州市暴雨强度公式计算：</w:t>
      </w:r>
    </w:p>
    <w:p>
      <w:pPr>
        <w:widowControl/>
        <w:spacing w:before="4" w:line="360" w:lineRule="auto"/>
        <w:ind w:leftChars="200" w:left="420" w:right="351" w:firstLine="0"/>
        <w:jc w:val="left"/>
        <w:rPr>
          <w:rFonts w:ascii="宋体" w:eastAsia="宋体" w:cs="宋体" w:hAnsi="宋体"/>
          <w:color w:val="auto"/>
          <w:kern w:val="0"/>
          <w:sz w:val="28"/>
          <w:szCs w:val="28"/>
          <w:vertAlign w:val="superscript"/>
          <w:lang w:val="en-US" w:eastAsia="zh-CN"/>
        </w:rPr>
      </w:pPr>
      <w:r>
        <w:rPr>
          <w:rFonts w:ascii="宋体" w:eastAsia="宋体" w:cs="宋体" w:hAnsi="宋体" w:hint="eastAsia"/>
          <w:color w:val="auto"/>
          <w:kern w:val="0"/>
          <w:sz w:val="28"/>
          <w:szCs w:val="28"/>
        </w:rPr>
        <w:t>q=181</w:t>
      </w:r>
      <w:r>
        <w:rPr>
          <w:rFonts w:ascii="宋体" w:eastAsia="宋体" w:cs="宋体" w:hAnsi="宋体" w:hint="eastAsia"/>
          <w:color w:val="auto"/>
          <w:kern w:val="0"/>
          <w:sz w:val="28"/>
          <w:szCs w:val="28"/>
          <w:lang w:val="en-US" w:eastAsia="zh-CN"/>
        </w:rPr>
        <w:t>5.359</w:t>
      </w:r>
      <w:r>
        <w:rPr>
          <w:rFonts w:ascii="宋体" w:eastAsia="宋体" w:cs="宋体" w:hAnsi="宋体" w:hint="eastAsia"/>
          <w:color w:val="auto"/>
          <w:kern w:val="0"/>
          <w:sz w:val="28"/>
          <w:szCs w:val="28"/>
        </w:rPr>
        <w:t>(1+0.5</w:t>
      </w:r>
      <w:r>
        <w:rPr>
          <w:rFonts w:ascii="宋体" w:eastAsia="宋体" w:cs="宋体" w:hAnsi="宋体" w:hint="eastAsia"/>
          <w:color w:val="auto"/>
          <w:kern w:val="0"/>
          <w:sz w:val="28"/>
          <w:szCs w:val="28"/>
          <w:lang w:val="en-US" w:eastAsia="zh-CN"/>
        </w:rPr>
        <w:t>94</w:t>
      </w:r>
      <w:r>
        <w:rPr>
          <w:rFonts w:ascii="宋体" w:eastAsia="宋体" w:cs="宋体" w:hAnsi="宋体" w:hint="eastAsia"/>
          <w:color w:val="auto"/>
          <w:kern w:val="0"/>
          <w:sz w:val="28"/>
          <w:szCs w:val="28"/>
        </w:rPr>
        <w:t>LgP)/(t+</w:t>
      </w:r>
      <w:r>
        <w:rPr>
          <w:rFonts w:ascii="宋体" w:eastAsia="宋体" w:cs="宋体" w:hAnsi="宋体" w:hint="eastAsia"/>
          <w:color w:val="auto"/>
          <w:kern w:val="0"/>
          <w:sz w:val="28"/>
          <w:szCs w:val="28"/>
          <w:lang w:val="en-US" w:eastAsia="zh-CN"/>
        </w:rPr>
        <w:t>6.669</w:t>
      </w:r>
      <w:r>
        <w:rPr>
          <w:rFonts w:ascii="宋体" w:eastAsia="宋体" w:cs="宋体" w:hAnsi="宋体" w:hint="eastAsia"/>
          <w:color w:val="auto"/>
          <w:kern w:val="0"/>
          <w:sz w:val="28"/>
          <w:szCs w:val="28"/>
        </w:rPr>
        <w:t>)</w:t>
      </w:r>
      <w:r>
        <w:rPr>
          <w:rFonts w:ascii="宋体" w:eastAsia="宋体" w:cs="宋体" w:hAnsi="宋体"/>
          <w:color w:val="auto"/>
          <w:kern w:val="0"/>
          <w:sz w:val="28"/>
          <w:szCs w:val="28"/>
          <w:vertAlign w:val="superscript"/>
        </w:rPr>
        <w:t xml:space="preserve"> 0.5</w:t>
      </w:r>
      <w:r>
        <w:rPr>
          <w:rFonts w:ascii="宋体" w:eastAsia="宋体" w:cs="宋体" w:hAnsi="宋体" w:hint="eastAsia"/>
          <w:color w:val="auto"/>
          <w:kern w:val="0"/>
          <w:sz w:val="28"/>
          <w:szCs w:val="28"/>
          <w:vertAlign w:val="superscript"/>
          <w:lang w:val="en-US" w:eastAsia="zh-CN"/>
        </w:rPr>
        <w:t>96</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式中：q ——设计暴雨强度（升/公顷•秒）；P ——重现期</w:t>
      </w:r>
      <w:r>
        <w:rPr>
          <w:rFonts w:ascii="宋体" w:eastAsia="宋体" w:cs="宋体" w:hAnsi="宋体" w:hint="eastAsia"/>
          <w:color w:val="auto"/>
          <w:kern w:val="0"/>
          <w:sz w:val="28"/>
          <w:szCs w:val="28"/>
          <w:lang w:eastAsia="zh-CN"/>
        </w:rPr>
        <w:t>（年）</w:t>
      </w:r>
      <w:r>
        <w:rPr>
          <w:rFonts w:ascii="宋体" w:eastAsia="宋体" w:cs="宋体" w:hAnsi="宋体" w:hint="eastAsia"/>
          <w:color w:val="auto"/>
          <w:kern w:val="0"/>
          <w:sz w:val="28"/>
          <w:szCs w:val="28"/>
        </w:rPr>
        <w:t>；t ——降雨历时（分钟），t=t</w:t>
      </w:r>
      <w:r>
        <w:rPr>
          <w:rFonts w:ascii="宋体" w:eastAsia="宋体" w:cs="宋体" w:hAnsi="宋体"/>
          <w:color w:val="auto"/>
          <w:kern w:val="0"/>
          <w:sz w:val="28"/>
          <w:szCs w:val="28"/>
          <w:vertAlign w:val="subscript"/>
        </w:rPr>
        <w:t>1</w:t>
      </w:r>
      <w:r>
        <w:rPr>
          <w:rFonts w:ascii="宋体" w:eastAsia="宋体" w:cs="宋体" w:hAnsi="宋体" w:hint="eastAsia"/>
          <w:color w:val="auto"/>
          <w:kern w:val="0"/>
          <w:sz w:val="28"/>
          <w:szCs w:val="28"/>
        </w:rPr>
        <w:t>+t</w:t>
      </w:r>
      <w:r>
        <w:rPr>
          <w:rFonts w:ascii="宋体" w:eastAsia="宋体" w:cs="宋体" w:hAnsi="宋体"/>
          <w:color w:val="auto"/>
          <w:kern w:val="0"/>
          <w:sz w:val="28"/>
          <w:szCs w:val="28"/>
          <w:vertAlign w:val="subscript"/>
        </w:rPr>
        <w:t>2</w:t>
      </w:r>
      <w:r>
        <w:rPr>
          <w:rFonts w:ascii="宋体" w:eastAsia="宋体" w:cs="宋体" w:hAnsi="宋体" w:hint="eastAsia"/>
          <w:color w:val="auto"/>
          <w:kern w:val="0"/>
          <w:sz w:val="28"/>
          <w:szCs w:val="28"/>
        </w:rPr>
        <w:t>。（t</w:t>
      </w:r>
      <w:r>
        <w:rPr>
          <w:rFonts w:ascii="宋体" w:eastAsia="宋体" w:cs="宋体" w:hAnsi="宋体" w:hint="eastAsia"/>
          <w:color w:val="auto"/>
          <w:kern w:val="0"/>
          <w:sz w:val="28"/>
          <w:szCs w:val="28"/>
          <w:vertAlign w:val="subscript"/>
        </w:rPr>
        <w:t>1</w:t>
      </w:r>
      <w:r>
        <w:rPr>
          <w:rFonts w:ascii="宋体" w:eastAsia="宋体" w:cs="宋体" w:hAnsi="宋体" w:hint="eastAsia"/>
          <w:color w:val="auto"/>
          <w:kern w:val="0"/>
          <w:sz w:val="28"/>
          <w:szCs w:val="28"/>
        </w:rPr>
        <w:t xml:space="preserve"> ——地面集水时间，应根据汇水距离，地形坡度和地面种类计算确定，一般采用5～15 分钟；t</w:t>
      </w:r>
      <w:r>
        <w:rPr>
          <w:rFonts w:ascii="宋体" w:eastAsia="宋体" w:cs="宋体" w:hAnsi="宋体" w:hint="eastAsia"/>
          <w:color w:val="auto"/>
          <w:kern w:val="0"/>
          <w:sz w:val="28"/>
          <w:szCs w:val="28"/>
          <w:vertAlign w:val="subscript"/>
        </w:rPr>
        <w:t>2</w:t>
      </w:r>
      <w:r>
        <w:rPr>
          <w:rFonts w:ascii="宋体" w:eastAsia="宋体" w:cs="宋体" w:hAnsi="宋体" w:hint="eastAsia"/>
          <w:color w:val="auto"/>
          <w:kern w:val="0"/>
          <w:sz w:val="28"/>
          <w:szCs w:val="28"/>
        </w:rPr>
        <w:t>——管渠内雨水流行时间。）</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考虑到规划地块以丘陵谷地地形为主，重现期宜采用3～4年。</w:t>
      </w:r>
    </w:p>
    <w:p>
      <w:pPr>
        <w:widowControl/>
        <w:spacing w:before="4" w:line="360" w:lineRule="auto"/>
        <w:ind w:leftChars="200" w:left="420" w:right="351" w:firstLine="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rPr>
        <w:t>综合径流系数</w:t>
      </w:r>
      <w:r>
        <w:rPr>
          <w:rFonts w:ascii="宋体" w:eastAsia="宋体" w:cs="宋体" w:hAnsi="宋体" w:hint="eastAsia"/>
          <w:color w:val="auto"/>
          <w:kern w:val="0"/>
          <w:sz w:val="28"/>
          <w:szCs w:val="28"/>
          <w:lang w:eastAsia="zh-CN"/>
        </w:rPr>
        <w:t>取ψ</w:t>
      </w:r>
      <w:r>
        <w:rPr>
          <w:rFonts w:ascii="宋体" w:eastAsia="宋体" w:cs="宋体" w:hAnsi="宋体" w:hint="eastAsia"/>
          <w:color w:val="auto"/>
          <w:kern w:val="0"/>
          <w:sz w:val="28"/>
          <w:szCs w:val="28"/>
          <w:lang w:val="en-US" w:eastAsia="zh-CN"/>
        </w:rPr>
        <w:t>=0.75；</w:t>
      </w:r>
    </w:p>
    <w:p>
      <w:pPr>
        <w:widowControl/>
        <w:spacing w:before="4" w:line="360" w:lineRule="auto"/>
        <w:ind w:leftChars="200" w:left="420" w:right="351" w:firstLineChars="200" w:firstLine="560"/>
        <w:jc w:val="left"/>
        <w:rPr>
          <w:rFonts w:ascii="宋体" w:eastAsia="宋体" w:cs="宋体" w:hAnsi="宋体"/>
          <w:b w:val="0"/>
          <w:bCs w:val="0"/>
          <w:color w:val="auto"/>
          <w:kern w:val="0"/>
          <w:sz w:val="28"/>
          <w:szCs w:val="28"/>
        </w:rPr>
      </w:pPr>
      <w:r>
        <w:rPr>
          <w:rFonts w:ascii="宋体" w:eastAsia="宋体" w:cs="宋体" w:hAnsi="宋体" w:hint="eastAsia"/>
          <w:b w:val="0"/>
          <w:bCs w:val="0"/>
          <w:color w:val="auto"/>
          <w:kern w:val="0"/>
          <w:sz w:val="28"/>
          <w:szCs w:val="28"/>
        </w:rPr>
        <w:t>（</w:t>
      </w:r>
      <w:r>
        <w:rPr>
          <w:rFonts w:ascii="宋体" w:eastAsia="宋体" w:cs="宋体" w:hAnsi="宋体"/>
          <w:b w:val="0"/>
          <w:bCs w:val="0"/>
          <w:color w:val="auto"/>
          <w:kern w:val="0"/>
          <w:sz w:val="28"/>
          <w:szCs w:val="28"/>
        </w:rPr>
        <w:t>2</w:t>
      </w:r>
      <w:r>
        <w:rPr>
          <w:rFonts w:ascii="宋体" w:eastAsia="宋体" w:cs="宋体" w:hAnsi="宋体" w:hint="eastAsia"/>
          <w:b w:val="0"/>
          <w:bCs w:val="0"/>
          <w:color w:val="auto"/>
          <w:kern w:val="0"/>
          <w:sz w:val="28"/>
          <w:szCs w:val="28"/>
        </w:rPr>
        <w:t>）雨水分区和管网规划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w:t>
      </w:r>
      <w:r>
        <w:rPr>
          <w:rFonts w:ascii="宋体" w:eastAsia="宋体" w:cs="宋体" w:hAnsi="宋体" w:hint="eastAsia"/>
          <w:color w:val="auto"/>
          <w:kern w:val="0"/>
          <w:sz w:val="28"/>
          <w:szCs w:val="28"/>
          <w:lang w:eastAsia="zh-CN"/>
        </w:rPr>
        <w:t>规划加油站场地西北高、东南低，</w:t>
      </w:r>
      <w:r>
        <w:rPr>
          <w:rFonts w:ascii="宋体" w:eastAsia="宋体" w:cs="宋体" w:hAnsi="宋体" w:hint="eastAsia"/>
          <w:color w:val="auto"/>
          <w:kern w:val="0"/>
          <w:sz w:val="28"/>
          <w:szCs w:val="28"/>
        </w:rPr>
        <w:t>按照高水高排、低水低排的原则，充分利用地形就近排放</w:t>
      </w:r>
      <w:r>
        <w:rPr>
          <w:rFonts w:ascii="宋体" w:eastAsia="宋体" w:cs="宋体" w:hAnsi="宋体" w:hint="eastAsia"/>
          <w:color w:val="auto"/>
          <w:kern w:val="0"/>
          <w:sz w:val="28"/>
          <w:szCs w:val="28"/>
          <w:lang w:eastAsia="zh-CN"/>
        </w:rPr>
        <w:t>。</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2）</w:t>
      </w:r>
      <w:r>
        <w:rPr>
          <w:rFonts w:ascii="宋体" w:eastAsia="宋体" w:cs="宋体" w:hAnsi="宋体" w:hint="eastAsia"/>
          <w:color w:val="auto"/>
          <w:kern w:val="0"/>
          <w:sz w:val="28"/>
          <w:szCs w:val="28"/>
          <w:lang w:eastAsia="zh-CN"/>
        </w:rPr>
        <w:t>加油站建筑物屋面雨水通过雨水斗收集，通过雨水立管引至地面雨水沟，站区场地雨水通过雨水口收集，通过室外管径为</w:t>
      </w:r>
      <w:r>
        <w:rPr>
          <w:rFonts w:ascii="宋体" w:eastAsia="宋体" w:cs="宋体" w:hAnsi="宋体" w:hint="eastAsia"/>
          <w:color w:val="auto"/>
          <w:kern w:val="0"/>
          <w:sz w:val="28"/>
          <w:szCs w:val="28"/>
        </w:rPr>
        <w:t>d600</w:t>
      </w:r>
      <w:r>
        <w:rPr>
          <w:rFonts w:ascii="宋体" w:eastAsia="宋体" w:cs="宋体" w:hAnsi="宋体" w:hint="eastAsia"/>
          <w:color w:val="auto"/>
          <w:kern w:val="0"/>
          <w:sz w:val="28"/>
          <w:szCs w:val="28"/>
          <w:lang w:eastAsia="zh-CN"/>
        </w:rPr>
        <w:t>的埋地雨水管道向西南方向排至站外</w:t>
      </w:r>
      <w:r>
        <w:rPr>
          <w:rFonts w:ascii="宋体" w:eastAsia="宋体" w:cs="宋体" w:hAnsi="宋体" w:hint="eastAsia"/>
          <w:color w:val="auto"/>
          <w:kern w:val="0"/>
          <w:sz w:val="28"/>
          <w:szCs w:val="28"/>
          <w:lang w:val="en-US" w:eastAsia="zh-CN"/>
        </w:rPr>
        <w:t>G210国道排水沟</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以山地冲沟和坑塘河道为主要排水出口迅速将雨水排出。</w:t>
      </w:r>
    </w:p>
    <w:p>
      <w:pPr>
        <w:pStyle w:val="17"/>
        <w:autoSpaceDE w:val="0"/>
        <w:autoSpaceDN w:val="0"/>
        <w:spacing w:before="4" w:line="420" w:lineRule="auto"/>
        <w:ind w:left="597" w:right="351"/>
        <w:rPr>
          <w:rFonts w:ascii="宋体" w:eastAsia="宋体" w:cs="宋体" w:hAnsi="宋体" w:hint="eastAsia"/>
          <w:color w:val="auto"/>
          <w:kern w:val="0"/>
          <w:sz w:val="28"/>
          <w:szCs w:val="28"/>
          <w:lang w:eastAsia="zh-CN"/>
        </w:rPr>
      </w:pPr>
      <w:r>
        <w:rPr>
          <w:rFonts w:hint="eastAsia"/>
          <w:b/>
          <w:bCs/>
          <w:color w:val="auto"/>
          <w:sz w:val="28"/>
          <w:szCs w:val="28"/>
          <w:lang w:val="en-US" w:eastAsia="zh-CN"/>
        </w:rPr>
        <w:t xml:space="preserve">5.2.5 </w:t>
      </w:r>
      <w:r>
        <w:rPr>
          <w:rFonts w:hint="eastAsia"/>
          <w:b/>
          <w:bCs/>
          <w:color w:val="auto"/>
          <w:sz w:val="28"/>
          <w:szCs w:val="28"/>
        </w:rPr>
        <w:t>污水工程</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本规划污水工程主要为加油站产生的污水排放，对其进行合理的污水管网和污水处理设施规划。</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污水量预测</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根据《镇规划标准》（GB 50188-2007）和</w:t>
      </w:r>
      <w:r>
        <w:rPr>
          <w:rFonts w:ascii="宋体" w:eastAsia="宋体" w:cs="宋体" w:hAnsi="宋体" w:hint="eastAsia"/>
          <w:color w:val="auto"/>
          <w:kern w:val="0"/>
          <w:sz w:val="28"/>
          <w:szCs w:val="28"/>
          <w:lang w:eastAsia="zh-CN"/>
        </w:rPr>
        <w:t>大直</w:t>
      </w:r>
      <w:r>
        <w:rPr>
          <w:rFonts w:ascii="宋体" w:eastAsia="宋体" w:cs="宋体" w:hAnsi="宋体" w:hint="eastAsia"/>
          <w:color w:val="auto"/>
          <w:kern w:val="0"/>
          <w:sz w:val="28"/>
          <w:szCs w:val="28"/>
        </w:rPr>
        <w:t>镇总规，综合污水量按给水量的80%计算，则</w:t>
      </w:r>
      <w:r>
        <w:rPr>
          <w:rFonts w:ascii="宋体" w:eastAsia="宋体" w:cs="宋体" w:hAnsi="宋体" w:hint="eastAsia"/>
          <w:color w:val="auto"/>
          <w:kern w:val="0"/>
          <w:sz w:val="28"/>
          <w:szCs w:val="28"/>
          <w:lang w:eastAsia="zh-CN"/>
        </w:rPr>
        <w:t>本</w:t>
      </w:r>
      <w:r>
        <w:rPr>
          <w:rFonts w:ascii="宋体" w:eastAsia="宋体" w:cs="宋体" w:hAnsi="宋体" w:hint="eastAsia"/>
          <w:color w:val="auto"/>
          <w:kern w:val="0"/>
          <w:sz w:val="28"/>
          <w:szCs w:val="28"/>
        </w:rPr>
        <w:t>地块污水量为</w:t>
      </w:r>
      <w:r>
        <w:rPr>
          <w:rFonts w:ascii="宋体" w:eastAsia="宋体" w:cs="宋体" w:hAnsi="宋体" w:hint="eastAsia"/>
          <w:color w:val="auto"/>
          <w:kern w:val="0"/>
          <w:sz w:val="28"/>
          <w:szCs w:val="28"/>
          <w:lang w:val="en-US" w:eastAsia="zh-CN"/>
        </w:rPr>
        <w:t>26.4</w:t>
      </w:r>
      <w:r>
        <w:rPr>
          <w:rFonts w:ascii="宋体" w:eastAsia="宋体" w:cs="宋体" w:hAnsi="宋体" w:hint="eastAsia"/>
          <w:color w:val="auto"/>
          <w:kern w:val="0"/>
          <w:sz w:val="28"/>
          <w:szCs w:val="28"/>
        </w:rPr>
        <w:t>m³/d。</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（2）污水管网规划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规划</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rPr>
        <w:t>内污水管道采用重力流形式沿道路顺坡布</w:t>
      </w:r>
      <w:r>
        <w:rPr>
          <w:rFonts w:ascii="宋体" w:eastAsia="宋体" w:cs="宋体" w:hAnsi="宋体" w:hint="eastAsia"/>
          <w:color w:val="auto"/>
          <w:kern w:val="0"/>
          <w:sz w:val="28"/>
          <w:szCs w:val="28"/>
          <w:lang w:eastAsia="zh-CN"/>
        </w:rPr>
        <w:t>置</w:t>
      </w:r>
      <w:r>
        <w:rPr>
          <w:rFonts w:ascii="宋体" w:eastAsia="宋体" w:cs="宋体" w:hAnsi="宋体" w:hint="eastAsia"/>
          <w:color w:val="auto"/>
          <w:kern w:val="0"/>
          <w:sz w:val="28"/>
          <w:szCs w:val="28"/>
        </w:rPr>
        <w:t>，污水管道管径为d400。</w:t>
      </w:r>
      <w:r>
        <w:rPr>
          <w:rFonts w:ascii="宋体" w:eastAsia="宋体" w:cs="宋体" w:hAnsi="宋体" w:hint="eastAsia"/>
          <w:color w:val="auto"/>
          <w:kern w:val="0"/>
          <w:sz w:val="28"/>
          <w:szCs w:val="28"/>
          <w:lang w:eastAsia="zh-CN"/>
        </w:rPr>
        <w:t>站</w:t>
      </w:r>
      <w:r>
        <w:rPr>
          <w:rFonts w:ascii="宋体" w:eastAsia="宋体" w:cs="宋体" w:hAnsi="宋体" w:hint="eastAsia"/>
          <w:color w:val="auto"/>
          <w:kern w:val="0"/>
          <w:sz w:val="28"/>
          <w:szCs w:val="28"/>
        </w:rPr>
        <w:t>内</w:t>
      </w:r>
      <w:r>
        <w:rPr>
          <w:rFonts w:ascii="宋体" w:eastAsia="宋体" w:cs="宋体" w:hAnsi="宋体" w:hint="eastAsia"/>
          <w:color w:val="auto"/>
          <w:kern w:val="0"/>
          <w:sz w:val="28"/>
          <w:szCs w:val="28"/>
          <w:lang w:eastAsia="zh-CN"/>
        </w:rPr>
        <w:t>公共厕所</w:t>
      </w:r>
      <w:r>
        <w:rPr>
          <w:rFonts w:ascii="宋体" w:eastAsia="宋体" w:cs="宋体" w:hAnsi="宋体" w:hint="eastAsia"/>
          <w:color w:val="auto"/>
          <w:kern w:val="0"/>
          <w:sz w:val="28"/>
          <w:szCs w:val="28"/>
        </w:rPr>
        <w:t>生活污水</w:t>
      </w:r>
      <w:r>
        <w:rPr>
          <w:rFonts w:ascii="宋体" w:eastAsia="宋体" w:cs="宋体" w:hAnsi="宋体" w:hint="eastAsia"/>
          <w:color w:val="auto"/>
          <w:kern w:val="0"/>
          <w:sz w:val="28"/>
          <w:szCs w:val="28"/>
          <w:lang w:eastAsia="zh-CN"/>
        </w:rPr>
        <w:t>由</w:t>
      </w:r>
      <w:r>
        <w:rPr>
          <w:rFonts w:ascii="宋体" w:eastAsia="宋体" w:cs="宋体" w:hAnsi="宋体" w:hint="eastAsia"/>
          <w:color w:val="auto"/>
          <w:kern w:val="0"/>
          <w:sz w:val="28"/>
          <w:szCs w:val="28"/>
        </w:rPr>
        <w:t>化粪池进行</w:t>
      </w:r>
      <w:r>
        <w:rPr>
          <w:rFonts w:ascii="宋体" w:eastAsia="宋体" w:cs="宋体" w:hAnsi="宋体" w:hint="eastAsia"/>
          <w:color w:val="auto"/>
          <w:kern w:val="0"/>
          <w:sz w:val="28"/>
          <w:szCs w:val="28"/>
          <w:lang w:eastAsia="zh-CN"/>
        </w:rPr>
        <w:t>初级</w:t>
      </w:r>
      <w:r>
        <w:rPr>
          <w:rFonts w:ascii="宋体" w:eastAsia="宋体" w:cs="宋体" w:hAnsi="宋体" w:hint="eastAsia"/>
          <w:color w:val="auto"/>
          <w:kern w:val="0"/>
          <w:sz w:val="28"/>
          <w:szCs w:val="28"/>
        </w:rPr>
        <w:t>污水处理</w:t>
      </w:r>
      <w:r>
        <w:rPr>
          <w:rFonts w:ascii="宋体" w:eastAsia="宋体" w:cs="宋体" w:hAnsi="宋体" w:hint="eastAsia"/>
          <w:color w:val="auto"/>
          <w:kern w:val="0"/>
          <w:sz w:val="28"/>
          <w:szCs w:val="28"/>
          <w:lang w:eastAsia="zh-CN"/>
        </w:rPr>
        <w:t>，洗车污水和加油区油污经集油沟收集至隔油池隔离后，通过站内污水管收集接出地块西面</w:t>
      </w:r>
      <w:r>
        <w:rPr>
          <w:rFonts w:ascii="宋体" w:eastAsia="宋体" w:cs="宋体" w:hAnsi="宋体" w:hint="eastAsia"/>
          <w:color w:val="auto"/>
          <w:kern w:val="0"/>
          <w:sz w:val="28"/>
          <w:szCs w:val="28"/>
          <w:lang w:val="en-US" w:eastAsia="zh-CN"/>
        </w:rPr>
        <w:t>G210国道</w:t>
      </w:r>
      <w:r>
        <w:rPr>
          <w:rFonts w:ascii="宋体" w:eastAsia="宋体" w:cs="宋体" w:hAnsi="宋体" w:hint="eastAsia"/>
          <w:color w:val="auto"/>
          <w:kern w:val="0"/>
          <w:sz w:val="28"/>
          <w:szCs w:val="28"/>
        </w:rPr>
        <w:t>市政污水管网</w:t>
      </w:r>
      <w:r>
        <w:rPr>
          <w:rFonts w:ascii="宋体" w:eastAsia="宋体" w:cs="宋体" w:hAnsi="宋体" w:hint="eastAsia"/>
          <w:color w:val="auto"/>
          <w:kern w:val="0"/>
          <w:sz w:val="28"/>
          <w:szCs w:val="28"/>
          <w:lang w:eastAsia="zh-CN"/>
        </w:rPr>
        <w:t>，再</w:t>
      </w:r>
      <w:r>
        <w:rPr>
          <w:rFonts w:ascii="宋体" w:eastAsia="宋体" w:cs="宋体" w:hAnsi="宋体" w:hint="eastAsia"/>
          <w:color w:val="auto"/>
          <w:kern w:val="0"/>
          <w:sz w:val="28"/>
          <w:szCs w:val="28"/>
        </w:rPr>
        <w:t>排入镇区</w:t>
      </w:r>
      <w:r>
        <w:rPr>
          <w:rFonts w:ascii="宋体" w:eastAsia="宋体" w:cs="宋体" w:hAnsi="宋体" w:hint="eastAsia"/>
          <w:color w:val="auto"/>
          <w:kern w:val="0"/>
          <w:sz w:val="28"/>
          <w:szCs w:val="28"/>
          <w:lang w:eastAsia="zh-CN"/>
        </w:rPr>
        <w:t>北</w:t>
      </w:r>
      <w:r>
        <w:rPr>
          <w:rFonts w:ascii="宋体" w:eastAsia="宋体" w:cs="宋体" w:hAnsi="宋体" w:hint="eastAsia"/>
          <w:color w:val="auto"/>
          <w:kern w:val="0"/>
          <w:sz w:val="28"/>
          <w:szCs w:val="28"/>
        </w:rPr>
        <w:t>面污水处理厂，经处理达标后排入</w:t>
      </w:r>
      <w:r>
        <w:rPr>
          <w:rFonts w:ascii="宋体" w:eastAsia="宋体" w:cs="宋体" w:hAnsi="宋体" w:hint="eastAsia"/>
          <w:color w:val="auto"/>
          <w:kern w:val="0"/>
          <w:sz w:val="28"/>
          <w:szCs w:val="28"/>
          <w:lang w:eastAsia="zh-CN"/>
        </w:rPr>
        <w:t>大直</w:t>
      </w:r>
      <w:r>
        <w:rPr>
          <w:rFonts w:ascii="宋体" w:eastAsia="宋体" w:cs="宋体" w:hAnsi="宋体" w:hint="eastAsia"/>
          <w:color w:val="auto"/>
          <w:kern w:val="0"/>
          <w:sz w:val="28"/>
          <w:szCs w:val="28"/>
        </w:rPr>
        <w:t>江下游。</w:t>
      </w:r>
    </w:p>
    <w:p>
      <w:pPr>
        <w:pStyle w:val="1"/>
        <w:numPr>
          <w:ilvl w:val="0"/>
          <w:numId w:val="0"/>
        </w:numPr>
        <w:autoSpaceDE w:val="0"/>
        <w:autoSpaceDN w:val="0"/>
        <w:spacing w:before="260" w:line="360" w:lineRule="auto"/>
        <w:ind w:left="420" w:right="351"/>
        <w:rPr>
          <w:rFonts w:ascii="宋体" w:eastAsia="宋体" w:cs="宋体" w:hAnsi="宋体" w:hint="eastAsia"/>
          <w:b/>
          <w:bCs/>
          <w:color w:val="auto"/>
          <w:sz w:val="32"/>
          <w:szCs w:val="32"/>
        </w:rPr>
      </w:pPr>
      <w:bookmarkStart w:id="39" w:name="_Toc23440"/>
      <w:r>
        <w:rPr>
          <w:rFonts w:ascii="宋体" w:eastAsia="宋体" w:cs="宋体" w:hAnsi="宋体" w:hint="eastAsia"/>
          <w:bCs/>
          <w:color w:val="auto"/>
          <w:sz w:val="32"/>
          <w:szCs w:val="32"/>
          <w:lang w:val="en-US" w:eastAsia="zh-CN"/>
        </w:rPr>
        <w:t xml:space="preserve">5.3 </w:t>
      </w:r>
      <w:r>
        <w:rPr>
          <w:rFonts w:ascii="宋体" w:eastAsia="宋体" w:cs="宋体" w:hAnsi="宋体" w:hint="eastAsia"/>
          <w:bCs/>
          <w:color w:val="auto"/>
          <w:sz w:val="32"/>
          <w:szCs w:val="32"/>
        </w:rPr>
        <w:t>电力工程规划</w:t>
      </w:r>
      <w:bookmarkEnd w:id="39"/>
    </w:p>
    <w:p>
      <w:pPr>
        <w:pStyle w:val="17"/>
        <w:autoSpaceDE w:val="0"/>
        <w:autoSpaceDN w:val="0"/>
        <w:spacing w:before="4" w:line="420" w:lineRule="auto"/>
        <w:ind w:left="118" w:right="351" w:firstLine="479"/>
        <w:rPr>
          <w:rFonts w:ascii="宋体" w:eastAsia="宋体" w:cs="宋体" w:hAnsi="宋体" w:hint="eastAsia"/>
          <w:color w:val="auto"/>
          <w:kern w:val="0"/>
          <w:sz w:val="28"/>
          <w:szCs w:val="28"/>
          <w:lang w:eastAsia="zh-CN"/>
        </w:rPr>
      </w:pPr>
      <w:r>
        <w:rPr>
          <w:rFonts w:hint="eastAsia"/>
          <w:b/>
          <w:bCs/>
          <w:color w:val="auto"/>
          <w:sz w:val="28"/>
          <w:szCs w:val="28"/>
          <w:lang w:val="en-US" w:eastAsia="zh-CN"/>
        </w:rPr>
        <w:t xml:space="preserve">5.3.1 </w:t>
      </w:r>
      <w:r>
        <w:rPr>
          <w:rFonts w:hint="eastAsia"/>
          <w:b/>
          <w:bCs/>
          <w:color w:val="auto"/>
          <w:sz w:val="28"/>
          <w:szCs w:val="28"/>
        </w:rPr>
        <w:t>规划依据</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《城市电力规划规范》( GB50293-2014)</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《城市电力网规划设计导则》（Q/GDW156-2006）</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《通用用电设备配电设计规范》GB 50055-2011；</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《综合布线系统工程设计规范》GB 50311-2016；</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《供配电系统设计规范》GB50052-2009</w:t>
      </w:r>
      <w:r>
        <w:rPr>
          <w:rFonts w:ascii="宋体" w:eastAsia="宋体" w:cs="宋体" w:hAnsi="宋体" w:hint="eastAsia"/>
          <w:color w:val="auto"/>
          <w:kern w:val="0"/>
          <w:sz w:val="28"/>
          <w:szCs w:val="28"/>
          <w:lang w:eastAsia="zh-CN"/>
        </w:rPr>
        <w:t>；</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）其它有关国家及地方的现行规程、规范及标准</w:t>
      </w:r>
      <w:r>
        <w:rPr>
          <w:rFonts w:ascii="宋体" w:eastAsia="宋体" w:cs="宋体" w:hAnsi="宋体" w:hint="eastAsia"/>
          <w:color w:val="auto"/>
          <w:kern w:val="0"/>
          <w:sz w:val="28"/>
          <w:szCs w:val="28"/>
          <w:lang w:eastAsia="zh-CN"/>
        </w:rPr>
        <w:t>。</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5.3.2 </w:t>
      </w:r>
      <w:r>
        <w:rPr>
          <w:rFonts w:hint="eastAsia"/>
          <w:b/>
          <w:bCs/>
          <w:color w:val="auto"/>
          <w:sz w:val="28"/>
          <w:szCs w:val="28"/>
        </w:rPr>
        <w:t>用电负荷预测</w:t>
      </w:r>
    </w:p>
    <w:p>
      <w:pPr>
        <w:widowControl/>
        <w:autoSpaceDE w:val="0"/>
        <w:autoSpaceDN w:val="0"/>
        <w:spacing w:before="4" w:line="360" w:lineRule="auto"/>
        <w:ind w:leftChars="200" w:left="420" w:right="351" w:firstLineChars="200" w:firstLine="560"/>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本规划范围内的用电以商业用电为主。电力负荷的预测依据《城市电力规划规范》(GB50293-2014)，采用单位建设用地负荷指标法预测用电</w:t>
      </w:r>
      <w:r>
        <w:rPr>
          <w:rFonts w:ascii="宋体" w:eastAsia="宋体" w:cs="宋体" w:hAnsi="宋体" w:hint="eastAsia"/>
          <w:color w:val="auto"/>
          <w:kern w:val="0"/>
          <w:sz w:val="28"/>
          <w:szCs w:val="28"/>
        </w:rPr>
        <w:t>，其中商业</w:t>
      </w:r>
      <w:r>
        <w:rPr>
          <w:rFonts w:ascii="宋体" w:eastAsia="宋体" w:cs="宋体" w:hAnsi="宋体" w:hint="eastAsia"/>
          <w:color w:val="auto"/>
          <w:kern w:val="0"/>
          <w:sz w:val="28"/>
          <w:szCs w:val="28"/>
          <w:lang w:eastAsia="zh-CN"/>
        </w:rPr>
        <w:t>服务业设施</w:t>
      </w:r>
      <w:r>
        <w:rPr>
          <w:rFonts w:ascii="宋体" w:eastAsia="宋体" w:cs="宋体" w:hAnsi="宋体" w:hint="eastAsia"/>
          <w:color w:val="auto"/>
          <w:kern w:val="0"/>
          <w:sz w:val="28"/>
          <w:szCs w:val="28"/>
        </w:rPr>
        <w:t>用地</w:t>
      </w:r>
      <w:r>
        <w:rPr>
          <w:rFonts w:ascii="宋体" w:eastAsia="宋体" w:cs="宋体" w:hAnsi="宋体" w:hint="eastAsia"/>
          <w:color w:val="auto"/>
          <w:kern w:val="0"/>
          <w:sz w:val="28"/>
          <w:szCs w:val="28"/>
          <w:lang w:eastAsia="zh-CN"/>
        </w:rPr>
        <w:t>用电负荷</w:t>
      </w:r>
      <w:r>
        <w:rPr>
          <w:rFonts w:ascii="宋体" w:eastAsia="宋体" w:cs="宋体" w:hAnsi="宋体" w:hint="eastAsia"/>
          <w:color w:val="auto"/>
          <w:kern w:val="0"/>
          <w:sz w:val="28"/>
          <w:szCs w:val="28"/>
        </w:rPr>
        <w:t>指标</w:t>
      </w:r>
      <w:r>
        <w:rPr>
          <w:rFonts w:ascii="宋体" w:eastAsia="宋体" w:cs="宋体" w:hAnsi="宋体" w:hint="eastAsia"/>
          <w:color w:val="auto"/>
          <w:kern w:val="0"/>
          <w:sz w:val="28"/>
          <w:szCs w:val="28"/>
          <w:lang w:val="en-US" w:eastAsia="zh-CN"/>
        </w:rPr>
        <w:t>40</w:t>
      </w:r>
      <w:r>
        <w:rPr>
          <w:rFonts w:ascii="宋体" w:eastAsia="宋体" w:cs="宋体" w:hAnsi="宋体" w:hint="eastAsia"/>
          <w:color w:val="auto"/>
          <w:kern w:val="0"/>
          <w:sz w:val="28"/>
          <w:szCs w:val="28"/>
        </w:rPr>
        <w:t>0～</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200kW/hm</w:t>
      </w:r>
      <w:r>
        <w:rPr>
          <w:rFonts w:ascii="宋体" w:eastAsia="宋体" w:cs="宋体" w:hAnsi="宋体" w:hint="eastAsia"/>
          <w:color w:val="auto"/>
          <w:kern w:val="0"/>
          <w:sz w:val="28"/>
          <w:szCs w:val="28"/>
          <w:vertAlign w:val="superscript"/>
        </w:rPr>
        <w:t>2</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根据用地单位的规划功能分区，</w:t>
      </w:r>
      <w:r>
        <w:rPr>
          <w:rFonts w:ascii="宋体" w:eastAsia="宋体" w:cs="宋体" w:hAnsi="宋体" w:hint="eastAsia"/>
          <w:color w:val="auto"/>
          <w:kern w:val="0"/>
          <w:sz w:val="28"/>
          <w:szCs w:val="28"/>
        </w:rPr>
        <w:t>用</w:t>
      </w:r>
      <w:r>
        <w:rPr>
          <w:rFonts w:ascii="宋体" w:eastAsia="宋体" w:cs="宋体" w:hAnsi="宋体" w:hint="eastAsia"/>
          <w:color w:val="auto"/>
          <w:kern w:val="0"/>
          <w:sz w:val="28"/>
          <w:szCs w:val="28"/>
          <w:lang w:eastAsia="zh-CN"/>
        </w:rPr>
        <w:t>电负荷指标按</w:t>
      </w:r>
      <w:r>
        <w:rPr>
          <w:rFonts w:ascii="宋体" w:eastAsia="宋体" w:cs="宋体" w:hAnsi="宋体" w:hint="eastAsia"/>
          <w:color w:val="auto"/>
          <w:kern w:val="0"/>
          <w:sz w:val="28"/>
          <w:szCs w:val="28"/>
          <w:lang w:val="en-US" w:eastAsia="zh-CN"/>
        </w:rPr>
        <w:t>800</w:t>
      </w:r>
      <w:r>
        <w:rPr>
          <w:rFonts w:ascii="宋体" w:eastAsia="宋体" w:cs="宋体" w:hAnsi="宋体" w:hint="eastAsia"/>
          <w:color w:val="auto"/>
          <w:kern w:val="0"/>
          <w:sz w:val="28"/>
          <w:szCs w:val="28"/>
        </w:rPr>
        <w:t>kW/hm²标准取值，</w:t>
      </w:r>
      <w:r>
        <w:rPr>
          <w:rFonts w:ascii="宋体" w:eastAsia="宋体" w:cs="宋体" w:hAnsi="宋体" w:hint="eastAsia"/>
          <w:color w:val="auto"/>
          <w:kern w:val="0"/>
          <w:sz w:val="28"/>
          <w:szCs w:val="28"/>
          <w:lang w:eastAsia="zh-CN"/>
        </w:rPr>
        <w:t>计得</w:t>
      </w:r>
      <w:r>
        <w:rPr>
          <w:rFonts w:ascii="宋体" w:eastAsia="宋体" w:cs="宋体" w:hAnsi="宋体" w:hint="eastAsia"/>
          <w:color w:val="auto"/>
          <w:kern w:val="0"/>
          <w:sz w:val="28"/>
          <w:szCs w:val="28"/>
        </w:rPr>
        <w:t>规划</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rPr>
        <w:t>最大用电负荷约为</w:t>
      </w:r>
      <w:r>
        <w:rPr>
          <w:rFonts w:ascii="宋体" w:eastAsia="宋体" w:cs="宋体" w:hAnsi="宋体" w:hint="eastAsia"/>
          <w:color w:val="auto"/>
          <w:kern w:val="0"/>
          <w:sz w:val="28"/>
          <w:szCs w:val="28"/>
          <w:lang w:val="en-US" w:eastAsia="zh-CN"/>
        </w:rPr>
        <w:t>264</w:t>
      </w:r>
      <w:r>
        <w:rPr>
          <w:rFonts w:ascii="宋体" w:eastAsia="宋体" w:cs="宋体" w:hAnsi="宋体" w:hint="eastAsia"/>
          <w:color w:val="auto"/>
          <w:kern w:val="0"/>
          <w:sz w:val="28"/>
          <w:szCs w:val="28"/>
        </w:rPr>
        <w:t>kW</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负荷同时率取为0.7，则</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rPr>
        <w:t>电力负荷约为</w:t>
      </w:r>
      <w:r>
        <w:rPr>
          <w:rFonts w:ascii="宋体" w:eastAsia="宋体" w:cs="宋体" w:hAnsi="宋体" w:hint="eastAsia"/>
          <w:color w:val="auto"/>
          <w:kern w:val="0"/>
          <w:sz w:val="28"/>
          <w:szCs w:val="28"/>
          <w:lang w:val="en-US" w:eastAsia="zh-CN"/>
        </w:rPr>
        <w:t>185</w:t>
      </w:r>
      <w:r>
        <w:rPr>
          <w:rFonts w:ascii="宋体" w:eastAsia="宋体" w:cs="宋体" w:hAnsi="宋体" w:hint="eastAsia"/>
          <w:color w:val="auto"/>
          <w:kern w:val="0"/>
          <w:sz w:val="28"/>
          <w:szCs w:val="28"/>
        </w:rPr>
        <w:t>kW。</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5.3.3</w:t>
      </w:r>
      <w:r>
        <w:rPr>
          <w:rFonts w:hint="eastAsia"/>
          <w:b/>
          <w:bCs/>
          <w:color w:val="auto"/>
          <w:sz w:val="28"/>
          <w:szCs w:val="28"/>
        </w:rPr>
        <w:t>电源规划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本规划地块用电电源从镇区东部110KV大直变电站引入，电压等级为10kV。</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5.3.4 供</w:t>
      </w:r>
      <w:r>
        <w:rPr>
          <w:rFonts w:hint="eastAsia"/>
          <w:b/>
          <w:bCs/>
          <w:color w:val="auto"/>
          <w:sz w:val="28"/>
          <w:szCs w:val="28"/>
        </w:rPr>
        <w:t>电线路规划</w:t>
      </w:r>
    </w:p>
    <w:p>
      <w:pPr>
        <w:widowControl/>
        <w:spacing w:before="4" w:line="360" w:lineRule="auto"/>
        <w:ind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根据大直镇总规电力工程规划，规划</w:t>
      </w:r>
      <w:r>
        <w:rPr>
          <w:rFonts w:ascii="宋体" w:eastAsia="宋体" w:cs="宋体" w:hAnsi="宋体" w:hint="eastAsia"/>
          <w:color w:val="auto"/>
          <w:kern w:val="0"/>
          <w:sz w:val="28"/>
          <w:szCs w:val="28"/>
        </w:rPr>
        <w:t>配电线路</w:t>
      </w:r>
      <w:r>
        <w:rPr>
          <w:rFonts w:ascii="宋体" w:eastAsia="宋体" w:cs="宋体" w:hAnsi="宋体" w:hint="eastAsia"/>
          <w:color w:val="auto"/>
          <w:kern w:val="0"/>
          <w:sz w:val="28"/>
          <w:szCs w:val="28"/>
          <w:lang w:eastAsia="zh-CN"/>
        </w:rPr>
        <w:t>沿</w:t>
      </w:r>
      <w:r>
        <w:rPr>
          <w:rFonts w:ascii="宋体" w:eastAsia="宋体" w:cs="宋体" w:hAnsi="宋体" w:hint="eastAsia"/>
          <w:color w:val="auto"/>
          <w:kern w:val="0"/>
          <w:sz w:val="28"/>
          <w:szCs w:val="28"/>
          <w:lang w:val="en-US" w:eastAsia="zh-CN"/>
        </w:rPr>
        <w:t>G210国道敷设</w:t>
      </w:r>
      <w:r>
        <w:rPr>
          <w:rFonts w:ascii="宋体" w:eastAsia="宋体" w:cs="宋体" w:hAnsi="宋体" w:hint="eastAsia"/>
          <w:color w:val="auto"/>
          <w:kern w:val="0"/>
          <w:sz w:val="28"/>
          <w:szCs w:val="28"/>
        </w:rPr>
        <w:t>10KV</w:t>
      </w:r>
      <w:r>
        <w:rPr>
          <w:rFonts w:ascii="宋体" w:eastAsia="宋体" w:cs="宋体" w:hAnsi="宋体" w:hint="eastAsia"/>
          <w:color w:val="auto"/>
          <w:kern w:val="0"/>
          <w:sz w:val="28"/>
          <w:szCs w:val="28"/>
          <w:lang w:eastAsia="zh-CN"/>
        </w:rPr>
        <w:t>电力</w:t>
      </w:r>
      <w:r>
        <w:rPr>
          <w:rFonts w:ascii="宋体" w:eastAsia="宋体" w:cs="宋体" w:hAnsi="宋体" w:hint="eastAsia"/>
          <w:color w:val="auto"/>
          <w:kern w:val="0"/>
          <w:sz w:val="28"/>
          <w:szCs w:val="28"/>
        </w:rPr>
        <w:t>电缆，</w:t>
      </w:r>
      <w:r>
        <w:rPr>
          <w:rFonts w:ascii="宋体" w:eastAsia="宋体" w:cs="宋体" w:hAnsi="宋体" w:hint="eastAsia"/>
          <w:color w:val="auto"/>
          <w:kern w:val="0"/>
          <w:sz w:val="28"/>
          <w:szCs w:val="28"/>
          <w:lang w:eastAsia="zh-CN"/>
        </w:rPr>
        <w:t>接入位于地块东北角的箱式变压器，电压等级为10KV/380V/220V，变压器与站内汽油（柴油）工艺设备的距离为</w:t>
      </w:r>
      <w:r>
        <w:rPr>
          <w:rFonts w:ascii="宋体" w:eastAsia="宋体" w:cs="宋体" w:hAnsi="宋体" w:hint="eastAsia"/>
          <w:color w:val="auto"/>
          <w:kern w:val="0"/>
          <w:sz w:val="28"/>
          <w:szCs w:val="28"/>
          <w:lang w:val="en-US" w:eastAsia="zh-CN"/>
        </w:rPr>
        <w:t>13米；在变压器北侧预留一台720kW一拖12充电主机，并沿北面围墙预留12个新能源充电车位，充电主机与充电桩距加油区工艺设备的最近距离约17米；以上电力设备与加油区的工艺设备的安全防护间距均满足《汽车加油加气加氢站技术标准》（GB50156-2021）表4.0.4的要求</w:t>
      </w:r>
      <w:r>
        <w:rPr>
          <w:rFonts w:ascii="宋体" w:eastAsia="宋体" w:cs="宋体" w:hAnsi="宋体" w:hint="eastAsia"/>
          <w:color w:val="auto"/>
          <w:kern w:val="0"/>
          <w:sz w:val="28"/>
          <w:szCs w:val="28"/>
          <w:lang w:eastAsia="zh-CN"/>
        </w:rPr>
        <w:t>。</w:t>
      </w:r>
    </w:p>
    <w:p>
      <w:pPr>
        <w:widowControl/>
        <w:spacing w:before="4" w:line="360" w:lineRule="auto"/>
        <w:ind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本规划加油站的电缆采用电缆穿管敷设。电缆穿越行车道部分穿钢管保护。</w:t>
      </w:r>
    </w:p>
    <w:p>
      <w:pPr>
        <w:widowControl/>
        <w:spacing w:before="4" w:line="360" w:lineRule="auto"/>
        <w:ind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 xml:space="preserve"> 爆炸危险区域内的电气设备选型、安装、电力线路敷设应符合现行国家标准《爆炸危险环境电力装置设计规范》GB 50058的有关规定</w:t>
      </w:r>
      <w:r>
        <w:rPr>
          <w:rFonts w:ascii="宋体" w:eastAsia="宋体" w:cs="宋体" w:hAnsi="宋体" w:hint="eastAsia"/>
          <w:color w:val="auto"/>
          <w:kern w:val="0"/>
          <w:sz w:val="28"/>
          <w:szCs w:val="28"/>
          <w:lang w:eastAsia="zh-CN"/>
        </w:rPr>
        <w:t>。</w:t>
      </w:r>
    </w:p>
    <w:p>
      <w:pPr>
        <w:widowControl/>
        <w:spacing w:before="4" w:line="360" w:lineRule="auto"/>
        <w:ind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加油站的防雷接地、防静电接地、电气设备的工作接地、保护接地及信息系统的接地等宜共用接地装置,接地电阻不应大于4Ω。</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0" w:name="_Toc21438"/>
      <w:r>
        <w:rPr>
          <w:rFonts w:ascii="宋体" w:eastAsia="宋体" w:cs="宋体" w:hAnsi="宋体" w:hint="eastAsia"/>
          <w:bCs/>
          <w:color w:val="auto"/>
          <w:sz w:val="32"/>
          <w:szCs w:val="32"/>
          <w:lang w:val="en-US" w:eastAsia="zh-CN"/>
        </w:rPr>
        <w:t>5.4通信工程规划</w:t>
      </w:r>
      <w:bookmarkEnd w:id="40"/>
    </w:p>
    <w:p>
      <w:pPr>
        <w:pStyle w:val="17"/>
        <w:autoSpaceDE w:val="0"/>
        <w:autoSpaceDN w:val="0"/>
        <w:spacing w:before="4" w:line="420" w:lineRule="auto"/>
        <w:ind w:left="118" w:right="351" w:firstLine="479"/>
        <w:rPr>
          <w:rFonts w:cs="宋体" w:hint="eastAsia"/>
          <w:color w:val="auto"/>
          <w:kern w:val="0"/>
          <w:sz w:val="28"/>
          <w:szCs w:val="28"/>
          <w:lang w:eastAsia="zh-CN"/>
        </w:rPr>
      </w:pPr>
      <w:r>
        <w:rPr>
          <w:rFonts w:hint="eastAsia"/>
          <w:b/>
          <w:bCs/>
          <w:color w:val="auto"/>
          <w:sz w:val="28"/>
          <w:szCs w:val="28"/>
          <w:lang w:val="en-US" w:eastAsia="zh-CN"/>
        </w:rPr>
        <w:t>5.4.1 通信规划内容</w:t>
      </w:r>
    </w:p>
    <w:p>
      <w:pPr>
        <w:pStyle w:val="17"/>
        <w:autoSpaceDE w:val="0"/>
        <w:autoSpaceDN w:val="0"/>
        <w:spacing w:before="4" w:line="420" w:lineRule="auto"/>
        <w:ind w:left="118" w:right="351" w:firstLine="479"/>
        <w:rPr>
          <w:rFonts w:hint="eastAsia"/>
          <w:color w:val="auto"/>
          <w:lang w:val="en-US" w:eastAsia="zh-CN"/>
        </w:rPr>
      </w:pPr>
      <w:r>
        <w:rPr>
          <w:rFonts w:cs="宋体" w:hint="eastAsia"/>
          <w:color w:val="auto"/>
          <w:kern w:val="0"/>
          <w:sz w:val="28"/>
          <w:szCs w:val="28"/>
          <w:lang w:eastAsia="zh-CN"/>
        </w:rPr>
        <w:t>为规划地块提供高速光纤以及宽带接入，同时集监控系统、通讯等为一体的综合信息网络。</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5.4.2 </w:t>
      </w:r>
      <w:r>
        <w:rPr>
          <w:rFonts w:hint="eastAsia"/>
          <w:b/>
          <w:bCs/>
          <w:color w:val="auto"/>
          <w:sz w:val="28"/>
          <w:szCs w:val="28"/>
        </w:rPr>
        <w:t>固话容量预测</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规划的加油站</w:t>
      </w:r>
      <w:r>
        <w:rPr>
          <w:rFonts w:ascii="宋体" w:eastAsia="宋体" w:cs="宋体" w:hAnsi="宋体" w:hint="eastAsia"/>
          <w:color w:val="auto"/>
          <w:kern w:val="0"/>
          <w:sz w:val="28"/>
          <w:szCs w:val="28"/>
        </w:rPr>
        <w:t>地块为公用设施营业网点用地，用地面积为3</w:t>
      </w:r>
      <w:r>
        <w:rPr>
          <w:rFonts w:ascii="宋体" w:eastAsia="宋体" w:cs="宋体" w:hAnsi="宋体" w:hint="eastAsia"/>
          <w:color w:val="auto"/>
          <w:kern w:val="0"/>
          <w:sz w:val="28"/>
          <w:szCs w:val="28"/>
          <w:lang w:val="en-US" w:eastAsia="zh-CN"/>
        </w:rPr>
        <w:t>300.08</w:t>
      </w:r>
      <w:r>
        <w:rPr>
          <w:rFonts w:ascii="宋体" w:eastAsia="宋体" w:cs="宋体" w:hAnsi="宋体" w:hint="eastAsia"/>
          <w:color w:val="auto"/>
          <w:kern w:val="0"/>
          <w:sz w:val="28"/>
          <w:szCs w:val="28"/>
        </w:rPr>
        <w:t>平方米</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0.33公顷</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安装固话的建筑主要为站房营业厅和办公室，建筑面积约为</w:t>
      </w:r>
      <w:r>
        <w:rPr>
          <w:rFonts w:ascii="宋体" w:eastAsia="宋体" w:cs="宋体" w:hAnsi="宋体" w:hint="eastAsia"/>
          <w:color w:val="auto"/>
          <w:kern w:val="0"/>
          <w:sz w:val="28"/>
          <w:szCs w:val="28"/>
          <w:lang w:val="en-US" w:eastAsia="zh-CN"/>
        </w:rPr>
        <w:t>150㎡，建筑</w:t>
      </w:r>
      <w:r>
        <w:rPr>
          <w:rFonts w:ascii="宋体" w:eastAsia="宋体" w:cs="宋体" w:hAnsi="宋体" w:hint="eastAsia"/>
          <w:color w:val="auto"/>
          <w:kern w:val="0"/>
          <w:sz w:val="28"/>
          <w:szCs w:val="28"/>
          <w:lang w:eastAsia="zh-CN"/>
        </w:rPr>
        <w:t>占比较小，</w:t>
      </w:r>
      <w:r>
        <w:rPr>
          <w:rFonts w:ascii="宋体" w:eastAsia="宋体" w:cs="宋体" w:hAnsi="宋体" w:hint="eastAsia"/>
          <w:color w:val="auto"/>
          <w:kern w:val="0"/>
          <w:sz w:val="28"/>
          <w:szCs w:val="28"/>
        </w:rPr>
        <w:t>根据《钦州市城市规划技术标准与准则》（2015年版），固定通信用户预测采用单位建筑面积固定通信用户密度法取值</w:t>
      </w:r>
      <w:r>
        <w:rPr>
          <w:rFonts w:ascii="宋体" w:eastAsia="宋体" w:cs="宋体" w:hAnsi="宋体" w:hint="eastAsia"/>
          <w:color w:val="auto"/>
          <w:kern w:val="0"/>
          <w:sz w:val="28"/>
          <w:szCs w:val="28"/>
          <w:lang w:val="en-US" w:eastAsia="zh-CN"/>
        </w:rPr>
        <w:t>1.4</w:t>
      </w:r>
      <w:r>
        <w:rPr>
          <w:rFonts w:ascii="宋体" w:eastAsia="宋体" w:cs="宋体" w:hAnsi="宋体" w:hint="eastAsia"/>
          <w:color w:val="auto"/>
          <w:kern w:val="0"/>
          <w:sz w:val="28"/>
          <w:szCs w:val="28"/>
        </w:rPr>
        <w:t>线/</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进行计算，则计得</w:t>
      </w:r>
      <w:r>
        <w:rPr>
          <w:rFonts w:ascii="宋体" w:eastAsia="宋体" w:cs="宋体" w:hAnsi="宋体" w:hint="eastAsia"/>
          <w:color w:val="auto"/>
          <w:kern w:val="0"/>
          <w:sz w:val="28"/>
          <w:szCs w:val="28"/>
          <w:lang w:eastAsia="zh-CN"/>
        </w:rPr>
        <w:t>加油站</w:t>
      </w:r>
      <w:r>
        <w:rPr>
          <w:rFonts w:ascii="宋体" w:eastAsia="宋体" w:cs="宋体" w:hAnsi="宋体" w:hint="eastAsia"/>
          <w:color w:val="auto"/>
          <w:kern w:val="0"/>
          <w:sz w:val="28"/>
          <w:szCs w:val="28"/>
        </w:rPr>
        <w:t>固话容量约</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门。</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5.4.3 </w:t>
      </w:r>
      <w:r>
        <w:rPr>
          <w:rFonts w:hint="eastAsia"/>
          <w:b/>
          <w:bCs/>
          <w:color w:val="auto"/>
          <w:sz w:val="28"/>
          <w:szCs w:val="28"/>
          <w:lang w:eastAsia="zh-CN"/>
        </w:rPr>
        <w:t>通</w:t>
      </w:r>
      <w:r>
        <w:rPr>
          <w:rFonts w:hint="eastAsia"/>
          <w:b/>
          <w:bCs/>
          <w:color w:val="auto"/>
          <w:sz w:val="28"/>
          <w:szCs w:val="28"/>
        </w:rPr>
        <w:t>信</w:t>
      </w:r>
      <w:r>
        <w:rPr>
          <w:rFonts w:hint="eastAsia"/>
          <w:b/>
          <w:bCs/>
          <w:color w:val="auto"/>
          <w:sz w:val="28"/>
          <w:szCs w:val="28"/>
          <w:lang w:eastAsia="zh-CN"/>
        </w:rPr>
        <w:t>线路</w:t>
      </w:r>
      <w:r>
        <w:rPr>
          <w:rFonts w:hint="eastAsia"/>
          <w:b/>
          <w:bCs/>
          <w:color w:val="auto"/>
          <w:sz w:val="28"/>
          <w:szCs w:val="28"/>
        </w:rPr>
        <w:t>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根据镇总体规划，从</w:t>
      </w:r>
      <w:r>
        <w:rPr>
          <w:rFonts w:ascii="宋体" w:eastAsia="宋体" w:cs="宋体" w:hAnsi="宋体" w:hint="eastAsia"/>
          <w:color w:val="auto"/>
          <w:kern w:val="0"/>
          <w:sz w:val="28"/>
          <w:szCs w:val="28"/>
          <w:lang w:val="en-US" w:eastAsia="zh-CN"/>
        </w:rPr>
        <w:t>G210国道</w:t>
      </w:r>
      <w:r>
        <w:rPr>
          <w:rFonts w:ascii="宋体" w:eastAsia="宋体" w:cs="宋体" w:hAnsi="宋体" w:hint="eastAsia"/>
          <w:color w:val="auto"/>
          <w:kern w:val="0"/>
          <w:sz w:val="28"/>
          <w:szCs w:val="28"/>
        </w:rPr>
        <w:t>引入通信</w:t>
      </w:r>
      <w:r>
        <w:rPr>
          <w:rFonts w:ascii="宋体" w:eastAsia="宋体" w:cs="宋体" w:hAnsi="宋体" w:hint="eastAsia"/>
          <w:color w:val="auto"/>
          <w:kern w:val="0"/>
          <w:sz w:val="28"/>
          <w:szCs w:val="28"/>
          <w:lang w:eastAsia="zh-CN"/>
        </w:rPr>
        <w:t>光</w:t>
      </w:r>
      <w:r>
        <w:rPr>
          <w:rFonts w:ascii="宋体" w:eastAsia="宋体" w:cs="宋体" w:hAnsi="宋体" w:hint="eastAsia"/>
          <w:color w:val="auto"/>
          <w:kern w:val="0"/>
          <w:sz w:val="28"/>
          <w:szCs w:val="28"/>
        </w:rPr>
        <w:t>缆。</w:t>
      </w:r>
      <w:r>
        <w:rPr>
          <w:rFonts w:ascii="宋体" w:eastAsia="宋体" w:cs="宋体" w:hAnsi="宋体" w:hint="eastAsia"/>
          <w:color w:val="auto"/>
          <w:kern w:val="0"/>
          <w:sz w:val="28"/>
          <w:szCs w:val="28"/>
          <w:lang w:eastAsia="zh-CN"/>
        </w:rPr>
        <w:t>通信</w:t>
      </w:r>
      <w:r>
        <w:rPr>
          <w:rFonts w:ascii="宋体" w:eastAsia="宋体" w:cs="宋体" w:hAnsi="宋体" w:hint="eastAsia"/>
          <w:color w:val="auto"/>
          <w:kern w:val="0"/>
          <w:sz w:val="28"/>
          <w:szCs w:val="28"/>
        </w:rPr>
        <w:t>线路采用</w:t>
      </w:r>
      <w:r>
        <w:rPr>
          <w:rFonts w:ascii="宋体" w:eastAsia="宋体" w:cs="宋体" w:hAnsi="宋体" w:hint="eastAsia"/>
          <w:color w:val="auto"/>
          <w:kern w:val="0"/>
          <w:sz w:val="28"/>
          <w:szCs w:val="28"/>
          <w:lang w:eastAsia="zh-CN"/>
        </w:rPr>
        <w:t>穿</w:t>
      </w:r>
      <w:r>
        <w:rPr>
          <w:rFonts w:ascii="宋体" w:eastAsia="宋体" w:cs="宋体" w:hAnsi="宋体" w:hint="eastAsia"/>
          <w:color w:val="auto"/>
          <w:kern w:val="0"/>
          <w:sz w:val="28"/>
          <w:szCs w:val="28"/>
        </w:rPr>
        <w:t>管敷设，管群埋深不得小于0.7米，排管布置</w:t>
      </w:r>
      <w:r>
        <w:rPr>
          <w:rFonts w:ascii="宋体" w:eastAsia="宋体" w:cs="宋体" w:hAnsi="宋体" w:hint="eastAsia"/>
          <w:color w:val="auto"/>
          <w:kern w:val="0"/>
          <w:sz w:val="28"/>
          <w:szCs w:val="28"/>
          <w:lang w:eastAsia="zh-CN"/>
        </w:rPr>
        <w:t>避免穿越爆炸危险区域，并采取有效的防雷和电涌保护措施。</w:t>
      </w:r>
    </w:p>
    <w:p>
      <w:pPr>
        <w:widowControl/>
        <w:spacing w:before="4" w:line="360" w:lineRule="auto"/>
        <w:ind w:leftChars="200" w:left="420" w:right="351" w:firstLineChars="200" w:firstLine="560"/>
        <w:jc w:val="left"/>
        <w:rPr>
          <w:rFonts w:eastAsia="宋体" w:hint="eastAsia"/>
          <w:color w:val="auto"/>
          <w:lang w:eastAsia="zh-CN"/>
        </w:rPr>
      </w:pPr>
      <w:r>
        <w:rPr>
          <w:rFonts w:ascii="宋体" w:eastAsia="宋体" w:cs="宋体" w:hAnsi="宋体" w:hint="eastAsia"/>
          <w:color w:val="auto"/>
          <w:kern w:val="0"/>
          <w:sz w:val="28"/>
          <w:szCs w:val="28"/>
          <w:lang w:eastAsia="zh-CN"/>
        </w:rPr>
        <w:t>在爆炸危险区域内使用的通信设备（如网络摄像头、电话、</w:t>
      </w:r>
      <w:r>
        <w:rPr>
          <w:rFonts w:ascii="宋体" w:eastAsia="宋体" w:cs="宋体" w:hAnsi="宋体" w:hint="eastAsia"/>
          <w:color w:val="auto"/>
          <w:kern w:val="0"/>
          <w:sz w:val="28"/>
          <w:szCs w:val="28"/>
          <w:lang w:val="en-US" w:eastAsia="zh-CN"/>
        </w:rPr>
        <w:t>AP</w:t>
      </w:r>
      <w:r>
        <w:rPr>
          <w:rFonts w:ascii="宋体" w:eastAsia="宋体" w:cs="宋体" w:hAnsi="宋体" w:hint="eastAsia"/>
          <w:color w:val="auto"/>
          <w:kern w:val="0"/>
          <w:sz w:val="28"/>
          <w:szCs w:val="28"/>
          <w:lang w:eastAsia="zh-CN"/>
        </w:rPr>
        <w:t>等）必须符合相应的防爆等级，并取得国家认可的防爆合格证</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通信设备的接地必须与建筑的防雷接地系统有效连接。</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1" w:name="_Toc17650"/>
      <w:r>
        <w:rPr>
          <w:rFonts w:ascii="宋体" w:eastAsia="宋体" w:cs="宋体" w:hAnsi="宋体" w:hint="eastAsia"/>
          <w:bCs/>
          <w:color w:val="auto"/>
          <w:sz w:val="32"/>
          <w:szCs w:val="32"/>
          <w:lang w:val="en-US" w:eastAsia="zh-CN"/>
        </w:rPr>
        <w:t>5.5环卫设施规划</w:t>
      </w:r>
      <w:bookmarkEnd w:id="41"/>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5.5.1 </w:t>
      </w:r>
      <w:r>
        <w:rPr>
          <w:rFonts w:hint="eastAsia"/>
          <w:b/>
          <w:bCs/>
          <w:color w:val="auto"/>
          <w:sz w:val="28"/>
          <w:szCs w:val="28"/>
          <w:lang w:eastAsia="zh-CN"/>
        </w:rPr>
        <w:t>垃圾产生量</w:t>
      </w:r>
      <w:r>
        <w:rPr>
          <w:rFonts w:hint="eastAsia"/>
          <w:b/>
          <w:bCs/>
          <w:color w:val="auto"/>
          <w:sz w:val="28"/>
          <w:szCs w:val="28"/>
        </w:rPr>
        <w:t>预测</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参照相关研究成果，商业</w:t>
      </w:r>
      <w:r>
        <w:rPr>
          <w:rFonts w:ascii="宋体" w:eastAsia="宋体" w:cs="宋体" w:hAnsi="宋体" w:hint="eastAsia"/>
          <w:color w:val="auto"/>
          <w:kern w:val="0"/>
          <w:sz w:val="28"/>
          <w:szCs w:val="28"/>
          <w:lang w:eastAsia="zh-CN"/>
        </w:rPr>
        <w:t>服务业设施用地</w:t>
      </w:r>
      <w:r>
        <w:rPr>
          <w:rFonts w:ascii="宋体" w:eastAsia="宋体" w:cs="宋体" w:hAnsi="宋体" w:hint="eastAsia"/>
          <w:color w:val="auto"/>
          <w:kern w:val="0"/>
          <w:sz w:val="28"/>
          <w:szCs w:val="28"/>
        </w:rPr>
        <w:t>垃圾产生量的计算需根据场所类型、面积、客流量等因素综合估算</w:t>
      </w:r>
      <w:r>
        <w:rPr>
          <w:rFonts w:ascii="宋体" w:eastAsia="宋体" w:cs="宋体" w:hAnsi="宋体" w:hint="eastAsia"/>
          <w:color w:val="auto"/>
          <w:kern w:val="0"/>
          <w:sz w:val="28"/>
          <w:szCs w:val="28"/>
          <w:lang w:eastAsia="zh-CN"/>
        </w:rPr>
        <w:t>。普通商店</w:t>
      </w:r>
      <w:r>
        <w:rPr>
          <w:rFonts w:ascii="宋体" w:eastAsia="宋体" w:cs="宋体" w:hAnsi="宋体" w:hint="eastAsia"/>
          <w:color w:val="auto"/>
          <w:kern w:val="0"/>
          <w:sz w:val="28"/>
          <w:szCs w:val="28"/>
        </w:rPr>
        <w:t>按营业面积计算，单位面积日均垃圾量约0.1～0.3千克/平方米</w:t>
      </w:r>
      <w:r>
        <w:rPr>
          <w:rFonts w:ascii="宋体" w:eastAsia="宋体" w:cs="宋体" w:hAnsi="宋体" w:hint="eastAsia"/>
          <w:color w:val="auto"/>
          <w:kern w:val="0"/>
          <w:sz w:val="28"/>
          <w:szCs w:val="28"/>
          <w:lang w:eastAsia="zh-CN"/>
        </w:rPr>
        <w:t>。</w:t>
      </w:r>
    </w:p>
    <w:p>
      <w:pPr>
        <w:widowControl/>
        <w:spacing w:before="4" w:line="360" w:lineRule="auto"/>
        <w:ind w:leftChars="200" w:left="420" w:right="351" w:firstLineChars="200" w:firstLine="560"/>
        <w:jc w:val="left"/>
        <w:rPr>
          <w:rFonts w:hint="eastAsia"/>
          <w:color w:val="auto"/>
        </w:rPr>
      </w:pPr>
      <w:r>
        <w:rPr>
          <w:rFonts w:ascii="宋体" w:eastAsia="宋体" w:cs="宋体" w:hAnsi="宋体" w:hint="eastAsia"/>
          <w:color w:val="auto"/>
          <w:kern w:val="0"/>
          <w:sz w:val="28"/>
          <w:szCs w:val="28"/>
          <w:lang w:eastAsia="zh-CN"/>
        </w:rPr>
        <w:t>本地块商业垃圾产生量主要为加油站的营业服务区，即站房建筑，建筑面积约</w:t>
      </w:r>
      <w:r>
        <w:rPr>
          <w:rFonts w:ascii="宋体" w:eastAsia="宋体" w:cs="宋体" w:hAnsi="宋体" w:hint="eastAsia"/>
          <w:color w:val="auto"/>
          <w:kern w:val="0"/>
          <w:sz w:val="28"/>
          <w:szCs w:val="28"/>
          <w:lang w:val="en-US" w:eastAsia="zh-CN"/>
        </w:rPr>
        <w:t>150平方米，则加油站日均商业垃圾量约15～45千克</w:t>
      </w:r>
      <w:r>
        <w:rPr>
          <w:rFonts w:ascii="宋体" w:eastAsia="宋体" w:cs="宋体" w:hAnsi="宋体" w:hint="eastAsia"/>
          <w:color w:val="auto"/>
          <w:kern w:val="0"/>
          <w:sz w:val="28"/>
          <w:szCs w:val="28"/>
        </w:rPr>
        <w:t>。</w:t>
      </w:r>
    </w:p>
    <w:p>
      <w:pPr>
        <w:pStyle w:val="17"/>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5.5.2 </w:t>
      </w:r>
      <w:r>
        <w:rPr>
          <w:rFonts w:hint="eastAsia"/>
          <w:b/>
          <w:bCs/>
          <w:color w:val="auto"/>
          <w:sz w:val="28"/>
          <w:szCs w:val="28"/>
          <w:lang w:eastAsia="zh-CN"/>
        </w:rPr>
        <w:t>垃圾转运系统</w:t>
      </w:r>
    </w:p>
    <w:p>
      <w:pPr>
        <w:widowControl/>
        <w:spacing w:before="4" w:line="360" w:lineRule="auto"/>
        <w:ind w:leftChars="200" w:left="420" w:right="351" w:firstLineChars="200" w:firstLine="560"/>
        <w:jc w:val="left"/>
        <w:rPr>
          <w:rFonts w:hint="eastAsia"/>
          <w:color w:val="auto"/>
        </w:rPr>
      </w:pPr>
      <w:r>
        <w:rPr>
          <w:rFonts w:ascii="宋体" w:eastAsia="宋体" w:cs="宋体" w:hAnsi="宋体" w:hint="eastAsia"/>
          <w:color w:val="auto"/>
          <w:kern w:val="0"/>
          <w:sz w:val="28"/>
          <w:szCs w:val="28"/>
        </w:rPr>
        <w:t>建立垃圾收集点--</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垃圾转运站--</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无害化垃圾处理场的收集处理体系。</w:t>
      </w:r>
      <w:r>
        <w:rPr>
          <w:rFonts w:ascii="宋体" w:eastAsia="宋体" w:cs="宋体" w:hAnsi="宋体" w:hint="eastAsia"/>
          <w:color w:val="auto"/>
          <w:kern w:val="0"/>
          <w:sz w:val="28"/>
          <w:szCs w:val="28"/>
          <w:lang w:eastAsia="zh-CN"/>
        </w:rPr>
        <w:t>规划在加油站地块内设置垃圾收集箱，由站内工作人员</w:t>
      </w:r>
      <w:r>
        <w:rPr>
          <w:rFonts w:ascii="宋体" w:eastAsia="宋体" w:cs="宋体" w:hAnsi="宋体" w:hint="eastAsia"/>
          <w:color w:val="auto"/>
          <w:kern w:val="0"/>
          <w:sz w:val="28"/>
          <w:szCs w:val="28"/>
        </w:rPr>
        <w:t>把</w:t>
      </w:r>
      <w:r>
        <w:rPr>
          <w:rFonts w:ascii="宋体" w:eastAsia="宋体" w:cs="宋体" w:hAnsi="宋体" w:hint="eastAsia"/>
          <w:color w:val="auto"/>
          <w:kern w:val="0"/>
          <w:sz w:val="28"/>
          <w:szCs w:val="28"/>
          <w:lang w:eastAsia="zh-CN"/>
        </w:rPr>
        <w:t>日常生活</w:t>
      </w:r>
      <w:r>
        <w:rPr>
          <w:rFonts w:ascii="宋体" w:eastAsia="宋体" w:cs="宋体" w:hAnsi="宋体" w:hint="eastAsia"/>
          <w:color w:val="auto"/>
          <w:kern w:val="0"/>
          <w:sz w:val="28"/>
          <w:szCs w:val="28"/>
        </w:rPr>
        <w:t>垃圾集中在垃圾收集</w:t>
      </w:r>
      <w:r>
        <w:rPr>
          <w:rFonts w:ascii="宋体" w:eastAsia="宋体" w:cs="宋体" w:hAnsi="宋体" w:hint="eastAsia"/>
          <w:color w:val="auto"/>
          <w:kern w:val="0"/>
          <w:sz w:val="28"/>
          <w:szCs w:val="28"/>
          <w:lang w:eastAsia="zh-CN"/>
        </w:rPr>
        <w:t>箱内</w:t>
      </w:r>
      <w:r>
        <w:rPr>
          <w:rFonts w:ascii="宋体" w:eastAsia="宋体" w:cs="宋体" w:hAnsi="宋体" w:hint="eastAsia"/>
          <w:color w:val="auto"/>
          <w:kern w:val="0"/>
          <w:sz w:val="28"/>
          <w:szCs w:val="28"/>
        </w:rPr>
        <w:t>，由环卫工人用人力车或者机动车统一收集后运至</w:t>
      </w:r>
      <w:r>
        <w:rPr>
          <w:rFonts w:ascii="宋体" w:eastAsia="宋体" w:cs="宋体" w:hAnsi="宋体" w:hint="eastAsia"/>
          <w:color w:val="auto"/>
          <w:kern w:val="0"/>
          <w:sz w:val="28"/>
          <w:szCs w:val="28"/>
          <w:lang w:eastAsia="zh-CN"/>
        </w:rPr>
        <w:t>地块北面</w:t>
      </w:r>
      <w:r>
        <w:rPr>
          <w:rFonts w:ascii="宋体" w:eastAsia="宋体" w:cs="宋体" w:hAnsi="宋体" w:hint="eastAsia"/>
          <w:color w:val="auto"/>
          <w:kern w:val="0"/>
          <w:sz w:val="28"/>
          <w:szCs w:val="28"/>
          <w:lang w:val="en-US" w:eastAsia="zh-CN"/>
        </w:rPr>
        <w:t>300米处的</w:t>
      </w:r>
      <w:r>
        <w:rPr>
          <w:rFonts w:ascii="宋体" w:eastAsia="宋体" w:cs="宋体" w:hAnsi="宋体" w:hint="eastAsia"/>
          <w:color w:val="auto"/>
          <w:kern w:val="0"/>
          <w:sz w:val="28"/>
          <w:szCs w:val="28"/>
          <w:lang w:eastAsia="zh-CN"/>
        </w:rPr>
        <w:t>大直镇</w:t>
      </w:r>
      <w:r>
        <w:rPr>
          <w:rFonts w:ascii="宋体" w:eastAsia="宋体" w:cs="宋体" w:hAnsi="宋体" w:hint="eastAsia"/>
          <w:color w:val="auto"/>
          <w:kern w:val="0"/>
          <w:sz w:val="28"/>
          <w:szCs w:val="28"/>
        </w:rPr>
        <w:t>垃圾转运站，垃圾转运站把垃圾压缩后密闭化运输至钦州市垃圾处理中心进行无害化处理。</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42" w:name="_Toc15508"/>
      <w:r>
        <w:rPr>
          <w:rFonts w:ascii="宋体" w:eastAsia="宋体" w:cs="宋体" w:hAnsi="宋体" w:hint="eastAsia"/>
          <w:bCs/>
          <w:color w:val="auto"/>
          <w:sz w:val="32"/>
          <w:szCs w:val="32"/>
          <w:lang w:eastAsia="zh-CN"/>
        </w:rPr>
        <w:t>第六章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安全防护</w:t>
      </w:r>
      <w:r>
        <w:rPr>
          <w:rFonts w:ascii="宋体" w:eastAsia="宋体" w:cs="宋体" w:hAnsi="宋体" w:hint="eastAsia"/>
          <w:bCs/>
          <w:color w:val="auto"/>
          <w:sz w:val="32"/>
          <w:szCs w:val="32"/>
        </w:rPr>
        <w:t>规划</w:t>
      </w:r>
      <w:bookmarkEnd w:id="42"/>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3" w:name="_Toc10916"/>
      <w:r>
        <w:rPr>
          <w:rFonts w:ascii="宋体" w:eastAsia="宋体" w:cs="宋体" w:hAnsi="宋体" w:hint="eastAsia"/>
          <w:bCs/>
          <w:color w:val="auto"/>
          <w:sz w:val="32"/>
          <w:szCs w:val="32"/>
          <w:lang w:val="en-US" w:eastAsia="zh-CN"/>
        </w:rPr>
        <w:t>6.1制定安全防护规划的目的及意义</w:t>
      </w:r>
      <w:bookmarkEnd w:id="43"/>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为了贯彻落实“</w:t>
      </w:r>
      <w:r>
        <w:rPr>
          <w:rFonts w:ascii="宋体" w:eastAsia="宋体" w:hint="eastAsia"/>
          <w:b w:val="0"/>
          <w:bCs w:val="0"/>
          <w:i w:val="0"/>
          <w:iCs w:val="0"/>
          <w:caps w:val="0"/>
          <w:smallCaps w:val="0"/>
          <w:color w:val="000000"/>
          <w:spacing w:val="0"/>
          <w:sz w:val="29"/>
          <w:szCs w:val="29"/>
        </w:rPr>
        <w:t>安全第一、预防为主、综合治理</w:t>
      </w:r>
      <w:r>
        <w:rPr>
          <w:rFonts w:ascii="宋体" w:eastAsia="宋体" w:cs="宋体" w:hAnsi="宋体" w:hint="eastAsia"/>
          <w:color w:val="auto"/>
          <w:kern w:val="0"/>
          <w:sz w:val="28"/>
          <w:szCs w:val="28"/>
        </w:rPr>
        <w:t>”的方针，迅速有序的组织人员对突发事件进行应急救援，有效的控制突发事件事态的发展，不断提高突发事件救援速度，增强处置突发事件的能力，最大限度地减少财产损失、人员伤亡、环境破坏和社会影响</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4" w:name="_Toc32128"/>
      <w:r>
        <w:rPr>
          <w:rFonts w:ascii="宋体" w:eastAsia="宋体" w:cs="宋体" w:hAnsi="宋体" w:hint="eastAsia"/>
          <w:bCs/>
          <w:color w:val="auto"/>
          <w:sz w:val="32"/>
          <w:szCs w:val="32"/>
          <w:lang w:val="en-US" w:eastAsia="zh-CN"/>
        </w:rPr>
        <w:t>6.2确定突发事件危险目标</w:t>
      </w:r>
      <w:bookmarkEnd w:id="44"/>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（1）加油站是易燃、易爆场所，具有高危险性，针对可能发生的灾害制定有效的应急预案，以保证员工生命财产安全不受到伤害及最大限度地减少财产损失。</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（2）经过危险识别、风险评估，确认加油站灾害因素，如火灾、油品跑、冒、漏，加强对事故灾害进行全面的预测和防范，通过危害识别、风险评估等因素，制定适合本规划的应急预案</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5" w:name="_Toc6644"/>
      <w:r>
        <w:rPr>
          <w:rFonts w:ascii="宋体" w:eastAsia="宋体" w:cs="宋体" w:hAnsi="宋体" w:hint="eastAsia"/>
          <w:bCs/>
          <w:color w:val="auto"/>
          <w:sz w:val="32"/>
          <w:szCs w:val="32"/>
          <w:lang w:val="en-US" w:eastAsia="zh-CN"/>
        </w:rPr>
        <w:t>6.3安全防护规划原则</w:t>
      </w:r>
      <w:bookmarkEnd w:id="45"/>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（1）以人为本、减少危害；</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（2）居安思危、预防为主；</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（3）统一领导、分级负责；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（4）加强管理、提高素质</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6" w:name="_Toc240"/>
      <w:r>
        <w:rPr>
          <w:rFonts w:ascii="宋体" w:eastAsia="宋体" w:cs="宋体" w:hAnsi="宋体" w:hint="eastAsia"/>
          <w:bCs/>
          <w:color w:val="auto"/>
          <w:sz w:val="32"/>
          <w:szCs w:val="32"/>
          <w:lang w:val="en-US" w:eastAsia="zh-CN"/>
        </w:rPr>
        <w:t>6.4安全防护规划</w:t>
      </w:r>
      <w:bookmarkEnd w:id="46"/>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根据《汽车加油加气加氢站技术标准》（GB50156-2021）第4.0.4条</w:t>
      </w:r>
      <w:r>
        <w:rPr>
          <w:rFonts w:ascii="宋体" w:eastAsia="宋体" w:cs="宋体" w:hAnsi="宋体" w:hint="eastAsia"/>
          <w:color w:val="auto"/>
          <w:kern w:val="0"/>
          <w:sz w:val="28"/>
          <w:szCs w:val="28"/>
          <w:lang w:eastAsia="zh-CN"/>
        </w:rPr>
        <w:t>：“加油站、各类合建站中的汽油、柴油工艺设备与站外建（构）筑物的安全间距，不应小于表</w:t>
      </w:r>
      <w:r>
        <w:rPr>
          <w:rFonts w:ascii="宋体" w:eastAsia="宋体" w:cs="宋体" w:hAnsi="宋体" w:hint="eastAsia"/>
          <w:color w:val="auto"/>
          <w:kern w:val="0"/>
          <w:sz w:val="28"/>
          <w:szCs w:val="28"/>
          <w:lang w:val="en-US" w:eastAsia="zh-CN"/>
        </w:rPr>
        <w:t>4.0.4的规定。</w:t>
      </w:r>
      <w:r>
        <w:rPr>
          <w:rFonts w:ascii="宋体" w:eastAsia="宋体" w:cs="宋体" w:hAnsi="宋体" w:hint="eastAsia"/>
          <w:color w:val="auto"/>
          <w:kern w:val="0"/>
          <w:sz w:val="28"/>
          <w:szCs w:val="28"/>
          <w:lang w:eastAsia="zh-CN"/>
        </w:rPr>
        <w:t>”具体内容详见下表：</w:t>
      </w:r>
    </w:p>
    <w:p>
      <w:pPr>
        <w:widowControl/>
        <w:spacing w:before="4" w:line="360" w:lineRule="auto"/>
        <w:ind w:right="351"/>
        <w:jc w:val="center"/>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4420235" cy="6810375"/>
            <wp:effectExtent l="0" t="0" r="36" b="9"/>
            <wp:docPr id="43" name="图片 19" descr="1111"/>
            <wp:cNvGraphicFramePr>
              <a:graphicFrameLocks noChangeAspect="1"/>
            </wp:cNvGraphicFramePr>
            <a:graphic>
              <a:graphicData uri="http://schemas.openxmlformats.org/drawingml/2006/picture">
                <pic:pic>
                  <pic:nvPicPr>
                    <pic:cNvPr id="45" name="图片 19 45"/>
                    <pic:cNvPicPr/>
                  </pic:nvPicPr>
                  <pic:blipFill>
                    <a:blip r:embed="rId17"/>
                    <a:stretch>
                      <a:fillRect/>
                    </a:stretch>
                  </pic:blipFill>
                  <pic:spPr>
                    <a:xfrm rot="0">
                      <a:off x="0" y="0"/>
                      <a:ext cx="4420235" cy="6810375"/>
                    </a:xfrm>
                    <a:prstGeom prst="rect"/>
                    <a:noFill/>
                    <a:ln w="9525" cmpd="sng" cap="flat">
                      <a:noFill/>
                      <a:prstDash val="solid"/>
                      <a:miter/>
                    </a:ln>
                  </pic:spPr>
                </pic:pic>
              </a:graphicData>
            </a:graphic>
          </wp:inline>
        </w:drawing>
      </w:r>
    </w:p>
    <w:p>
      <w:pPr>
        <w:widowControl/>
        <w:spacing w:before="4" w:line="360" w:lineRule="auto"/>
        <w:ind w:left="420" w:right="351" w:hangingChars="200" w:hanging="420"/>
        <w:jc w:val="left"/>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注:</w:t>
      </w:r>
      <w:r>
        <w:rPr>
          <w:rFonts w:ascii="宋体" w:eastAsia="宋体" w:cs="宋体" w:hAnsi="宋体" w:hint="eastAsia"/>
          <w:color w:val="auto"/>
          <w:kern w:val="0"/>
          <w:sz w:val="21"/>
          <w:szCs w:val="21"/>
          <w:lang w:val="en-US" w:eastAsia="zh-CN"/>
        </w:rPr>
        <w:t xml:space="preserve"> </w:t>
      </w:r>
      <w:r>
        <w:rPr>
          <w:rFonts w:ascii="宋体" w:eastAsia="宋体" w:cs="宋体" w:hAnsi="宋体" w:hint="eastAsia"/>
          <w:color w:val="auto"/>
          <w:kern w:val="0"/>
          <w:sz w:val="21"/>
          <w:szCs w:val="21"/>
          <w:lang w:eastAsia="zh-CN"/>
        </w:rPr>
        <w:t>1</w:t>
      </w:r>
      <w:r>
        <w:rPr>
          <w:rFonts w:ascii="宋体" w:eastAsia="宋体" w:cs="宋体" w:hAnsi="宋体" w:hint="eastAsia"/>
          <w:color w:val="auto"/>
          <w:kern w:val="0"/>
          <w:sz w:val="21"/>
          <w:szCs w:val="21"/>
          <w:lang w:val="en-US" w:eastAsia="zh-CN"/>
        </w:rPr>
        <w:t>.</w:t>
      </w:r>
      <w:r>
        <w:rPr>
          <w:rFonts w:ascii="宋体" w:eastAsia="宋体" w:cs="宋体" w:hAnsi="宋体" w:hint="eastAsia"/>
          <w:color w:val="auto"/>
          <w:kern w:val="0"/>
          <w:sz w:val="21"/>
          <w:szCs w:val="21"/>
          <w:lang w:eastAsia="zh-CN"/>
        </w:rPr>
        <w:t>表中括号内数字为柴油设备与站外建(构)筑物的安全间距。站内汽油工艺设备指设置有卸油和加油油气回收系统的工艺设备。</w:t>
      </w:r>
    </w:p>
    <w:p>
      <w:pPr>
        <w:widowControl/>
        <w:spacing w:before="4" w:line="360" w:lineRule="auto"/>
        <w:ind w:leftChars="200" w:left="420" w:right="351" w:firstLine="0"/>
        <w:jc w:val="left"/>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2</w:t>
      </w:r>
      <w:r>
        <w:rPr>
          <w:rFonts w:ascii="宋体" w:eastAsia="宋体" w:cs="宋体" w:hAnsi="宋体" w:hint="eastAsia"/>
          <w:color w:val="auto"/>
          <w:kern w:val="0"/>
          <w:sz w:val="21"/>
          <w:szCs w:val="21"/>
          <w:lang w:val="en-US" w:eastAsia="zh-CN"/>
        </w:rPr>
        <w:t>.</w:t>
      </w:r>
      <w:r>
        <w:rPr>
          <w:rFonts w:ascii="宋体" w:eastAsia="宋体" w:cs="宋体" w:hAnsi="宋体" w:hint="eastAsia"/>
          <w:color w:val="auto"/>
          <w:kern w:val="0"/>
          <w:sz w:val="21"/>
          <w:szCs w:val="21"/>
          <w:lang w:eastAsia="zh-CN"/>
        </w:rPr>
        <w:t>室外变配电站指电力系统电压为35kV～500kV，且每台变压器容量在10MV·A以上的室外变配电站，以及工业企业的变压器总油量大于5t的室外降压变电站。其他规格的室外变配电站或变压器应按丙类物品生产厂房确定。</w:t>
      </w:r>
    </w:p>
    <w:p>
      <w:pPr>
        <w:widowControl/>
        <w:spacing w:before="4" w:line="360" w:lineRule="auto"/>
        <w:ind w:leftChars="200" w:left="420" w:right="351" w:firstLine="0"/>
        <w:jc w:val="left"/>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3</w:t>
      </w:r>
      <w:r>
        <w:rPr>
          <w:rFonts w:ascii="宋体" w:eastAsia="宋体" w:cs="宋体" w:hAnsi="宋体" w:hint="eastAsia"/>
          <w:color w:val="auto"/>
          <w:kern w:val="0"/>
          <w:sz w:val="21"/>
          <w:szCs w:val="21"/>
          <w:lang w:val="en-US" w:eastAsia="zh-CN"/>
        </w:rPr>
        <w:t>.</w:t>
      </w:r>
      <w:r>
        <w:rPr>
          <w:rFonts w:ascii="宋体" w:eastAsia="宋体" w:cs="宋体" w:hAnsi="宋体" w:hint="eastAsia"/>
          <w:color w:val="auto"/>
          <w:kern w:val="0"/>
          <w:sz w:val="21"/>
          <w:szCs w:val="21"/>
          <w:lang w:eastAsia="zh-CN"/>
        </w:rPr>
        <w:t>汽油设备与重要公共建筑物的主要出入口(包括铁路、地铁和二级及以上公路的隧道出入口)的安全间距</w:t>
      </w:r>
      <w:r>
        <w:rPr>
          <w:rFonts w:ascii="宋体" w:eastAsia="宋体" w:cs="宋体" w:hAnsi="宋体"/>
          <w:color w:val="auto"/>
          <w:kern w:val="0"/>
          <w:sz w:val="21"/>
          <w:szCs w:val="21"/>
          <w:lang w:eastAsia="zh-CN"/>
        </w:rPr>
        <w:t>上</w:t>
      </w:r>
      <w:r>
        <w:rPr>
          <w:rFonts w:ascii="宋体" w:eastAsia="宋体" w:cs="宋体" w:hAnsi="宋体" w:hint="eastAsia"/>
          <w:color w:val="auto"/>
          <w:kern w:val="0"/>
          <w:sz w:val="21"/>
          <w:szCs w:val="21"/>
          <w:lang w:eastAsia="zh-CN"/>
        </w:rPr>
        <w:t>不应小于50m。</w:t>
      </w:r>
    </w:p>
    <w:p>
      <w:pPr>
        <w:widowControl/>
        <w:spacing w:before="4" w:line="360" w:lineRule="auto"/>
        <w:ind w:leftChars="200" w:left="420" w:right="351" w:firstLine="0"/>
        <w:jc w:val="left"/>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4</w:t>
      </w:r>
      <w:r>
        <w:rPr>
          <w:rFonts w:ascii="宋体" w:eastAsia="宋体" w:cs="宋体" w:hAnsi="宋体" w:hint="eastAsia"/>
          <w:color w:val="auto"/>
          <w:kern w:val="0"/>
          <w:sz w:val="21"/>
          <w:szCs w:val="21"/>
          <w:lang w:val="en-US" w:eastAsia="zh-CN"/>
        </w:rPr>
        <w:t>.</w:t>
      </w:r>
      <w:r>
        <w:rPr>
          <w:rFonts w:ascii="宋体" w:eastAsia="宋体" w:cs="宋体" w:hAnsi="宋体" w:hint="eastAsia"/>
          <w:color w:val="auto"/>
          <w:kern w:val="0"/>
          <w:sz w:val="21"/>
          <w:szCs w:val="21"/>
          <w:lang w:eastAsia="zh-CN"/>
        </w:rPr>
        <w:t xml:space="preserve"> 一、二级耐火等级民用建筑物面向加油站一侧的墙为无门窗洞口的实体墙时，油罐、加油机和通气管管口与该民用建筑物的距离，不应低于本表规定的安全间距的70%，且不应小于6m。</w:t>
      </w:r>
    </w:p>
    <w:p>
      <w:pPr>
        <w:widowControl/>
        <w:spacing w:before="4" w:line="360" w:lineRule="auto"/>
        <w:ind w:right="351" w:firstLineChars="200" w:firstLine="420"/>
        <w:jc w:val="left"/>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5</w:t>
      </w:r>
      <w:r>
        <w:rPr>
          <w:rFonts w:ascii="宋体" w:eastAsia="宋体" w:cs="宋体" w:hAnsi="宋体" w:hint="eastAsia"/>
          <w:color w:val="auto"/>
          <w:kern w:val="0"/>
          <w:sz w:val="21"/>
          <w:szCs w:val="21"/>
          <w:lang w:val="en-US" w:eastAsia="zh-CN"/>
        </w:rPr>
        <w:t>.</w:t>
      </w:r>
      <w:r>
        <w:rPr>
          <w:rFonts w:ascii="宋体" w:eastAsia="宋体" w:cs="宋体" w:hAnsi="宋体" w:hint="eastAsia"/>
          <w:color w:val="auto"/>
          <w:kern w:val="0"/>
          <w:sz w:val="21"/>
          <w:szCs w:val="21"/>
          <w:lang w:eastAsia="zh-CN"/>
        </w:rPr>
        <w:t>表中一级站、二级站、三级站包括合建站的级别。</w:t>
      </w:r>
    </w:p>
    <w:p>
      <w:pPr>
        <w:widowControl/>
        <w:spacing w:before="4" w:line="360" w:lineRule="auto"/>
        <w:ind w:right="351" w:firstLineChars="200" w:firstLine="420"/>
        <w:jc w:val="left"/>
        <w:rPr>
          <w:rFonts w:ascii="宋体" w:eastAsia="宋体" w:cs="宋体" w:hAnsi="宋体" w:hint="eastAsia"/>
          <w:color w:val="auto"/>
          <w:kern w:val="0"/>
          <w:sz w:val="21"/>
          <w:szCs w:val="21"/>
          <w:lang w:eastAsia="zh-CN"/>
        </w:rPr>
      </w:pPr>
      <w:r>
        <w:rPr>
          <w:rFonts w:ascii="宋体" w:eastAsia="宋体" w:cs="宋体" w:hAnsi="宋体" w:hint="eastAsia"/>
          <w:color w:val="auto"/>
          <w:kern w:val="0"/>
          <w:sz w:val="21"/>
          <w:szCs w:val="21"/>
          <w:lang w:eastAsia="zh-CN"/>
        </w:rPr>
        <w:t>6</w:t>
      </w:r>
      <w:r>
        <w:rPr>
          <w:rFonts w:ascii="宋体" w:eastAsia="宋体" w:cs="宋体" w:hAnsi="宋体" w:hint="eastAsia"/>
          <w:color w:val="auto"/>
          <w:kern w:val="0"/>
          <w:sz w:val="21"/>
          <w:szCs w:val="21"/>
          <w:lang w:val="en-US" w:eastAsia="zh-CN"/>
        </w:rPr>
        <w:t>.</w:t>
      </w:r>
      <w:r>
        <w:rPr>
          <w:rFonts w:ascii="宋体" w:eastAsia="宋体" w:cs="宋体" w:hAnsi="宋体" w:hint="eastAsia"/>
          <w:color w:val="auto"/>
          <w:kern w:val="0"/>
          <w:sz w:val="21"/>
          <w:szCs w:val="21"/>
          <w:lang w:eastAsia="zh-CN"/>
        </w:rPr>
        <w:t>H为架空通信线路和架空电力线路的杆高或塔高。</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参照上表规定</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本用地范围内规划的加油站属三级加油站，地块内规划设置的室外箱式变压器位于东南角，现状周边</w:t>
      </w:r>
      <w:r>
        <w:rPr>
          <w:rFonts w:ascii="宋体" w:eastAsia="宋体" w:cs="宋体" w:hAnsi="宋体" w:hint="eastAsia"/>
          <w:color w:val="auto"/>
          <w:kern w:val="0"/>
          <w:sz w:val="28"/>
          <w:szCs w:val="28"/>
          <w:lang w:val="en-US" w:eastAsia="zh-CN"/>
        </w:rPr>
        <w:t>35米范围内没有重要的公共建筑物或一、二、三类保护物，用地外部南面有一条东西走向的架空电力线经过。根据大直镇总规远期规划，用地周边规划用地为工业用地，加油站的汽油、柴油工艺设备与站外建（构）筑物的安全间距如下：</w:t>
      </w:r>
    </w:p>
    <w:p>
      <w:pPr>
        <w:widowControl/>
        <w:spacing w:before="4" w:line="360" w:lineRule="auto"/>
        <w:ind w:left="0"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三级站埋地油罐、加油机、油罐通气管口、油气回收处理装置等站内汽油工艺设备与甲、乙类物品生产厂房、库房和甲、乙类液体储罐规范要求的安全间距≥12.5m；柴油工艺设备与甲、乙类物品生产厂房、库房和甲、乙类液体储罐规范要求的安全间距≥9m；本规划站内加油工艺设备与用地围墙最近安全间距约＞15m，符合要求。</w:t>
      </w:r>
    </w:p>
    <w:p>
      <w:pPr>
        <w:widowControl/>
        <w:spacing w:before="4" w:line="360" w:lineRule="auto"/>
        <w:ind w:left="0"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三级站埋地油罐、加油机、油罐通气管口、油气回收处理装置等站内汽油（柴油）工艺设备与室外变配电站或变压器规范要求的安全间距≥12.5m；本规划站内加油工艺设备与室外变压器安全间距为13m，符合要求。</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3）三级站埋地油罐与G210国道（按公路技术等级划分为二级公路，按城镇道路规划级别划分为主干道）规范要求的安全间距≥5.5m；加油机、油罐通气管口、油气回收处理装置与二级公路规范要求的安全间距≥5m；柴油工艺设备与二级公路规范要求的安全间距≥3m；本规划站内加油工艺设备与道路安全间距约＞20m，符合要求。</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4）三级站埋地油罐、加油机、油罐通气管口、油气回收处理装置等站内汽油（柴油）工艺设备与架空电力线路规范要求的安全间距≥6.5m；本规划站内加油工艺设备与地块外部南面架空电力线安全间距＞20m，符合要求。</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（5）本规划加油站的汽油、柴油工艺设备与站外新建建（构）筑物的建筑控制线具体划分范围及安全间距详见图则</w:t>
      </w:r>
      <w:r>
        <w:rPr>
          <w:rFonts w:ascii="宋体" w:eastAsia="宋体" w:cs="宋体" w:hAnsi="宋体" w:hint="eastAsia"/>
          <w:color w:val="auto"/>
          <w:kern w:val="0"/>
          <w:sz w:val="28"/>
          <w:szCs w:val="28"/>
          <w:lang w:eastAsia="zh-CN"/>
        </w:rPr>
        <w:t>。加油站内设置的便利店、公厕等辅助用房与站外建</w:t>
      </w:r>
      <w:r>
        <w:rPr>
          <w:rFonts w:ascii="宋体" w:eastAsia="宋体" w:cs="宋体" w:hAnsi="宋体" w:hint="eastAsia"/>
          <w:color w:val="auto"/>
          <w:kern w:val="0"/>
          <w:sz w:val="28"/>
          <w:szCs w:val="28"/>
          <w:lang w:val="en-US" w:eastAsia="zh-CN"/>
        </w:rPr>
        <w:t>（构）筑物的消防安全间距和退距根据《建筑设计防火规范》GB50016-2014（2018）等相关规范进行确定</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7" w:name="_Toc25765"/>
      <w:r>
        <w:rPr>
          <w:rFonts w:ascii="宋体" w:eastAsia="宋体" w:cs="宋体" w:hAnsi="宋体" w:hint="eastAsia"/>
          <w:bCs/>
          <w:color w:val="auto"/>
          <w:sz w:val="32"/>
          <w:szCs w:val="32"/>
          <w:lang w:val="en-US" w:eastAsia="zh-CN"/>
        </w:rPr>
        <w:t>6.5安全应急处理</w:t>
      </w:r>
      <w:bookmarkEnd w:id="47"/>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（1）消防安全应急处理</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1）消防安全应急处理原则</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坚持实事求是、准确及时、权责相符、合理合法、尊重科学的原则。在确保人身安全前提下，防火救灾以局部利益服从全局利益，一般工作服从应急工作。遵循“以防为主，防消结合”的方针，追求最大限度的减少人员伤亡及国家财产损失，加强自身抵御能力。采取快、准、稳战术，利用有限的人力、物力资源，把事故消灭在初起阶段，损失降低到最低限度，影响控制在最小范围。</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2）</w:t>
      </w:r>
      <w:r>
        <w:rPr>
          <w:rFonts w:ascii="宋体" w:eastAsia="宋体" w:cs="宋体" w:hAnsi="宋体" w:hint="eastAsia"/>
          <w:color w:val="auto"/>
          <w:kern w:val="0"/>
          <w:sz w:val="28"/>
          <w:szCs w:val="28"/>
          <w:lang w:eastAsia="zh-CN"/>
        </w:rPr>
        <w:t>灭火器材和</w:t>
      </w:r>
      <w:r>
        <w:rPr>
          <w:rFonts w:ascii="宋体" w:eastAsia="宋体" w:cs="宋体" w:hAnsi="宋体" w:hint="eastAsia"/>
          <w:color w:val="auto"/>
          <w:kern w:val="0"/>
          <w:sz w:val="28"/>
          <w:szCs w:val="28"/>
        </w:rPr>
        <w:t>应急物资准备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加油站灭火器材和应急物资主要为</w:t>
      </w:r>
      <w:r>
        <w:rPr>
          <w:rFonts w:ascii="宋体" w:eastAsia="宋体" w:cs="宋体" w:hAnsi="宋体" w:hint="eastAsia"/>
          <w:color w:val="auto"/>
          <w:kern w:val="0"/>
          <w:sz w:val="28"/>
          <w:szCs w:val="28"/>
        </w:rPr>
        <w:t>各类灭火器、隔离带、防静电收集容器、</w:t>
      </w:r>
      <w:r>
        <w:rPr>
          <w:rFonts w:ascii="宋体" w:eastAsia="宋体" w:cs="宋体" w:hAnsi="宋体" w:hint="eastAsia"/>
          <w:color w:val="auto"/>
          <w:kern w:val="0"/>
          <w:sz w:val="28"/>
          <w:szCs w:val="28"/>
          <w:lang w:eastAsia="zh-CN"/>
        </w:rPr>
        <w:t>灭火毯、</w:t>
      </w:r>
      <w:r>
        <w:rPr>
          <w:rFonts w:ascii="宋体" w:eastAsia="宋体" w:cs="宋体" w:hAnsi="宋体" w:hint="eastAsia"/>
          <w:color w:val="auto"/>
          <w:kern w:val="0"/>
          <w:sz w:val="28"/>
          <w:szCs w:val="28"/>
        </w:rPr>
        <w:t>沙箱等</w:t>
      </w:r>
      <w:r>
        <w:rPr>
          <w:rFonts w:ascii="宋体" w:eastAsia="宋体" w:cs="宋体" w:hAnsi="宋体" w:hint="eastAsia"/>
          <w:color w:val="auto"/>
          <w:kern w:val="0"/>
          <w:sz w:val="28"/>
          <w:szCs w:val="28"/>
          <w:lang w:eastAsia="zh-CN"/>
        </w:rPr>
        <w:t>。本规划用地根据《汽车加油加气加氢站技术标准》（GB50156-2021）的规定配置灭火器材和应急物资。</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①</w:t>
      </w:r>
      <w:r>
        <w:rPr>
          <w:rFonts w:ascii="宋体" w:eastAsia="宋体" w:cs="宋体" w:hAnsi="宋体" w:hint="eastAsia"/>
          <w:color w:val="auto"/>
          <w:kern w:val="0"/>
          <w:sz w:val="28"/>
          <w:szCs w:val="28"/>
        </w:rPr>
        <w:t>每2台加油机应配置不少于2具5kg手提式干粉灭火器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或1具5kg手提式干粉灭火器和1具6L泡沫灭火器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加油机不足2台应按2台配置</w:t>
      </w:r>
      <w:r>
        <w:rPr>
          <w:rFonts w:ascii="宋体" w:eastAsia="宋体" w:cs="宋体" w:hAnsi="宋体" w:hint="eastAsia"/>
          <w:color w:val="auto"/>
          <w:kern w:val="0"/>
          <w:sz w:val="28"/>
          <w:szCs w:val="28"/>
          <w:lang w:eastAsia="zh-CN"/>
        </w:rPr>
        <w:t>。</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②</w:t>
      </w:r>
      <w:r>
        <w:rPr>
          <w:rFonts w:ascii="宋体" w:eastAsia="宋体" w:cs="宋体" w:hAnsi="宋体" w:hint="eastAsia"/>
          <w:color w:val="auto"/>
          <w:kern w:val="0"/>
          <w:sz w:val="28"/>
          <w:szCs w:val="28"/>
        </w:rPr>
        <w:t>地下储罐应配置1台不小于35kg 推车式干粉灭火器</w:t>
      </w:r>
      <w:r>
        <w:rPr>
          <w:rFonts w:ascii="宋体" w:eastAsia="宋体" w:cs="宋体" w:hAnsi="宋体" w:hint="eastAsia"/>
          <w:color w:val="auto"/>
          <w:kern w:val="0"/>
          <w:sz w:val="28"/>
          <w:szCs w:val="28"/>
          <w:lang w:eastAsia="zh-CN"/>
        </w:rPr>
        <w:t>。</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③三级加油站应配置灭火毯不少于2块、沙子2</w:t>
      </w:r>
      <w:r>
        <w:rPr>
          <w:rFonts w:ascii="宋体" w:eastAsia="宋体" w:cs="宋体" w:hAnsi="宋体" w:hint="eastAsia"/>
          <w:color w:val="auto"/>
          <w:kern w:val="0"/>
          <w:sz w:val="28"/>
          <w:szCs w:val="28"/>
          <w:lang w:val="en-US" w:eastAsia="zh-CN"/>
        </w:rPr>
        <w:t>m³。</w:t>
      </w:r>
    </w:p>
    <w:p>
      <w:pPr>
        <w:widowControl/>
        <w:spacing w:before="4" w:line="360" w:lineRule="auto"/>
        <w:ind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④其余建筑的灭火器配置，应符合现行国家标准《建筑灭火器配置设计规范》GB50140的有关规定</w:t>
      </w:r>
      <w:r>
        <w:rPr>
          <w:rFonts w:ascii="宋体" w:eastAsia="宋体" w:cs="宋体" w:hAnsi="宋体" w:hint="eastAsia"/>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3）事故发生后处理流程</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①发生事故后，应立即报警，指挥周围</w:t>
      </w:r>
      <w:r>
        <w:rPr>
          <w:rFonts w:ascii="宋体" w:eastAsia="宋体" w:cs="宋体" w:hAnsi="宋体" w:hint="eastAsia"/>
          <w:color w:val="auto"/>
          <w:kern w:val="0"/>
          <w:sz w:val="28"/>
          <w:szCs w:val="28"/>
          <w:lang w:eastAsia="zh-CN"/>
        </w:rPr>
        <w:t>车辆</w:t>
      </w:r>
      <w:r>
        <w:rPr>
          <w:rFonts w:ascii="宋体" w:eastAsia="宋体" w:cs="宋体" w:hAnsi="宋体" w:hint="eastAsia"/>
          <w:color w:val="auto"/>
          <w:kern w:val="0"/>
          <w:sz w:val="28"/>
          <w:szCs w:val="28"/>
        </w:rPr>
        <w:t>及无关人员离开。</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②立即终止加油</w:t>
      </w:r>
      <w:r>
        <w:rPr>
          <w:rFonts w:ascii="宋体" w:eastAsia="宋体" w:cs="宋体" w:hAnsi="宋体" w:hint="eastAsia"/>
          <w:color w:val="auto"/>
          <w:kern w:val="0"/>
          <w:sz w:val="28"/>
          <w:szCs w:val="28"/>
          <w:lang w:eastAsia="zh-CN"/>
        </w:rPr>
        <w:t>设备的</w:t>
      </w:r>
      <w:r>
        <w:rPr>
          <w:rFonts w:ascii="宋体" w:eastAsia="宋体" w:cs="宋体" w:hAnsi="宋体" w:hint="eastAsia"/>
          <w:color w:val="auto"/>
          <w:kern w:val="0"/>
          <w:sz w:val="28"/>
          <w:szCs w:val="28"/>
        </w:rPr>
        <w:t>一切生产作业活动，关闭所有油品输送闸阀。</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③疏散事故现场易燃易爆物品，防止次生事故的发生。</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④在等待救援的同时，利用码头消防器材进行初期火灾扑救。</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4）各种消防应急预案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①加油站加油作业跑、冒油预案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加油作业中发生跑冒油事件后，加油员应立即关闭加油机，切断电源停止作业，并向站长或当班班长汇报。</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划定警戒范围，组织人员进行现场警戒，疏散闲杂人员，准备消防器材和回收器具。</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对现场的跑冒油品用棉纱、棉毛巾、棉拖把，铝制或者铜制的容器进行回收，禁止使用任何易产生静电火花的器皿进行回收。回收完毕后必须用沙土覆盖残留油渍，待充分吸收残油后将沙土清除干净。</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检查是否有残油，若有残油应及时清理干净，并检查其他可能产生危险的区域是否还有隐患存在。</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②加油站卸油作业跑、冒油预案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当向储油罐卸油发生跑、冒油时，应立即关闭发动机、卸油阀，切断站内电源，停止营业。</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及时组织人员进行现场警戒，疏散站内人员，准备消防器材。</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及时对现场跑、冒油品进行回收，禁止使用铁质、塑料、化纤等易产生静电火花的器皿或物品进行回收。回收后用沙土覆盖残留油品，待充分吸收残油后将沙土清除干净。</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检查所有卸油口、低洼处是否有残油，若有残油应立即清理干净，并检查其他可能产生危险的区域是否存在隐患。</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③加油机火灾应急预案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加油机起火，应立即关闭加油站所有加油机的控制电源，关闭加油机与油罐之间所有管线阀门，同时报警，并利用现场小型消防器材进行扑救。</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紧急疏散站内车辆和无关人员，禁止闲杂人员入站，并保证后援消防力量的消防通道畅通。</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扑救加油机火灾的同时，应监控地面及管沟流散油品的情况，流散油品着火时可用小型消防器材或消防沙进行扑救。</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明火扑灭后，应注意防止复燃。</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④</w:t>
      </w:r>
      <w:r>
        <w:rPr>
          <w:rFonts w:ascii="宋体" w:eastAsia="宋体" w:cs="宋体" w:hAnsi="宋体" w:hint="eastAsia"/>
          <w:color w:val="auto"/>
          <w:kern w:val="0"/>
          <w:sz w:val="28"/>
          <w:szCs w:val="28"/>
        </w:rPr>
        <w:t>电器火灾预案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发生电器火灾，首先应立即切断电源，然后用二氧化碳（或者干粉）灭火器进行灭火；电器火灾严禁使用泡沫灭火器或水扑救。</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当无法切断电源时，应在确保人员不触电的情况下首先用二氧化碳（或者干粉）灭火器扑灭闸刀、开关的火源，创造条件尽快切断电源，然后全面灭火。</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在自身灭火力量不足，无法短时间扑灭火灾，应一边控制火势蔓延，一边立即拨打119 火警电话报警。</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⑤</w:t>
      </w:r>
      <w:r>
        <w:rPr>
          <w:rFonts w:ascii="宋体" w:eastAsia="宋体" w:cs="宋体" w:hAnsi="宋体" w:hint="eastAsia"/>
          <w:color w:val="auto"/>
          <w:kern w:val="0"/>
          <w:sz w:val="28"/>
          <w:szCs w:val="28"/>
        </w:rPr>
        <w:t>配电发电房火灾预案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配电发电房发生火灾时，立即切断主电源，停止一切收发作业。</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关闭加油站内所有开关、阀门，同时利用二氧化碳或干粉灭火器进行灭火。灭火时要保持一定的安全距离，防止被电击伤，禁止在带电的情况下用清水、泡沫等导电灭火剂灭火。</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疏散库站内人员、车辆。</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若发电机与配电柜同处一室，在扑救配电设施火灾的同时，应用石棉被等覆盖发电机油箱及其他渗漏现象的部位。</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（2）防雷击预案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当加油站遇到高强度频繁闪电雷击时：</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①应立即停止加油作业，迅速关闭总电源，对现场</w:t>
      </w:r>
      <w:r>
        <w:rPr>
          <w:rFonts w:ascii="宋体" w:eastAsia="宋体" w:cs="宋体" w:hAnsi="宋体" w:hint="eastAsia"/>
          <w:color w:val="auto"/>
          <w:kern w:val="0"/>
          <w:sz w:val="28"/>
          <w:szCs w:val="28"/>
          <w:lang w:eastAsia="zh-CN"/>
        </w:rPr>
        <w:t>车辆</w:t>
      </w:r>
      <w:r>
        <w:rPr>
          <w:rFonts w:ascii="宋体" w:eastAsia="宋体" w:cs="宋体" w:hAnsi="宋体" w:hint="eastAsia"/>
          <w:color w:val="auto"/>
          <w:kern w:val="0"/>
          <w:sz w:val="28"/>
          <w:szCs w:val="28"/>
        </w:rPr>
        <w:t>进行疏散。</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②停止计量作业，迅速关闭计量口，防止油蒸气大量散发引起火灾和爆炸。</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③立即停止相关的卸油作业，迅速关闭卸油闸阀，取下卸油管，关闭油舱卸油口，检查静电接地是否良好。</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④在遇到高强度频繁电闪雷击发生火灾时，应立即向 119 报警，启动灭火应急预案， 应协同消防队用灭火器进行灭火，用水枪冷却临近油罐及周围建筑物，防止更大规模的火灾及爆炸。</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（3）加油站洪汛灾害应急预案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①立即关闭与切断措施；在洪汛灾害到达前停止生产作业，切断工艺流程及电源系统。</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②具备转运条件的，要及时转出库存油品。</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③加强设施监控和监护，做好保护措施，防止油品泄漏；</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④及时清理现场:洪汛灾害过后，应尽快组织人员清洗现场，清理污泥，为恢复生产创造条件。</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（4）加油站气象灾害应急预案</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①关闭与隔断被破坏的生产设施，并做好相关保护措施，防止油品泄漏；</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②大风、暴雨（雪）、冰雹、寒潮期间，除正常生产外，停止户外施工作业，加强防冻、防滑、防凝工作，雷雨天应停止作业。</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③特大暴雨期间需注意检查和处理排水系统，保持畅通；</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④暴雨、冰雹期间要注意对罩棚和屋面的检查，做好保护措施；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⑤发生险情，应及时协调医疗救助力量全力抢救伤员；</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⑥对生产设施、油品输送管线应加强监控，采取必要的措施控制泄露。</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（5）治安反恐防范要求</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rPr>
        <w:t>根据中华人民共和国公共安全行业标准《石油石化系统治安反恐防范要求》（GA1551-2019）第3部分：成品油和天然气销售企业等有关规定，在加油站、油库的新建、改建、扩建工程应将安全防范系统纳入总体规划，同步设计、同步建设、同步运行</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48" w:name="_Toc18041"/>
      <w:r>
        <w:rPr>
          <w:rFonts w:ascii="宋体" w:eastAsia="宋体" w:cs="宋体" w:hAnsi="宋体" w:hint="eastAsia"/>
          <w:bCs/>
          <w:color w:val="auto"/>
          <w:sz w:val="32"/>
          <w:szCs w:val="32"/>
          <w:lang w:eastAsia="zh-CN"/>
        </w:rPr>
        <w:t>第七章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地块管控</w:t>
      </w:r>
      <w:r>
        <w:rPr>
          <w:rFonts w:ascii="宋体" w:eastAsia="宋体" w:cs="宋体" w:hAnsi="宋体" w:hint="eastAsia"/>
          <w:bCs/>
          <w:color w:val="auto"/>
          <w:sz w:val="32"/>
          <w:szCs w:val="32"/>
        </w:rPr>
        <w:t>规划</w:t>
      </w:r>
      <w:bookmarkEnd w:id="48"/>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9" w:name="_Toc13647"/>
      <w:r>
        <w:rPr>
          <w:rFonts w:ascii="宋体" w:eastAsia="宋体" w:cs="宋体" w:hAnsi="宋体" w:hint="eastAsia"/>
          <w:bCs/>
          <w:color w:val="auto"/>
          <w:sz w:val="32"/>
          <w:szCs w:val="32"/>
          <w:lang w:val="en-US" w:eastAsia="zh-CN"/>
        </w:rPr>
        <w:t>7.1地块控制内容</w:t>
      </w:r>
      <w:bookmarkEnd w:id="49"/>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本章节重点对项目加油站地块的建设提出</w:t>
      </w:r>
      <w:r>
        <w:rPr>
          <w:rFonts w:ascii="宋体" w:eastAsia="宋体" w:cs="宋体" w:hAnsi="宋体" w:hint="eastAsia"/>
          <w:color w:val="auto"/>
          <w:kern w:val="0"/>
          <w:sz w:val="28"/>
          <w:szCs w:val="28"/>
          <w:lang w:eastAsia="zh-CN"/>
        </w:rPr>
        <w:t>合理的建设容量及其他相关控制指标，</w:t>
      </w:r>
      <w:r>
        <w:rPr>
          <w:rFonts w:ascii="宋体" w:eastAsia="宋体" w:cs="宋体" w:hAnsi="宋体" w:hint="eastAsia"/>
          <w:color w:val="auto"/>
          <w:kern w:val="0"/>
          <w:sz w:val="28"/>
          <w:szCs w:val="28"/>
          <w:lang w:val="en-US" w:eastAsia="zh-CN"/>
        </w:rPr>
        <w:t>主要包括容积率、建筑密度、绿地率、建筑限高以及机动车停车位配建、建筑间距与退线、建筑控制、交通管控等方面。其中，地块的用地性质、容积率、建筑密度、绿地率、建筑限高等为约束性指标。</w:t>
      </w: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7.1.1</w:t>
      </w:r>
      <w:r>
        <w:rPr>
          <w:rFonts w:hint="eastAsia"/>
          <w:color w:val="auto"/>
        </w:rPr>
        <w:t xml:space="preserve"> </w:t>
      </w:r>
      <w:r>
        <w:rPr>
          <w:rFonts w:hint="eastAsia"/>
          <w:b/>
          <w:bCs/>
          <w:color w:val="auto"/>
          <w:sz w:val="28"/>
          <w:szCs w:val="28"/>
          <w:lang w:eastAsia="zh-CN"/>
        </w:rPr>
        <w:t>容积率</w:t>
      </w:r>
    </w:p>
    <w:p>
      <w:pPr>
        <w:widowControl/>
        <w:spacing w:before="4" w:line="360" w:lineRule="auto"/>
        <w:ind w:left="0" w:right="351" w:firstLineChars="200" w:firstLine="560"/>
        <w:jc w:val="left"/>
        <w:rPr>
          <w:rFonts w:ascii="宋体" w:eastAsia="宋体" w:cs="宋体" w:hAnsi="宋体" w:hint="eastAsia"/>
          <w:color w:val="auto"/>
          <w:kern w:val="0"/>
          <w:sz w:val="28"/>
          <w:szCs w:val="28"/>
          <w:lang w:val="en-US" w:eastAsia="zh-CN"/>
        </w:rPr>
      </w:pPr>
      <w:r>
        <w:rPr>
          <w:rFonts w:hint="eastAsia"/>
          <w:color w:val="auto"/>
          <w:sz w:val="28"/>
          <w:szCs w:val="28"/>
          <w:lang w:eastAsia="zh-CN"/>
        </w:rPr>
        <w:t>本次规划公用设施营业网点用地拟建的建筑物较少，主要建设三级加油站。根据实际的建站要求，主要以加油罩棚和单层站房（包含便利店、办公室、配电间、</w:t>
      </w:r>
      <w:r>
        <w:rPr>
          <w:rFonts w:ascii="宋体" w:eastAsia="宋体" w:cs="宋体" w:hAnsi="宋体" w:hint="eastAsia"/>
          <w:color w:val="auto"/>
          <w:kern w:val="0"/>
          <w:sz w:val="28"/>
          <w:szCs w:val="28"/>
          <w:lang w:eastAsia="zh-CN"/>
        </w:rPr>
        <w:t>公共厕所</w:t>
      </w:r>
      <w:r>
        <w:rPr>
          <w:rFonts w:hint="eastAsia"/>
          <w:color w:val="auto"/>
          <w:sz w:val="28"/>
          <w:szCs w:val="28"/>
          <w:lang w:eastAsia="zh-CN"/>
        </w:rPr>
        <w:t>等）为主，且罩棚属于有顶盖无围护结构，按其顶盖水平投影面积的</w:t>
      </w:r>
      <w:r>
        <w:rPr>
          <w:rFonts w:hint="eastAsia"/>
          <w:color w:val="auto"/>
          <w:sz w:val="28"/>
          <w:szCs w:val="28"/>
          <w:lang w:val="en-US" w:eastAsia="zh-CN"/>
        </w:rPr>
        <w:t>1/2</w:t>
      </w:r>
      <w:r>
        <w:rPr>
          <w:rFonts w:hint="eastAsia"/>
          <w:color w:val="auto"/>
          <w:sz w:val="28"/>
          <w:szCs w:val="28"/>
          <w:lang w:eastAsia="zh-CN"/>
        </w:rPr>
        <w:t>计算建筑面积，整体建筑规模和建设强度较小，同时通过借鉴钦州市内外其他已批的同等规模加油站点横向对比</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规划本项目加油站地块</w:t>
      </w:r>
      <w:r>
        <w:rPr>
          <w:rFonts w:ascii="宋体" w:eastAsia="宋体" w:cs="宋体" w:hAnsi="宋体" w:hint="eastAsia"/>
          <w:color w:val="auto"/>
          <w:kern w:val="0"/>
          <w:sz w:val="28"/>
          <w:szCs w:val="28"/>
          <w:lang w:val="en-US" w:eastAsia="zh-CN"/>
        </w:rPr>
        <w:t>容积</w:t>
      </w:r>
      <w:r>
        <w:rPr>
          <w:rFonts w:ascii="宋体" w:eastAsia="宋体" w:cs="宋体" w:hAnsi="宋体" w:hint="eastAsia"/>
          <w:color w:val="auto"/>
          <w:kern w:val="0"/>
          <w:sz w:val="28"/>
          <w:szCs w:val="28"/>
          <w:lang w:eastAsia="zh-CN"/>
        </w:rPr>
        <w:t>率控制为</w:t>
      </w:r>
      <w:r>
        <w:rPr>
          <w:rFonts w:ascii="宋体" w:eastAsia="宋体" w:cs="宋体" w:hAnsi="宋体" w:hint="eastAsia"/>
          <w:color w:val="auto"/>
          <w:kern w:val="0"/>
          <w:sz w:val="28"/>
          <w:szCs w:val="28"/>
          <w:lang w:val="en-US" w:eastAsia="zh-CN"/>
        </w:rPr>
        <w:t>R</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0.5。</w:t>
      </w: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7.1.2 </w:t>
      </w:r>
      <w:r>
        <w:rPr>
          <w:rFonts w:hint="eastAsia"/>
          <w:b/>
          <w:bCs/>
          <w:color w:val="auto"/>
          <w:sz w:val="28"/>
          <w:szCs w:val="28"/>
          <w:lang w:eastAsia="zh-CN"/>
        </w:rPr>
        <w:t>建筑密度</w:t>
      </w:r>
    </w:p>
    <w:p>
      <w:pPr>
        <w:widowControl/>
        <w:spacing w:before="4" w:line="360" w:lineRule="auto"/>
        <w:ind w:left="118" w:right="351" w:firstLineChars="200" w:firstLine="560"/>
        <w:jc w:val="left"/>
        <w:rPr>
          <w:rFonts w:hint="eastAsia"/>
          <w:color w:val="auto"/>
          <w:lang w:eastAsia="zh-CN"/>
        </w:rPr>
      </w:pPr>
      <w:r>
        <w:rPr>
          <w:rFonts w:hint="eastAsia"/>
          <w:color w:val="auto"/>
          <w:sz w:val="28"/>
          <w:szCs w:val="28"/>
          <w:lang w:eastAsia="zh-CN"/>
        </w:rPr>
        <w:t>本规划地块用地面积共</w:t>
      </w:r>
      <w:r>
        <w:rPr>
          <w:rFonts w:hint="eastAsia"/>
          <w:color w:val="auto"/>
          <w:sz w:val="28"/>
          <w:szCs w:val="28"/>
          <w:lang w:val="en-US" w:eastAsia="zh-CN"/>
        </w:rPr>
        <w:t>3300.08㎡，场地面积</w:t>
      </w:r>
      <w:r>
        <w:rPr>
          <w:rFonts w:hint="eastAsia"/>
          <w:color w:val="auto"/>
          <w:sz w:val="28"/>
          <w:szCs w:val="28"/>
          <w:lang w:eastAsia="zh-CN"/>
        </w:rPr>
        <w:t>相对较大</w:t>
      </w:r>
      <w:r>
        <w:rPr>
          <w:rFonts w:ascii="宋体" w:eastAsia="宋体" w:cs="宋体" w:hAnsi="宋体" w:hint="eastAsia"/>
          <w:color w:val="auto"/>
          <w:kern w:val="0"/>
          <w:sz w:val="28"/>
          <w:szCs w:val="28"/>
          <w:lang w:val="en-US" w:eastAsia="zh-CN"/>
        </w:rPr>
        <w:t>，</w:t>
      </w:r>
      <w:r>
        <w:rPr>
          <w:rFonts w:hint="eastAsia"/>
          <w:color w:val="auto"/>
          <w:sz w:val="28"/>
          <w:szCs w:val="28"/>
          <w:lang w:eastAsia="zh-CN"/>
        </w:rPr>
        <w:t>建筑占地面积相对较少。站内除了加油罩棚和站房建筑占少部分用地外，汽油（柴油）工艺设备、隔油池、卸油箱、消防设施、箱式变压器以及新能源充电设备等构筑物体量也较小</w:t>
      </w:r>
      <w:r>
        <w:rPr>
          <w:rFonts w:hint="eastAsia"/>
          <w:color w:val="auto"/>
          <w:sz w:val="28"/>
          <w:szCs w:val="28"/>
          <w:lang w:val="en-US" w:eastAsia="zh-CN"/>
        </w:rPr>
        <w:t>，</w:t>
      </w:r>
      <w:r>
        <w:rPr>
          <w:rFonts w:hint="eastAsia"/>
          <w:color w:val="auto"/>
          <w:sz w:val="28"/>
          <w:szCs w:val="28"/>
          <w:lang w:eastAsia="zh-CN"/>
        </w:rPr>
        <w:t>其余大部分为硬化场地，因此</w:t>
      </w:r>
      <w:r>
        <w:rPr>
          <w:rFonts w:ascii="宋体" w:eastAsia="宋体" w:cs="宋体" w:hAnsi="宋体" w:hint="eastAsia"/>
          <w:color w:val="auto"/>
          <w:kern w:val="0"/>
          <w:sz w:val="28"/>
          <w:szCs w:val="28"/>
          <w:lang w:val="en-US" w:eastAsia="zh-CN"/>
        </w:rPr>
        <w:t>本次</w:t>
      </w:r>
      <w:r>
        <w:rPr>
          <w:rFonts w:hint="eastAsia"/>
          <w:color w:val="auto"/>
          <w:sz w:val="28"/>
          <w:szCs w:val="28"/>
          <w:lang w:val="en-US" w:eastAsia="zh-CN"/>
        </w:rPr>
        <w:t>规划加油站地块的建筑密度控制为≤30%</w:t>
      </w:r>
      <w:r>
        <w:rPr>
          <w:rFonts w:ascii="宋体" w:eastAsia="宋体" w:cs="宋体" w:hAnsi="宋体" w:hint="eastAsia"/>
          <w:color w:val="auto"/>
          <w:kern w:val="0"/>
          <w:sz w:val="28"/>
          <w:szCs w:val="28"/>
        </w:rPr>
        <w:t>。</w:t>
      </w:r>
    </w:p>
    <w:p>
      <w:pPr>
        <w:pStyle w:val="17"/>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7.1.3 </w:t>
      </w:r>
      <w:r>
        <w:rPr>
          <w:rFonts w:hint="eastAsia"/>
          <w:b/>
          <w:bCs/>
          <w:color w:val="auto"/>
          <w:sz w:val="28"/>
          <w:szCs w:val="28"/>
          <w:lang w:eastAsia="zh-CN"/>
        </w:rPr>
        <w:t>绿地率</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该用地主要规划建设汽车加油站，参照《汽车加油加气加氢站技术标准》以及其他相关标准，没有对加油站绿地率设定一个全国统一的强制性数值指标，因此，可结合站区自身使用要求进行种植低矮草坪等进行绿化，但站内不应种植油性植物，且不应种植树木和易造成可燃物堆积的植物。为了营造加油站优美的环境，本规划控制地块绿地率为≥</w:t>
      </w:r>
      <w:r>
        <w:rPr>
          <w:rFonts w:ascii="宋体" w:eastAsia="宋体" w:cs="宋体" w:hAnsi="宋体" w:hint="eastAsia"/>
          <w:color w:val="auto"/>
          <w:kern w:val="0"/>
          <w:sz w:val="28"/>
          <w:szCs w:val="28"/>
          <w:lang w:val="en-US" w:eastAsia="zh-CN"/>
        </w:rPr>
        <w:t>10%。</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7.1.4 建筑限高</w:t>
      </w:r>
    </w:p>
    <w:p>
      <w:pPr>
        <w:widowControl/>
        <w:spacing w:before="4" w:line="360" w:lineRule="auto"/>
        <w:ind w:left="118" w:right="351" w:firstLineChars="200" w:firstLine="560"/>
        <w:jc w:val="left"/>
        <w:rPr>
          <w:color w:val="auto"/>
          <w:lang w:val="en-US" w:eastAsia="zh-CN"/>
        </w:rPr>
      </w:pPr>
      <w:r>
        <w:rPr>
          <w:rFonts w:ascii="宋体" w:eastAsia="宋体" w:cs="宋体" w:hAnsi="宋体" w:hint="eastAsia"/>
          <w:color w:val="auto"/>
          <w:kern w:val="0"/>
          <w:sz w:val="28"/>
          <w:szCs w:val="28"/>
          <w:lang w:eastAsia="zh-CN"/>
        </w:rPr>
        <w:t>加油站营业网点的较高的建（构）筑物主要为加油罩棚和品牌标识柱，根据《汽车加油加气加氢站技术标准》GB50156-2021第14.2.2条规定：“罩棚应采用不燃烧材料建造；进站口无限高措施时，罩棚的净空高度不应小于4.5m；...”，为了确保各类加油车辆尤其是更大型车辆能够安全、无障碍地通行和作业，同时在沿路竖立品牌标识柱提升加油站品牌形象。因此，在加油站满足使用净空高度的前提下，本规划建筑高度控制在≤1</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m</w:t>
      </w:r>
      <w:r>
        <w:rPr>
          <w:rFonts w:hint="eastAsia"/>
          <w:color w:val="auto"/>
          <w:sz w:val="28"/>
          <w:szCs w:val="28"/>
          <w:lang w:val="en-US" w:eastAsia="zh-CN"/>
        </w:rPr>
        <w:t>。</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7.1.5 停车位配建</w:t>
      </w:r>
    </w:p>
    <w:p>
      <w:pPr>
        <w:widowControl/>
        <w:spacing w:before="4" w:line="360" w:lineRule="auto"/>
        <w:ind w:left="0"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本项目主要建设零售加油站点，用地性质</w:t>
      </w:r>
      <w:r>
        <w:rPr>
          <w:rFonts w:ascii="宋体" w:eastAsia="宋体" w:cs="宋体" w:hAnsi="宋体" w:hint="eastAsia"/>
          <w:color w:val="auto"/>
          <w:kern w:val="0"/>
          <w:sz w:val="28"/>
          <w:szCs w:val="28"/>
        </w:rPr>
        <w:t>属于商业服务业用地</w:t>
      </w:r>
      <w:r>
        <w:rPr>
          <w:rFonts w:ascii="宋体" w:eastAsia="宋体" w:cs="宋体" w:hAnsi="宋体" w:hint="eastAsia"/>
          <w:color w:val="auto"/>
          <w:kern w:val="0"/>
          <w:sz w:val="28"/>
          <w:szCs w:val="28"/>
          <w:lang w:eastAsia="zh-CN"/>
        </w:rPr>
        <w:t>的公用设施营业网点</w:t>
      </w:r>
      <w:r>
        <w:rPr>
          <w:rFonts w:ascii="宋体" w:eastAsia="宋体" w:cs="宋体" w:hAnsi="宋体" w:hint="eastAsia"/>
          <w:color w:val="auto"/>
          <w:kern w:val="0"/>
          <w:sz w:val="28"/>
          <w:szCs w:val="28"/>
        </w:rPr>
        <w:t>用地，</w:t>
      </w:r>
      <w:r>
        <w:rPr>
          <w:rFonts w:ascii="宋体" w:eastAsia="宋体" w:cs="宋体" w:hAnsi="宋体" w:hint="eastAsia"/>
          <w:color w:val="auto"/>
          <w:kern w:val="0"/>
          <w:sz w:val="28"/>
          <w:szCs w:val="28"/>
          <w:lang w:eastAsia="zh-CN"/>
        </w:rPr>
        <w:t>则站内机动车停车位数量</w:t>
      </w:r>
      <w:r>
        <w:rPr>
          <w:rFonts w:eastAsia="宋体" w:hint="eastAsia"/>
          <w:color w:val="auto"/>
          <w:sz w:val="28"/>
          <w:szCs w:val="28"/>
          <w:lang w:eastAsia="zh-CN"/>
        </w:rPr>
        <w:t>参照《钦州市城市规划技术标准与准则》的社区商业类取指标值“</w:t>
      </w:r>
      <w:r>
        <w:rPr>
          <w:rFonts w:eastAsia="宋体" w:hint="eastAsia"/>
          <w:color w:val="auto"/>
          <w:sz w:val="28"/>
          <w:szCs w:val="28"/>
          <w:lang w:val="en-US" w:eastAsia="zh-CN"/>
        </w:rPr>
        <w:t>0.8</w:t>
      </w:r>
      <w:r>
        <w:rPr>
          <w:rFonts w:eastAsia="宋体" w:hint="eastAsia"/>
          <w:color w:val="auto"/>
          <w:sz w:val="28"/>
          <w:szCs w:val="28"/>
          <w:lang w:eastAsia="zh-CN"/>
        </w:rPr>
        <w:t>泊位/100㎡建筑面积”进行配建</w:t>
      </w:r>
      <w:r>
        <w:rPr>
          <w:rFonts w:hint="eastAsia"/>
          <w:color w:val="auto"/>
          <w:sz w:val="28"/>
          <w:szCs w:val="28"/>
          <w:lang w:eastAsia="zh-CN"/>
        </w:rPr>
        <w:t>。</w:t>
      </w:r>
    </w:p>
    <w:p>
      <w:pPr>
        <w:pStyle w:val="17"/>
        <w:widowControl/>
        <w:autoSpaceDE w:val="0"/>
        <w:autoSpaceDN w:val="0"/>
        <w:spacing w:before="4" w:line="420" w:lineRule="auto"/>
        <w:ind w:left="118" w:right="351" w:firstLineChars="200" w:firstLine="560"/>
        <w:jc w:val="left"/>
        <w:rPr>
          <w:b/>
          <w:bCs/>
          <w:color w:val="auto"/>
          <w:sz w:val="28"/>
          <w:szCs w:val="28"/>
          <w:lang w:val="en-US" w:eastAsia="zh-CN"/>
        </w:rPr>
      </w:pPr>
      <w:r>
        <w:rPr>
          <w:rFonts w:hint="eastAsia"/>
          <w:b/>
          <w:bCs/>
          <w:color w:val="auto"/>
          <w:sz w:val="28"/>
          <w:szCs w:val="28"/>
          <w:lang w:val="en-US" w:eastAsia="zh-CN"/>
        </w:rPr>
        <w:t>7.1.6 建筑间距规定</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建筑间距的规定包括建筑正面间距、侧向间距等。建筑之间的防火间距应符合《建筑设计防火规范》GB50016-2014（2018年版）的要求，同时综合考虑日照、采光、通风、消防、防灾、管线埋设和视觉卫生等要求，并结合建设用地工程管线布置和施工安全等方面的实际情况确定。</w:t>
      </w:r>
    </w:p>
    <w:p>
      <w:pPr>
        <w:widowControl/>
        <w:spacing w:before="4" w:line="360" w:lineRule="auto"/>
        <w:ind w:left="0" w:right="351" w:firstLineChars="200" w:firstLine="560"/>
        <w:jc w:val="left"/>
        <w:rPr>
          <w:rFonts w:hint="eastAsia"/>
          <w:color w:val="auto"/>
          <w:sz w:val="28"/>
          <w:szCs w:val="28"/>
          <w:lang w:eastAsia="zh-CN"/>
        </w:rPr>
      </w:pPr>
      <w:r>
        <w:rPr>
          <w:rFonts w:hint="eastAsia"/>
          <w:color w:val="auto"/>
          <w:sz w:val="28"/>
          <w:szCs w:val="28"/>
          <w:lang w:val="en-US" w:eastAsia="zh-CN"/>
        </w:rPr>
        <w:t>规划的公用设施营业网点用地主要建设三级加油站和站房等配套设施，除应符合现行建筑设计防火规范外，同时应符合《汽车加油加气加氢站技术标准》（GB50156-2021）第4.0.4条的规定。具体详见本说明第六章第6.4点关于“安全防护规划”的说明。</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7.1.7 建筑退让管控</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控制建筑后退道路红线的目的是为了组织地块内部交通、日照、消防救灾等要求。本规划新建建筑后退用地红线和道路红线的距离主要参照《钦州市城市规划标准与准则》的规定，同时结合当地城镇建设管理要求按以下规定进行控制。</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（1）建筑退让用地红线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根据项目用地红线范围和规划布局，本规划加油站的主要建筑为加油罩棚和站房，其中站房位于地块东侧，建筑高度＜</w:t>
      </w:r>
      <w:r>
        <w:rPr>
          <w:rFonts w:hint="eastAsia"/>
          <w:color w:val="auto"/>
          <w:sz w:val="28"/>
          <w:szCs w:val="28"/>
          <w:lang w:val="en-US" w:eastAsia="zh-CN"/>
        </w:rPr>
        <w:t>10米，按规范要求站房的主要朝向和次要朝向退让用地红线距离≥6米</w:t>
      </w:r>
      <w:r>
        <w:rPr>
          <w:rFonts w:hint="eastAsia"/>
          <w:color w:val="auto"/>
          <w:sz w:val="28"/>
          <w:szCs w:val="28"/>
          <w:lang w:eastAsia="zh-CN"/>
        </w:rPr>
        <w:t>。</w:t>
      </w:r>
    </w:p>
    <w:p>
      <w:pPr>
        <w:widowControl/>
        <w:autoSpaceDE w:val="0"/>
        <w:autoSpaceDN w:val="0"/>
        <w:spacing w:before="4" w:line="360" w:lineRule="auto"/>
        <w:ind w:left="118" w:right="351" w:firstLineChars="200" w:firstLine="560"/>
        <w:jc w:val="left"/>
        <w:rPr>
          <w:rFonts w:hint="eastAsia"/>
          <w:color w:val="auto"/>
          <w:sz w:val="28"/>
          <w:szCs w:val="28"/>
          <w:lang w:val="en-US" w:eastAsia="zh-CN"/>
        </w:rPr>
      </w:pPr>
      <w:r>
        <w:rPr>
          <w:rFonts w:hint="eastAsia"/>
          <w:color w:val="auto"/>
          <w:sz w:val="28"/>
          <w:szCs w:val="28"/>
          <w:lang w:eastAsia="zh-CN"/>
        </w:rPr>
        <w:t>（2）建筑后退道路红线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val="en-US" w:eastAsia="zh-CN"/>
        </w:rPr>
        <w:t>本规划地块位于大直镇区南面城郊，西侧为G210国道，现状路面宽度为12米，根据《公路安全保护条例》（国务院令第593号）第十一条：“...公路建筑控制区的范围，从公路用地外缘起向外的距离标准为：国道不少于20米...”。本地块内规划加油站距道路最近的建筑物为罩棚，位于地块西侧，面向G210国道，本规划控制建筑退让G210国道用地外缘起向外的距离≥20米，符合公路建筑后退国道不少于20米退距，以及符合《公路路线设计规范》（JTG D20—2017）平曲线路段会车安全视距的要求</w:t>
      </w:r>
      <w:r>
        <w:rPr>
          <w:rFonts w:hint="eastAsia"/>
          <w:color w:val="auto"/>
          <w:sz w:val="28"/>
          <w:szCs w:val="28"/>
          <w:lang w:eastAsia="zh-CN"/>
        </w:rPr>
        <w:t>。</w:t>
      </w:r>
    </w:p>
    <w:p>
      <w:pPr>
        <w:pStyle w:val="17"/>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7.1.8 建（构）筑物立面控制</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根据本地块用地性质，加油站内建筑宜设置</w:t>
      </w:r>
      <w:r>
        <w:rPr>
          <w:rFonts w:ascii="宋体" w:eastAsia="宋体" w:cs="宋体" w:hAnsi="宋体" w:hint="eastAsia"/>
          <w:color w:val="auto"/>
          <w:kern w:val="0"/>
          <w:sz w:val="28"/>
          <w:szCs w:val="28"/>
          <w:lang w:val="en-US" w:eastAsia="zh-CN"/>
        </w:rPr>
        <w:t>单层的低层建筑，建筑耐火等级不低于二级</w:t>
      </w:r>
      <w:r>
        <w:rPr>
          <w:rFonts w:hint="eastAsia"/>
          <w:color w:val="auto"/>
          <w:sz w:val="28"/>
          <w:szCs w:val="28"/>
          <w:lang w:eastAsia="zh-CN"/>
        </w:rPr>
        <w:t>。加油罩棚、站房墙体、围墙等建筑构件采用不燃烧体材料，在基于以上安全、功能识别和防火等规范要求的基础上，站区建筑立面设计主要从经济、美观的角度出发，营造立面层次丰富感，采用现代简约的建筑风格，立面色调、造型、材质等力求协调，确保品牌形象标识统一，与周边自然环境相融。</w:t>
      </w:r>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eastAsia="zh-CN"/>
        </w:rPr>
      </w:pPr>
      <w:r>
        <w:rPr>
          <w:rFonts w:hint="eastAsia"/>
          <w:b/>
          <w:bCs/>
          <w:color w:val="auto"/>
          <w:sz w:val="28"/>
          <w:szCs w:val="28"/>
          <w:lang w:val="en-US" w:eastAsia="zh-CN"/>
        </w:rPr>
        <w:t>7.1.9 交通管控</w:t>
      </w:r>
    </w:p>
    <w:p>
      <w:pPr>
        <w:widowControl/>
        <w:autoSpaceDE w:val="0"/>
        <w:autoSpaceDN w:val="0"/>
        <w:spacing w:before="4" w:line="360" w:lineRule="auto"/>
        <w:ind w:left="118" w:right="351" w:firstLineChars="200" w:firstLine="560"/>
        <w:jc w:val="left"/>
        <w:rPr>
          <w:color w:val="auto"/>
          <w:lang w:val="en-US"/>
        </w:rPr>
      </w:pPr>
      <w:r>
        <w:rPr>
          <w:rFonts w:ascii="宋体" w:eastAsia="宋体" w:cs="宋体" w:hAnsi="宋体" w:hint="eastAsia"/>
          <w:color w:val="auto"/>
          <w:kern w:val="0"/>
          <w:sz w:val="28"/>
          <w:szCs w:val="28"/>
          <w:lang w:eastAsia="zh-CN"/>
        </w:rPr>
        <w:t>规划用地西向为</w:t>
      </w:r>
      <w:r>
        <w:rPr>
          <w:rFonts w:ascii="宋体" w:eastAsia="宋体" w:cs="宋体" w:hAnsi="宋体" w:hint="eastAsia"/>
          <w:color w:val="auto"/>
          <w:kern w:val="0"/>
          <w:sz w:val="28"/>
          <w:szCs w:val="28"/>
          <w:lang w:val="en-US" w:eastAsia="zh-CN"/>
        </w:rPr>
        <w:t>G210国道，地块</w:t>
      </w:r>
      <w:r>
        <w:rPr>
          <w:rFonts w:ascii="宋体" w:eastAsia="宋体" w:cs="宋体" w:hAnsi="宋体" w:hint="eastAsia"/>
          <w:color w:val="auto"/>
          <w:kern w:val="0"/>
          <w:sz w:val="28"/>
          <w:szCs w:val="28"/>
          <w:lang w:eastAsia="zh-CN"/>
        </w:rPr>
        <w:t>车辆入口和出口分开设置并与国道衔接，其中入口规划于加油站西南角，出口规划于西北角，</w:t>
      </w:r>
      <w:r>
        <w:rPr>
          <w:rFonts w:ascii="宋体" w:eastAsia="宋体" w:cs="宋体" w:hAnsi="宋体" w:hint="eastAsia"/>
          <w:color w:val="auto"/>
          <w:kern w:val="0"/>
          <w:sz w:val="28"/>
          <w:szCs w:val="28"/>
          <w:lang w:val="en-US" w:eastAsia="zh-CN"/>
        </w:rPr>
        <w:t>两个道口</w:t>
      </w:r>
      <w:r>
        <w:rPr>
          <w:rFonts w:ascii="宋体" w:eastAsia="宋体" w:cs="宋体" w:hAnsi="宋体" w:hint="eastAsia"/>
          <w:color w:val="auto"/>
          <w:kern w:val="0"/>
          <w:sz w:val="28"/>
          <w:szCs w:val="28"/>
          <w:lang w:eastAsia="zh-CN"/>
        </w:rPr>
        <w:t>中点距离约</w:t>
      </w:r>
      <w:r>
        <w:rPr>
          <w:rFonts w:ascii="宋体" w:eastAsia="宋体" w:cs="宋体" w:hAnsi="宋体" w:hint="eastAsia"/>
          <w:color w:val="auto"/>
          <w:kern w:val="0"/>
          <w:sz w:val="28"/>
          <w:szCs w:val="28"/>
          <w:lang w:val="en-US" w:eastAsia="zh-CN"/>
        </w:rPr>
        <w:t>63米，出口距地块北面的G210国道与南防南路交叉口距离约为250米。</w:t>
      </w:r>
      <w:r>
        <w:rPr>
          <w:rFonts w:ascii="宋体" w:eastAsia="宋体" w:cs="宋体" w:hAnsi="宋体" w:hint="eastAsia"/>
          <w:color w:val="auto"/>
          <w:kern w:val="0"/>
          <w:sz w:val="28"/>
          <w:szCs w:val="28"/>
          <w:lang w:eastAsia="zh-CN"/>
        </w:rPr>
        <w:t>规划对该地块出入口实行右进右出交通流线，同时对该路段进行限速、设指示牌、禁止车辆跨越、超车、掉头或轧线行驶等方面交通管控</w:t>
      </w:r>
      <w:r>
        <w:rPr>
          <w:rFonts w:ascii="宋体" w:eastAsia="宋体" w:cs="宋体" w:hAnsi="宋体" w:hint="eastAsia"/>
          <w:color w:val="auto"/>
          <w:kern w:val="0"/>
          <w:sz w:val="28"/>
          <w:szCs w:val="28"/>
          <w:lang w:val="en-US" w:eastAsia="zh-CN"/>
        </w:rPr>
        <w:t>。入口至出口的排水沟要铺设盖板边沟。两个出入口之间的范围、出入口与用地红线之间预留的车辆转弯范围均为禁止机动车开口管控路段，</w:t>
      </w:r>
      <w:r>
        <w:rPr>
          <w:rFonts w:ascii="宋体" w:eastAsia="宋体" w:cs="宋体" w:hAnsi="宋体" w:hint="eastAsia"/>
          <w:color w:val="auto"/>
          <w:kern w:val="0"/>
          <w:sz w:val="28"/>
          <w:szCs w:val="28"/>
          <w:lang w:eastAsia="zh-CN"/>
        </w:rPr>
        <w:t>保障车辆的安全出入</w:t>
      </w:r>
      <w:r>
        <w:rPr>
          <w:rFonts w:ascii="宋体" w:eastAsia="宋体" w:cs="宋体" w:hAnsi="宋体" w:hint="eastAsia"/>
          <w:color w:val="auto"/>
          <w:kern w:val="0"/>
          <w:sz w:val="28"/>
          <w:szCs w:val="28"/>
          <w:lang w:val="en-US" w:eastAsia="zh-CN"/>
        </w:rPr>
        <w:t>。（具体位置详见图）</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0" w:name="_Toc14924"/>
      <w:r>
        <w:rPr>
          <w:rFonts w:ascii="宋体" w:eastAsia="宋体" w:cs="宋体" w:hAnsi="宋体" w:hint="eastAsia"/>
          <w:bCs/>
          <w:color w:val="auto"/>
          <w:sz w:val="32"/>
          <w:szCs w:val="32"/>
          <w:lang w:val="en-US" w:eastAsia="zh-CN"/>
        </w:rPr>
        <w:t>7.2地块控制指标表</w:t>
      </w:r>
      <w:bookmarkEnd w:id="50"/>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规划的加油地块用地性质为公用设施营业网点用地（地类用地代码</w:t>
      </w:r>
      <w:r>
        <w:rPr>
          <w:rFonts w:ascii="宋体" w:eastAsia="宋体" w:cs="宋体" w:hAnsi="宋体" w:hint="eastAsia"/>
          <w:color w:val="auto"/>
          <w:kern w:val="0"/>
          <w:sz w:val="28"/>
          <w:szCs w:val="28"/>
          <w:lang w:val="en-US" w:eastAsia="zh-CN"/>
        </w:rPr>
        <w:t>090105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lang w:val="en-US" w:eastAsia="zh-CN"/>
        </w:rPr>
        <w:t>地块编号拟为DZ-01，“DZ”表示为“大直”大写拼音首字母，最终以规划主管部门定义的地块编号为准。</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本规划项目的地块编号、用地代码、用地性质、用地面积以及其他具体管控内容详见下表：</w:t>
      </w:r>
    </w:p>
    <w:p>
      <w:pPr>
        <w:widowControl/>
        <w:spacing w:before="4" w:line="360" w:lineRule="auto"/>
        <w:ind w:left="118" w:right="351" w:firstLineChars="200" w:firstLine="480"/>
        <w:jc w:val="center"/>
        <w:rPr>
          <w:rFonts w:ascii="宋体" w:eastAsia="宋体" w:cs="宋体" w:hAnsi="宋体" w:hint="eastAsia"/>
          <w:color w:val="auto"/>
          <w:kern w:val="0"/>
          <w:sz w:val="24"/>
          <w:szCs w:val="24"/>
          <w:lang w:val="en-US" w:eastAsia="zh-CN"/>
        </w:rPr>
      </w:pPr>
      <w:r>
        <w:rPr>
          <w:rFonts w:ascii="宋体" w:eastAsia="宋体" w:cs="宋体" w:hAnsi="宋体" w:hint="eastAsia"/>
          <w:color w:val="auto"/>
          <w:kern w:val="0"/>
          <w:sz w:val="24"/>
          <w:szCs w:val="24"/>
          <w:lang w:val="en-US" w:eastAsia="zh-CN"/>
        </w:rPr>
        <w:t>地块控制指标一览表</w:t>
      </w:r>
    </w:p>
    <w:tbl>
      <w:tblPr>
        <w:jc w:val="left"/>
        <w:tblInd w:w="0" w:type="dxa"/>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52"/>
        <w:gridCol w:w="899"/>
        <w:gridCol w:w="909"/>
        <w:gridCol w:w="704"/>
        <w:gridCol w:w="784"/>
        <w:gridCol w:w="693"/>
        <w:gridCol w:w="758"/>
        <w:gridCol w:w="726"/>
        <w:gridCol w:w="662"/>
        <w:gridCol w:w="686"/>
        <w:gridCol w:w="479"/>
        <w:gridCol w:w="646"/>
      </w:tblGrid>
      <w:tr>
        <w:trPr>
          <w:trHeight w:val="2143"/>
          <w:tblHeader/>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地块</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编号</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89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代码</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90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性质</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704"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主导</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功能</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面积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比例</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784"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不可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兼容</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类型</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(负面</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清单)</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用地面积(公顷）</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容</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率</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建筑密度</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/建筑系数(%)</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绿</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率(%)</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建筑限高(米)</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配套设施</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备</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注</w:t>
            </w:r>
          </w:p>
        </w:tc>
      </w:tr>
      <w:tr>
        <w:trPr>
          <w:trHeight w:val="544"/>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DZ-01</w:t>
            </w:r>
          </w:p>
        </w:tc>
        <w:tc>
          <w:tcPr>
            <w:tcW w:w="89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090105</w:t>
            </w:r>
          </w:p>
        </w:tc>
        <w:tc>
          <w:tcPr>
            <w:tcW w:w="90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公用设施营业网点用地</w:t>
            </w:r>
          </w:p>
        </w:tc>
        <w:tc>
          <w:tcPr>
            <w:tcW w:w="704"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84"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0.33</w:t>
            </w:r>
          </w:p>
        </w:tc>
        <w:tc>
          <w:tcPr>
            <w:tcW w:w="75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≤0.5</w:t>
            </w:r>
          </w:p>
        </w:tc>
        <w:tc>
          <w:tcPr>
            <w:tcW w:w="72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≤30</w:t>
            </w:r>
          </w:p>
        </w:tc>
        <w:tc>
          <w:tcPr>
            <w:tcW w:w="66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w:t>
            </w:r>
          </w:p>
        </w:tc>
        <w:tc>
          <w:tcPr>
            <w:tcW w:w="68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12</w:t>
            </w:r>
          </w:p>
        </w:tc>
        <w:tc>
          <w:tcPr>
            <w:tcW w:w="47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46"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加油站</w:t>
            </w:r>
          </w:p>
        </w:tc>
      </w:tr>
    </w:tbl>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51" w:name="_Toc19341"/>
      <w:r>
        <w:rPr>
          <w:rFonts w:ascii="宋体" w:eastAsia="宋体" w:cs="宋体" w:hAnsi="宋体" w:hint="eastAsia"/>
          <w:bCs/>
          <w:color w:val="auto"/>
          <w:sz w:val="32"/>
          <w:szCs w:val="32"/>
          <w:lang w:eastAsia="zh-CN"/>
        </w:rPr>
        <w:t>第八章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环境保护</w:t>
      </w:r>
      <w:r>
        <w:rPr>
          <w:rFonts w:ascii="宋体" w:eastAsia="宋体" w:cs="宋体" w:hAnsi="宋体" w:hint="eastAsia"/>
          <w:bCs/>
          <w:color w:val="auto"/>
          <w:sz w:val="32"/>
          <w:szCs w:val="32"/>
        </w:rPr>
        <w:t>规划</w:t>
      </w:r>
      <w:bookmarkEnd w:id="51"/>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2" w:name="_Toc14610"/>
      <w:r>
        <w:rPr>
          <w:rFonts w:ascii="宋体" w:eastAsia="宋体" w:cs="宋体" w:hAnsi="宋体" w:hint="eastAsia"/>
          <w:bCs/>
          <w:color w:val="auto"/>
          <w:sz w:val="32"/>
          <w:szCs w:val="32"/>
          <w:lang w:val="en-US" w:eastAsia="zh-CN"/>
        </w:rPr>
        <w:t>8.1规划依据</w:t>
      </w:r>
      <w:bookmarkEnd w:id="52"/>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《中华人民共和国环境保护法（</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4</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（2）《中华人民共和国环境影响评价法（2018年修正）》；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（3）《中华人民共和国大气污染防治法（2018年修正）》；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（4）《中华人民共和国水污染防治法》（2017年修正）；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《中华人民共和国固体废物污染环境防治法》</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w:t>
      </w:r>
      <w:r>
        <w:rPr>
          <w:rFonts w:ascii="宋体" w:eastAsia="宋体" w:cs="宋体" w:hAnsi="宋体" w:hint="eastAsia"/>
          <w:color w:val="auto"/>
          <w:kern w:val="0"/>
          <w:sz w:val="28"/>
          <w:szCs w:val="28"/>
          <w:lang w:val="en-US" w:eastAsia="zh-CN"/>
        </w:rPr>
        <w:t>20</w:t>
      </w:r>
      <w:r>
        <w:rPr>
          <w:rFonts w:ascii="宋体" w:eastAsia="宋体" w:cs="宋体" w:hAnsi="宋体"/>
          <w:color w:val="auto"/>
          <w:kern w:val="0"/>
          <w:sz w:val="28"/>
          <w:szCs w:val="28"/>
        </w:rPr>
        <w:t>年修订）</w:t>
      </w:r>
      <w:r>
        <w:rPr>
          <w:rFonts w:ascii="宋体" w:eastAsia="宋体" w:cs="宋体" w:hAnsi="宋体" w:hint="eastAsia"/>
          <w:color w:val="auto"/>
          <w:kern w:val="0"/>
          <w:sz w:val="28"/>
          <w:szCs w:val="28"/>
          <w:lang w:val="en-US" w:eastAsia="zh-CN"/>
        </w:rPr>
        <w:t>；</w:t>
      </w:r>
    </w:p>
    <w:p>
      <w:pPr>
        <w:widowControl/>
        <w:spacing w:before="4" w:line="360" w:lineRule="auto"/>
        <w:ind w:leftChars="322" w:left="676" w:right="351" w:firstLine="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（6）《中华人民共和国环境噪声污染防治法》（2022年）；（7）《中华人民共和国土壤污染防治法》（2019年）；</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（8）《中华人民共和国可再生能源法》（2010年修订）；</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（9）</w:t>
      </w:r>
      <w:r>
        <w:rPr>
          <w:rFonts w:ascii="宋体" w:eastAsia="宋体" w:cs="宋体" w:hAnsi="宋体" w:hint="eastAsia"/>
          <w:color w:val="auto"/>
          <w:kern w:val="0"/>
          <w:sz w:val="28"/>
          <w:szCs w:val="28"/>
        </w:rPr>
        <w:t>《中华人民共和国</w:t>
      </w:r>
      <w:r>
        <w:rPr>
          <w:rFonts w:ascii="宋体" w:eastAsia="宋体" w:cs="宋体" w:hAnsi="宋体" w:hint="eastAsia"/>
          <w:color w:val="auto"/>
          <w:kern w:val="0"/>
          <w:sz w:val="28"/>
          <w:szCs w:val="28"/>
          <w:lang w:eastAsia="zh-CN"/>
        </w:rPr>
        <w:t>自然保护区条例</w:t>
      </w:r>
      <w:r>
        <w:rPr>
          <w:rFonts w:ascii="宋体" w:eastAsia="宋体" w:cs="宋体" w:hAnsi="宋体" w:hint="eastAsia"/>
          <w:color w:val="auto"/>
          <w:kern w:val="0"/>
          <w:sz w:val="28"/>
          <w:szCs w:val="28"/>
        </w:rPr>
        <w:t>》（</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eastAsia="zh-CN"/>
        </w:rPr>
        <w:t>7</w:t>
      </w:r>
      <w:r>
        <w:rPr>
          <w:rFonts w:ascii="宋体" w:eastAsia="宋体" w:cs="宋体" w:hAnsi="宋体"/>
          <w:color w:val="auto"/>
          <w:kern w:val="0"/>
          <w:sz w:val="28"/>
          <w:szCs w:val="28"/>
        </w:rPr>
        <w:t>年</w:t>
      </w:r>
      <w:r>
        <w:rPr>
          <w:rFonts w:ascii="宋体" w:eastAsia="宋体" w:cs="宋体" w:hAnsi="宋体" w:hint="eastAsia"/>
          <w:color w:val="auto"/>
          <w:kern w:val="0"/>
          <w:sz w:val="28"/>
          <w:szCs w:val="28"/>
          <w:lang w:eastAsia="zh-CN"/>
        </w:rPr>
        <w:t>修订</w:t>
      </w:r>
      <w:r>
        <w:rPr>
          <w:rFonts w:ascii="宋体" w:eastAsia="宋体" w:cs="宋体" w:hAnsi="宋体"/>
          <w:color w:val="auto"/>
          <w:kern w:val="0"/>
          <w:sz w:val="28"/>
          <w:szCs w:val="28"/>
        </w:rPr>
        <w:t>）</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（10）其他有关法规以及应执行的各个环境标准。</w:t>
      </w:r>
    </w:p>
    <w:p>
      <w:pPr>
        <w:pStyle w:val="1"/>
        <w:numPr>
          <w:ilvl w:val="0"/>
          <w:numId w:val="0"/>
        </w:numPr>
        <w:spacing w:before="260" w:line="360" w:lineRule="auto"/>
        <w:ind w:left="420"/>
        <w:rPr>
          <w:rFonts w:ascii="宋体" w:eastAsia="宋体" w:cs="宋体" w:hAnsi="宋体" w:hint="eastAsia"/>
          <w:color w:val="auto"/>
          <w:kern w:val="0"/>
          <w:sz w:val="28"/>
          <w:szCs w:val="28"/>
          <w:lang w:val="en-US" w:eastAsia="zh-CN"/>
        </w:rPr>
      </w:pPr>
      <w:bookmarkStart w:id="53" w:name="_Toc18136"/>
      <w:r>
        <w:rPr>
          <w:rFonts w:ascii="宋体" w:eastAsia="宋体" w:cs="宋体" w:hAnsi="宋体" w:hint="eastAsia"/>
          <w:bCs/>
          <w:color w:val="auto"/>
          <w:sz w:val="32"/>
          <w:szCs w:val="32"/>
          <w:lang w:val="en-US" w:eastAsia="zh-CN"/>
        </w:rPr>
        <w:t>8.2加油站建设对环境可能造成的影响分析</w:t>
      </w:r>
      <w:bookmarkEnd w:id="53"/>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8.2.1</w:t>
      </w:r>
      <w:r>
        <w:rPr>
          <w:rFonts w:hint="eastAsia"/>
          <w:color w:val="auto"/>
        </w:rPr>
        <w:t xml:space="preserve"> </w:t>
      </w:r>
      <w:r>
        <w:rPr>
          <w:rFonts w:hint="eastAsia"/>
          <w:b/>
          <w:bCs/>
          <w:color w:val="auto"/>
          <w:sz w:val="28"/>
          <w:szCs w:val="28"/>
          <w:lang w:eastAsia="zh-CN"/>
        </w:rPr>
        <w:t>建设期的主要污染源和污染物</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（1）水环境影响分析</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陆域施工废水。陆域施工过程中因降雨水土流失产生少量的废水，主要污染因子为SS。陆域施工人员产生的生活污水。</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（2）环境空气影响分析</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场地平整、材料运输、装卸及堆存等各种施工活动将给施工现场造成粉尘污染影响。由于</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该区域气候条件，不利于稀释扩散，对大气环境质量造成影响。</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（3）噪声影响分析</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主要包括施工机械噪声和施工车辆交通噪声。其噪声值为75～110dB(A)。</w:t>
      </w:r>
    </w:p>
    <w:p>
      <w:pPr>
        <w:widowControl/>
        <w:spacing w:before="4" w:line="360" w:lineRule="auto"/>
        <w:ind w:left="118" w:right="351" w:firstLineChars="200" w:firstLine="560"/>
        <w:jc w:val="left"/>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（4）固体废物影响分析</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cs="宋体" w:hAnsi="宋体" w:hint="eastAsia"/>
          <w:color w:val="auto"/>
          <w:kern w:val="0"/>
          <w:sz w:val="28"/>
          <w:szCs w:val="28"/>
          <w:lang w:val="en-US" w:eastAsia="zh-CN"/>
        </w:rPr>
        <w:t>固体废物主要是施工产生的建筑垃圾、清淤废物和施工人员生活垃圾</w:t>
      </w:r>
      <w:r>
        <w:rPr>
          <w:rFonts w:ascii="宋体" w:eastAsia="宋体" w:cs="宋体" w:hAnsi="宋体" w:hint="eastAsia"/>
          <w:color w:val="auto"/>
          <w:kern w:val="0"/>
          <w:sz w:val="28"/>
          <w:szCs w:val="28"/>
          <w:lang w:val="en-US" w:eastAsia="zh-CN"/>
        </w:rPr>
        <w:t>。</w:t>
      </w:r>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8.2.2</w:t>
      </w:r>
      <w:r>
        <w:rPr>
          <w:rFonts w:hint="eastAsia"/>
          <w:color w:val="auto"/>
        </w:rPr>
        <w:t xml:space="preserve"> </w:t>
      </w:r>
      <w:r>
        <w:rPr>
          <w:rFonts w:hint="eastAsia"/>
          <w:b/>
          <w:bCs/>
          <w:color w:val="auto"/>
          <w:sz w:val="28"/>
          <w:szCs w:val="28"/>
          <w:lang w:eastAsia="zh-CN"/>
        </w:rPr>
        <w:t>运营期的主要污染源和危害</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加油站在接收、储存和加注成品油及其他作业中，会产生一些对环境有污染的油蒸</w:t>
      </w:r>
      <w:r>
        <w:rPr>
          <w:rFonts w:ascii="宋体" w:eastAsia="宋体" w:cs="宋体" w:hAnsi="宋体"/>
          <w:color w:val="auto"/>
          <w:kern w:val="0"/>
          <w:sz w:val="28"/>
          <w:szCs w:val="28"/>
          <w:lang w:val="en-US" w:eastAsia="zh-CN"/>
        </w:rPr>
        <w:t>汽</w:t>
      </w:r>
      <w:r>
        <w:rPr>
          <w:rFonts w:ascii="宋体" w:eastAsia="宋体" w:cs="宋体" w:hAnsi="宋体" w:hint="eastAsia"/>
          <w:color w:val="auto"/>
          <w:kern w:val="0"/>
          <w:sz w:val="28"/>
          <w:szCs w:val="28"/>
          <w:lang w:val="en-US" w:eastAsia="zh-CN"/>
        </w:rPr>
        <w:t>、含油污水等物质。正确认识加油站污染的危害性，弄清其来源，掌握减少污染的措施，搞好环境保护管理，对于搞好加油站管理，造福社会，保护环境具有重要的现实意义。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（1）燃料的自然蒸发</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加油站存储的主要是轻质油品-汽油或柴油、液化石油气。车用汽油、柴油和液化石油气在接收、储存和加注时极易蒸发，产生油蒸汽，对油蒸汽处置不当，就会使大量油蒸汽进入大气中，造成蒸发损耗，这不仅造成燃料资源的损失和燃料质量的降低，而且油蒸汽是有毒气体，会对环境造成一定程度的污染。</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（2）使用后油品的泼洒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各种形式的废旧油品泼洒现象将造成加油站作业区的严重污染，这样既增加了不安全因素，也危害作业人员的身心健康，还会对水源、地下水和大气资源造成污染。</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（3）含油污水的排放</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加油站中含油污水的主要来源是清洗油罐和管线、洗修油桶、更新油品以及汽车加油场、加油车间等有油存在的建（构）筑物地坪产生的含油污水。</w:t>
      </w:r>
    </w:p>
    <w:p>
      <w:pPr>
        <w:pStyle w:val="1"/>
        <w:numPr>
          <w:ilvl w:val="0"/>
          <w:numId w:val="0"/>
        </w:numPr>
        <w:spacing w:before="260" w:line="360" w:lineRule="auto"/>
        <w:ind w:left="420"/>
        <w:rPr>
          <w:rFonts w:ascii="宋体" w:eastAsia="宋体" w:cs="宋体" w:hAnsi="宋体" w:hint="eastAsia"/>
          <w:color w:val="auto"/>
          <w:kern w:val="0"/>
          <w:sz w:val="28"/>
          <w:szCs w:val="28"/>
          <w:lang w:val="en-US" w:eastAsia="zh-CN"/>
        </w:rPr>
      </w:pPr>
      <w:bookmarkStart w:id="54" w:name="_Toc11252"/>
      <w:r>
        <w:rPr>
          <w:rFonts w:ascii="宋体" w:eastAsia="宋体" w:cs="宋体" w:hAnsi="宋体" w:hint="eastAsia"/>
          <w:bCs/>
          <w:color w:val="auto"/>
          <w:sz w:val="32"/>
          <w:szCs w:val="32"/>
          <w:lang w:val="en-US" w:eastAsia="zh-CN"/>
        </w:rPr>
        <w:t>8.3环境保护规划</w:t>
      </w:r>
      <w:bookmarkEnd w:id="54"/>
    </w:p>
    <w:p>
      <w:pPr>
        <w:pStyle w:val="17"/>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8.3.1</w:t>
      </w:r>
      <w:r>
        <w:rPr>
          <w:rFonts w:hint="eastAsia"/>
          <w:color w:val="auto"/>
        </w:rPr>
        <w:t xml:space="preserve"> </w:t>
      </w:r>
      <w:r>
        <w:rPr>
          <w:rFonts w:hint="eastAsia"/>
          <w:b/>
          <w:bCs/>
          <w:color w:val="auto"/>
          <w:sz w:val="28"/>
          <w:szCs w:val="28"/>
          <w:lang w:eastAsia="zh-CN"/>
        </w:rPr>
        <w:t>控制污染和生态变化的治理措施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cs="宋体" w:hAnsi="宋体" w:hint="eastAsia"/>
          <w:color w:val="auto"/>
          <w:kern w:val="0"/>
          <w:sz w:val="28"/>
          <w:szCs w:val="28"/>
          <w:lang w:val="en-US" w:eastAsia="zh-CN"/>
        </w:rPr>
        <w:t>为了预防或减轻加油站建设对环境造成的影响，应严格执行环境保护政策，项目建设遵循城市总体规划和各专项规划的要求，加强环保知识宣传，采取有效环保措施。以“预防为主， 防治结合，综合治理”为原则，设计施工严格执行环保“三同时”制度。规划加油站具体的环保治理措施如下：</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（1）加油站建设期环境治理措施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1）大气污染防治措施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①选择风力较小的天气进行土方作业，减少起尘量，尽量缩短土石料的运输距离。施工场地四周采用简易围屏，以减少扬尘的逸散。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②汽车运输砂土、水泥、碎石等易起尘的物料要加盖蓬布、控制车速，防止物料洒落和产生扬尘。卸车时尽量减小落差。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③对陆域施工现场以及运送土石方的道路实施清扫、洒水措施，保持车辆出入口路面清洁、润湿。回填场地陆域形成后，尽快铺设遮盖物，减小土方形成和场地铺砌之间的时间间隔，并对各类推土施工作业做到随土随压随夯，减少水土流失。对推过的土地及时整理，并进行植被恢复或绿化和浆砌块石防护。</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④加强对施工机械、车辆的维修保养，禁止以柴油为燃料的施工机械超负荷工作，减少烟气和颗粒物的排放。施工机械、车辆装设尾气处理装置，以减少有害气体污染。</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⑤加油站建设期间土方作业应加强洒水等抑尘措施，减少施工产生的粉尘对环境造成影响。</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2）水污染防治措施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严格控制施工队伍生产、生活污水的排放，严禁油料泄漏或倾倒废油料。</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3）噪声污染防治措施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①施工机械要采用低噪声设备，加强设备的日常维修保养，使施工机械保持良好状态，避免超过正常噪声运转。</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合理安排高噪声施工作业时间，城市市区范围内，每天12点至14点30分，22点至次日凌晨6点禁止进行产生环境噪声污染的施工作业，抢修、抢险作业和因生产工艺要求或者特殊需要必须连续施工作业的除外。因特殊需要必须连续作业的，需报当地人民政府或</w:t>
      </w:r>
      <w:r>
        <w:rPr>
          <w:rFonts w:ascii="宋体" w:eastAsia="宋体" w:cs="宋体" w:hAnsi="宋体"/>
          <w:color w:val="auto"/>
          <w:kern w:val="0"/>
          <w:sz w:val="28"/>
          <w:szCs w:val="28"/>
          <w:lang w:val="en-US" w:eastAsia="zh-CN"/>
        </w:rPr>
        <w:t>者</w:t>
      </w:r>
      <w:r>
        <w:rPr>
          <w:rFonts w:ascii="宋体" w:eastAsia="宋体" w:cs="宋体" w:hAnsi="宋体" w:hint="eastAsia"/>
          <w:color w:val="auto"/>
          <w:kern w:val="0"/>
          <w:sz w:val="28"/>
          <w:szCs w:val="28"/>
          <w:lang w:val="en-US" w:eastAsia="zh-CN"/>
        </w:rPr>
        <w:t>有当地环境保护主管部门的证明，并公告附近居民方可夜间作业。</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③认真执行建筑施工场界环境噪声排放标准（GB12523-2011）对施工噪声排放限值的要求，抢修、抢险作业和因生产工艺上要求或者特殊需要必须连续作业的须向市生态环境局申请办理夜间建筑施工许可，获准后方可在指定日期内进行。</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④加强施工区附近的交通管理，避免交通堵塞而增加车辆噪声。同时对噪声大的施工机具应加装消声减振装置。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4）地下水和土壤污染防治措施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各加油站的油罐需要建成为双层罐或者设置防渗池。双层罐和防渗池应符合《汽车加油加气加氢站技术标准》（GB50156-2021）的要求。加油站需要开展渗漏检测，设置常规地下水监测井，开展地下水常规监测。</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5）固体废物污染防治措施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①施工期间建筑垃圾尽量用于回填。不得随意抛弃建筑材料、残土、旧料和其他杂物。工程竣工后，施工单位应尽快把场地清理干净。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②禁止施工单位在中途倾倒泥沙，并防止泥沙洒落道路现象发生。</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6）水土流失防治和保护措施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水土流失主要发生在建设期，应通过加强施工管理、合理组织施工，尽量减少水土流失面积及水土流失量。在安排施工时间上，应避免在暴雨季节进行房建、路基开挖及取土活动；对开挖面尽快采取措施以减少雨水冲刷；合理堆放土石料，及时清运施工弃渣；若不可避免在雨季施工，应在土料的表面覆盖塑料薄膜或其它覆盖物；场地平整后立即铺设路基等，尽快植树种草恢复植被。项目用地范围外的南面现状地形地貌为丘陵坡地，用地属性主要为乔木林地和部分其他草地，与站内场地存在约10～12米高差，根据现场地质和实际情况，通过采用建设护坡或挡土墙等措施进行防护，防止山体滑坡和水土流失。</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（2）加油站营运期主要污染因素和防治措施</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1）有效减少油料自然损耗</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虽然油品自然损耗是不可避免的物理现象，但采取科学的方法控制、减少自然损耗，回收自然损耗的油品，把其对环境的污染降低到最低程度。</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影响油品自然损耗的因素很多，除了油品固有特性以外，主要还有输转储存设备、方法及气温、气压、气流等因素。结合加油站现状，减少自然损耗的措施主要有如下几点。</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①采用地下储油罐</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地下油罐储油，不但使油品处于较低的温度，而且使油品常年温度变化较小，可以使油品的小呼吸蒸发损耗大大降低。加油站设计规范上要求尽可能采用地埋罐，降低蒸发损耗是其原因之一。</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②密闭式卸油与加油</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在加油站接卸运来油品和发出油品时，如不采取措施，就会使大量油蒸汽进入大气。现在比较成熟的是采用复式管密闭卸油与发油，其原理是通过有关设备使油品处于密闭的系统内， 在卸油或加油时，使油品与油蒸汽互换，不吸入新鲜空气，也不排出油蒸汽。</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③合理使用油罐</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加强对油罐使用的计划管理，尽量避免倒罐作业；在油罐安全容量内，尽量满装，减少油罐的空容量；尽量减少同种油品储油罐之间的输转次数。</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④加收油蒸气</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把产生的油蒸汽收集起来，并采用水冷却、活性炭吸附或更先进的方法回收处理，进行再利用。</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2）加强维护，减少油品跑冒滴漏</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减少跑冒滴漏油料，关键应做到三点，一是切实做好维护保管工作，对于罐内存油应严格按规定进行测量，认真核算，发现超过自然损耗标准的现象，应立即查明原因，防止出现漏油； 二是对易造成跑冒滴漏油的设备，要定期检查、精心维护，特别是在严冬、酷暑季节更应提高警惕性，增加检查次数，及时发现及时处理措施，减少损失；三是要积极推广应用新技术，减少跑冒滴漏发生的机率，增强控制手段，特别是对于地下油罐、管线的腐蚀穿孔，要及时发现， 就必须应用先进的测厚仪等，同时还应安装液位报警与控制装置。</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3）妥善回收用过油料，杜绝泼洒</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对于各种使用过的油料，不管是使用到期的润滑油（脂）、不能再用的洗涤油、变质油， 还是维修设备使用过的油，它们都可以回收利用，不能随便抛洒。对于废旧油料的收集，要采用分类存放的方式，并做到及时更新处理。为促进油料回收工作的落实，各加油站在修理间等用过油料较多的地方，要设立标志明显、标识清楚的回收设备，便于及时、方便、顺利地回收各种废旧油料。</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4）按标准对产生的含油污水进行处理</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世界上重环保的国家普遍严格限制含油污水的排放，如芬兰、法国的污水排放标准中规定，排放污水含量不得超过5毫克/升。加油站直接排放的污水总体数量虽然不是很大，但这些含油污水属于高浓度有机污水，其含油量一般在400-12000毫克/升，大大高于工业污水10毫克/升的最高允许排放标准。按我国现行的环境保护、水质要求、污水排放等法规和标准的要求，加油站必须按标准对含油污水进行处理，达到排放规定时才能排施。含油污水中的油分通常以浮油、乳化油、溶解油三种状态存在，其中溶解油的含量极少，处理含油污水主要是去除污水中的浮油和乳化油。首先，加油站应采取有效措施，设法减少含油污水的产生；其次，要对清洗油罐、冲刷加油场地等集中产生的含油污水进行处理，通过设置集油池，收集过滤浮油；最后，对收集的少量油品采取交送更生厂或焚烧的方法处理。</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5）集中收集处理废水</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加油站营运中主要有生活废水、加油站冲洗水等。配置一台小型生活废水集中收集处理装置</w:t>
      </w:r>
      <w:r>
        <w:rPr>
          <w:rFonts w:ascii="宋体" w:eastAsia="宋体" w:cs="宋体" w:hAnsi="宋体" w:hint="eastAsia"/>
          <w:color w:val="auto"/>
          <w:kern w:val="0"/>
          <w:sz w:val="28"/>
          <w:szCs w:val="28"/>
          <w:lang w:val="en-US" w:eastAsia="zh-CN"/>
        </w:rPr>
        <w:t>处理</w:t>
      </w:r>
      <w:r>
        <w:rPr>
          <w:rFonts w:ascii="宋体" w:eastAsia="宋体" w:cs="宋体" w:hAnsi="宋体"/>
          <w:color w:val="auto"/>
          <w:kern w:val="0"/>
          <w:sz w:val="28"/>
          <w:szCs w:val="28"/>
          <w:lang w:val="en-US" w:eastAsia="zh-CN"/>
        </w:rPr>
        <w:t>生活废水，达标后排放入河流及管道。</w:t>
      </w:r>
      <w:r>
        <w:rPr>
          <w:rFonts w:ascii="宋体" w:eastAsia="宋体" w:cs="宋体" w:hAnsi="宋体" w:hint="eastAsia"/>
          <w:color w:val="auto"/>
          <w:kern w:val="0"/>
          <w:sz w:val="28"/>
          <w:szCs w:val="28"/>
          <w:lang w:val="en-US" w:eastAsia="zh-CN"/>
        </w:rPr>
        <w:t>同时</w:t>
      </w:r>
      <w:r>
        <w:rPr>
          <w:rFonts w:ascii="宋体" w:eastAsia="宋体" w:cs="宋体" w:hAnsi="宋体"/>
          <w:color w:val="auto"/>
          <w:kern w:val="0"/>
          <w:sz w:val="28"/>
          <w:szCs w:val="28"/>
          <w:lang w:val="en-US" w:eastAsia="zh-CN"/>
        </w:rPr>
        <w:t>减少加油作业中油料的跑冒滴漏等措施进行防治。</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按照规范，</w:t>
      </w:r>
      <w:r>
        <w:rPr>
          <w:rFonts w:ascii="宋体" w:eastAsia="宋体" w:cs="宋体" w:hAnsi="宋体" w:hint="eastAsia"/>
          <w:color w:val="auto"/>
          <w:kern w:val="0"/>
          <w:sz w:val="28"/>
          <w:szCs w:val="28"/>
          <w:lang w:val="en-US" w:eastAsia="zh-CN"/>
        </w:rPr>
        <w:t>加油站</w:t>
      </w:r>
      <w:r>
        <w:rPr>
          <w:rFonts w:ascii="宋体" w:eastAsia="宋体" w:cs="宋体" w:hAnsi="宋体"/>
          <w:color w:val="auto"/>
          <w:kern w:val="0"/>
          <w:sz w:val="28"/>
          <w:szCs w:val="28"/>
          <w:lang w:val="en-US" w:eastAsia="zh-CN"/>
        </w:rPr>
        <w:t>应当实行雨污分流制排水，分别设置一个雨水和一个生活废水排放口，同时设置有初期雨水收集沉淀池，并安排专人负责管理、负责清理雨水收集池池面上的污油。</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6）集中收集处理固体废物</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每日集中收集生活垃圾，环卫部门定时清运，送垃圾场填埋。</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 xml:space="preserve">加油站产生的废油属危险废物，营运中在加油站内按照《危险废物贮存污染控制标准》（GB 18597-2001）及其2013年修改单的要求设置专门的危险废物暂存间，由有资质机构收集处理。 </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根据《</w:t>
      </w:r>
      <w:r>
        <w:rPr>
          <w:rFonts w:ascii="宋体" w:eastAsia="宋体" w:hint="eastAsia"/>
          <w:b w:val="0"/>
          <w:bCs w:val="0"/>
          <w:i w:val="0"/>
          <w:iCs w:val="0"/>
          <w:caps w:val="0"/>
          <w:smallCaps w:val="0"/>
          <w:color w:val="000000"/>
          <w:spacing w:val="0"/>
          <w:sz w:val="29"/>
          <w:szCs w:val="29"/>
        </w:rPr>
        <w:t>中华人民共和国固体废物污染环境防治法</w:t>
      </w:r>
      <w:r>
        <w:rPr>
          <w:rFonts w:ascii="宋体" w:eastAsia="宋体" w:cs="宋体" w:hAnsi="宋体"/>
          <w:color w:val="auto"/>
          <w:kern w:val="0"/>
          <w:sz w:val="28"/>
          <w:szCs w:val="28"/>
          <w:lang w:val="en-US" w:eastAsia="zh-CN"/>
        </w:rPr>
        <w:t>》，禁止项目区域内的各种垃圾，废油和其它废物向水体倾倒，或弃置在水体岸滩内。</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7）有效降低噪声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项目营运期主要产生噪声的设备主要有油泵和</w:t>
      </w:r>
      <w:r>
        <w:rPr>
          <w:rFonts w:ascii="宋体" w:eastAsia="宋体" w:cs="宋体" w:hAnsi="宋体" w:hint="eastAsia"/>
          <w:color w:val="auto"/>
          <w:kern w:val="0"/>
          <w:sz w:val="28"/>
          <w:szCs w:val="28"/>
          <w:lang w:val="en-US" w:eastAsia="zh-CN"/>
        </w:rPr>
        <w:t>汽车</w:t>
      </w:r>
      <w:r>
        <w:rPr>
          <w:rFonts w:ascii="宋体" w:eastAsia="宋体" w:cs="宋体" w:hAnsi="宋体"/>
          <w:color w:val="auto"/>
          <w:kern w:val="0"/>
          <w:sz w:val="28"/>
          <w:szCs w:val="28"/>
          <w:lang w:val="en-US" w:eastAsia="zh-CN"/>
        </w:rPr>
        <w:t>鸣笛</w:t>
      </w:r>
      <w:r>
        <w:rPr>
          <w:rFonts w:ascii="宋体" w:eastAsia="宋体" w:cs="宋体" w:hAnsi="宋体" w:hint="eastAsia"/>
          <w:color w:val="auto"/>
          <w:kern w:val="0"/>
          <w:sz w:val="28"/>
          <w:szCs w:val="28"/>
          <w:lang w:val="en-US" w:eastAsia="zh-CN"/>
        </w:rPr>
        <w:t>和发动机声</w:t>
      </w:r>
      <w:r>
        <w:rPr>
          <w:rFonts w:ascii="宋体" w:eastAsia="宋体" w:cs="宋体" w:hAnsi="宋体"/>
          <w:color w:val="auto"/>
          <w:kern w:val="0"/>
          <w:sz w:val="28"/>
          <w:szCs w:val="28"/>
          <w:lang w:val="en-US" w:eastAsia="zh-CN"/>
        </w:rPr>
        <w:t>，经采取选用低噪声设备，加强保养、禁止鸣笛等防治措施后，对周边环境影响较小</w:t>
      </w:r>
      <w:r>
        <w:rPr>
          <w:rFonts w:ascii="宋体" w:eastAsia="宋体" w:cs="宋体" w:hAnsi="宋体" w:hint="eastAsia"/>
          <w:color w:val="auto"/>
          <w:kern w:val="0"/>
          <w:sz w:val="28"/>
          <w:szCs w:val="28"/>
          <w:lang w:val="en-US" w:eastAsia="zh-CN"/>
        </w:rPr>
        <w:t>。</w:t>
      </w:r>
    </w:p>
    <w:p>
      <w:pPr>
        <w:pStyle w:val="17"/>
        <w:rPr>
          <w:rFonts w:hint="eastAsia"/>
          <w:color w:val="auto"/>
          <w:lang w:val="en-US" w:eastAsia="zh-CN"/>
        </w:rPr>
      </w:pPr>
      <w:bookmarkEnd w:id="6"/>
      <w:bookmarkEnd w:id="7"/>
      <w:bookmarkEnd w:id="8"/>
      <w:bookmarkEnd w:id="9"/>
      <w:bookmarkEnd w:id="10"/>
      <w:bookmarkEnd w:id="11"/>
    </w:p>
    <w:sectPr>
      <w:footerReference w:type="default" r:id="rId3"/>
      <w:pgSz w:w="11906" w:h="16838"/>
      <w:pgMar w:top="1440" w:right="1800" w:bottom="1440" w:left="1800" w:header="851" w:footer="992" w:gutter="0"/>
      <w:pgNumType w:start="1"/>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0"/>
    <w:family w:val="auto"/>
    <w:pitch w:val="variable"/>
    <w:sig w:usb0="00000203" w:usb1="288F0000" w:usb2="00000006" w:usb3="00000000" w:csb0="00040001" w:csb1="00000000"/>
  </w:font>
  <w:font w:name="Times New Roman">
    <w:panose1 w:val="02020603050405020304"/>
    <w:charset w:val="86"/>
    <w:family w:val="auto"/>
    <w:pitch w:val="variable"/>
    <w:sig w:usb0="E0002EFF" w:usb1="C000785B" w:usb2="00000009" w:usb3="00000000" w:csb0="400001FF" w:csb1="FFFF0000"/>
  </w:font>
  <w:font w:name="黑体">
    <w:panose1 w:val="02010609060101010101"/>
    <w:charset w:val="86"/>
    <w:family w:val="auto"/>
    <w:pitch w:val="variable"/>
    <w:sig w:usb0="800002BF" w:usb1="38CF7CFA" w:usb2="00000016" w:usb3="00000000" w:csb0="00040001" w:csb1="00000000"/>
  </w:font>
  <w:font w:name="Calibri">
    <w:panose1 w:val="020F0502020204030204"/>
    <w:charset w:val="00"/>
    <w:family w:val="swiss"/>
    <w:pitch w:val="variable"/>
    <w:sig w:usb0="E4002EFF" w:usb1="C000247B" w:usb2="00000009" w:usb3="00000000" w:csb0="200001FF" w:csb1="00000000"/>
  </w:font>
  <w:font w:name="Arial">
    <w:panose1 w:val="020B0604020202020204"/>
    <w:charset w:val="01"/>
    <w:family w:val="swiss"/>
    <w:pitch w:val="variable"/>
    <w:sig w:usb0="E0002EFF" w:usb1="C000785B" w:usb2="00000009" w:usb3="00000000" w:csb0="400001FF" w:csb1="FFFF0000"/>
  </w:font>
  <w:font w:name="Courier New">
    <w:panose1 w:val="02070409020205090404"/>
    <w:charset w:val="00"/>
    <w:family w:val="auto"/>
    <w:pitch w:val="variable"/>
    <w:sig w:usb0="00007A87" w:usb1="80000000" w:usb2="00000008" w:usb3="00000000" w:csb0="400001FF" w:csb1="FFFF0000"/>
  </w:font>
  <w:font w:name="Cambria">
    <w:panose1 w:val="02040503050406030204"/>
    <w:charset w:val="00"/>
    <w:family w:val="roman"/>
    <w:pitch w:val="variable"/>
    <w:sig w:usb0="E00006FF" w:usb1="420024FF" w:usb2="02000000" w:usb3="00000000" w:csb0="2000019F" w:csb1="00000000"/>
  </w:font>
  <w:font w:name="仿宋_GB2312">
    <w:panose1 w:val="02010609030101010101"/>
    <w:charset w:val="86"/>
    <w:family w:val="modern"/>
    <w:pitch w:val="variable"/>
    <w:sig w:usb0="00000001" w:usb1="080E0000" w:usb2="00000000" w:usb3="00000000" w:csb0="0004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7"/>
      <w:spacing w:line="14" w:lineRule="auto"/>
      <w:rPr>
        <w:sz w:val="20"/>
      </w:rP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7"/>
      <w:spacing w:line="14" w:lineRule="auto"/>
      <w:rPr>
        <w:sz w:val="20"/>
      </w:rPr>
    </w:pPr>
    <w:r>
      <mc:AlternateContent>
        <mc:Choice Requires="wps">
          <w:drawing>
            <wp:anchor distT="0" distB="0" distL="114298" distR="114298" simplePos="0" relativeHeight="2" behindDoc="1" locked="0" layoutInCell="1" hidden="0" allowOverlap="1">
              <wp:simplePos x="0" y="0"/>
              <wp:positionH relativeFrom="page">
                <wp:posOffset>3696334</wp:posOffset>
              </wp:positionH>
              <wp:positionV relativeFrom="page">
                <wp:posOffset>9885045</wp:posOffset>
              </wp:positionV>
              <wp:extent cx="167005" cy="139699"/>
              <wp:effectExtent l="0" t="0" r="0" b="0"/>
              <wp:wrapNone/>
              <wp:docPr id="1" name="文本框 5"/>
              <wp:cNvGraphicFramePr>
                <a:graphicFrameLocks noChangeAspect="0"/>
              </wp:cNvGraphicFramePr>
              <a:graphic>
                <a:graphicData uri="http://schemas.microsoft.com/office/word/2010/wordprocessingShape">
                  <wps:wsp>
                    <wps:cNvSpPr/>
                    <wps:spPr>
                      <a:xfrm rot="0">
                        <a:off x="0" y="0"/>
                        <a:ext cx="167005" cy="139699"/>
                      </a:xfrm>
                      <a:prstGeom prst="rect"/>
                      <a:noFill/>
                      <a:ln w="9525" cmpd="sng" cap="flat">
                        <a:noFill/>
                        <a:prstDash val="solid"/>
                        <a:round/>
                      </a:ln>
                    </wps:spPr>
                    <wps:txbx id="2">
                      <w:txbxContent>
                        <w:p>
                          <w:pPr>
                            <w:spacing w:line="203" w:lineRule="exact"/>
                            <w:ind w:left="40"/>
                            <w:jc w:val="left"/>
                            <w:rPr>
                              <w:rFonts w:ascii="Calibri" w:hAnsi="Calibri"/>
                              <w:sz w:val="18"/>
                            </w:rPr>
                          </w:pPr>
                          <w:r>
                            <w:rPr>
                              <w:rFonts w:ascii="Calibri" w:hAnsi="Calibri"/>
                              <w:sz w:val="18"/>
                            </w:rPr>
                            <w:fldChar w:fldCharType="begin"/>
                          </w:r>
                          <w:r>
                            <w:rPr>
                              <w:rFonts w:ascii="Calibri" w:hAnsi="Calibri"/>
                              <w:sz w:val="18"/>
                            </w:rPr>
                            <w:instrText xml:space="preserve"> PAGE </w:instrText>
                          </w:r>
                          <w:r>
                            <w:fldChar w:fldCharType="separate"/>
                          </w:r>
                          <w:r>
                            <w:rPr>
                              <w:rFonts w:ascii="Calibri" w:hAnsi="Calibri"/>
                              <w:sz w:val="18"/>
                            </w:rPr>
                            <w:t>24</w:t>
                          </w:r>
                          <w:r>
                            <w:fldChar w:fldCharType="end"/>
                          </w:r>
                        </w:p>
                      </w:txbxContent>
                    </wps:txbx>
                    <wps:bodyPr vert="horz" wrap="square" lIns="0" tIns="0" rIns="0" bIns="0" anchor="t" anchorCtr="0" upright="1">
                      <a:noAutofit/>
                    </wps:bodyPr>
                  </wps:wsp>
                </a:graphicData>
              </a:graphic>
            </wp:anchor>
          </w:drawing>
        </mc:Choice>
        <mc:Fallback>
          <w:pict>
            <v:shape type="#_x0000_t202" id="文本框 5 3" o:spid="_x0000_s3" filled="f" stroked="f" style="position:absolute;margin-left:291.05pt;margin-top:778.35pt;width:13.15pt;height:10.999985pt;z-index:-19;mso-position-horizontal:absolute;mso-position-horizontal-relative:page;mso-position-vertical:absolute;mso-position-vertical-relative:page;mso-wrap-distance-left:8.999863pt;mso-wrap-distance-right:8.999863pt;mso-wrap-style:square;">
              <v:stroke color="#000000"/>
              <v:textbox id="862" inset="0mm,0mm,0mm,0mm" o:insetmode="custom" style="layout-flow:horizontal;v-text-anchor:top;">
                <w:txbxContent>
                  <w:p>
                    <w:pPr>
                      <w:spacing w:line="203" w:lineRule="exact"/>
                      <w:ind w:left="40"/>
                      <w:jc w:val="left"/>
                      <w:rPr>
                        <w:rFonts w:ascii="Calibri" w:hAnsi="Calibri"/>
                        <w:sz w:val="18"/>
                      </w:rPr>
                    </w:pPr>
                    <w:r>
                      <w:rPr>
                        <w:rFonts w:ascii="Calibri" w:hAnsi="Calibri"/>
                        <w:sz w:val="18"/>
                      </w:rPr>
                      <w:fldChar w:fldCharType="begin"/>
                    </w:r>
                    <w:r>
                      <w:rPr>
                        <w:rFonts w:ascii="Calibri" w:hAnsi="Calibri"/>
                        <w:sz w:val="18"/>
                      </w:rPr>
                      <w:instrText xml:space="preserve"> PAGE </w:instrText>
                    </w:r>
                    <w:r>
                      <w:fldChar w:fldCharType="separate"/>
                    </w:r>
                    <w:r>
                      <w:rPr>
                        <w:rFonts w:ascii="Calibri" w:hAnsi="Calibri"/>
                        <w:sz w:val="18"/>
                      </w:rPr>
                      <w:t>24</w:t>
                    </w:r>
                    <w:r>
                      <w:fldChar w:fldCharType="end"/>
                    </w:r>
                  </w:p>
                </w:txbxContent>
              </v:textbox>
            </v:shape>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744F699E"/>
    <w:multiLevelType w:val="singleLevel"/>
    <w:tmpl w:val="744F699E"/>
    <w:lvl w:ilvl="0">
      <w:start w:val="1"/>
      <w:numFmt w:val="chineseCounting"/>
      <w:lvlRestart w:val="0"/>
      <w:suff w:val="space"/>
      <w:lvlText w:val="第%1章"/>
      <w:lvlJc w:val="left"/>
      <w:pPr>
        <w:ind w:left="0" w:hanging="0"/>
      </w:pPr>
      <w:rPr>
        <w:rFonts w:hint="eastAsia"/>
      </w:rPr>
    </w:lvl>
  </w:abstractNum>
  <w:abstractNum w:abstractNumId="1">
    <w:nsid w:val="53AE7EC3"/>
    <w:multiLevelType w:val="singleLevel"/>
    <w:tmpl w:val="53AE7EC3"/>
    <w:lvl w:ilvl="0">
      <w:start w:val="1"/>
      <w:numFmt w:val="decimal"/>
      <w:lvlRestart w:val="0"/>
      <w:suff w:val="nothing"/>
      <w:lvlText w:val="（%1）"/>
      <w:lvlJc w:val="left"/>
      <w:pPr>
        <w:ind w:left="0" w:hanging="0"/>
      </w:pPr>
    </w:lvl>
  </w:abstractNum>
  <w:abstractNum w:abstractNumId="2">
    <w:nsid w:val="E170DFF3"/>
    <w:multiLevelType w:val="multilevel"/>
    <w:tmpl w:val="7576BC7F"/>
    <w:lvl w:ilvl="0">
      <w:start w:val="1"/>
      <w:numFmt w:val="chineseCounting"/>
      <w:lvlRestart w:val="0"/>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displayBackgroundShape/>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compatSetting w:name="compatibilityMode" w:uri="http://schemas.microsoft.com/office/word" w:val="14"/>
  </w:compat>
  <w:docVars>
    <w:docVar w:name="commondata" w:val="eyJoZGlkIjoiZGIxOWNlZTBkZTU1Zjc0NjkxMjNmYmQ3NGVkZjdkOWQ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pPr>
      <w:widowControl w:val="0"/>
      <w:jc w:val="both"/>
    </w:pPr>
    <w:rPr>
      <w:rFonts w:ascii="Calibri" w:eastAsia="宋体" w:cs="Arial" w:hAnsi="Times New Roman"/>
      <w:kern w:val="2"/>
      <w:sz w:val="21"/>
      <w:szCs w:val="24"/>
      <w:lang w:val="en-US" w:eastAsia="zh-CN" w:bidi="ar-SA"/>
    </w:rPr>
  </w:style>
  <w:style w:type="paragraph" w:styleId="1">
    <w:name w:val="heading 1"/>
    <w:basedOn w:val="0"/>
    <w:next w:val="0"/>
    <w:pPr>
      <w:keepNext/>
      <w:keepLines/>
      <w:widowControl w:val="0"/>
      <w:numPr>
        <w:ilvl w:val="0"/>
        <w:numId w:val="3"/>
      </w:numPr>
      <w:spacing w:line="576" w:lineRule="auto"/>
      <w:outlineLvl w:val="0"/>
    </w:pPr>
    <w:rPr>
      <w:b/>
      <w:kern w:val="44"/>
      <w:sz w:val="44"/>
    </w:rPr>
  </w:style>
  <w:style w:type="paragraph" w:styleId="2">
    <w:name w:val="heading 2"/>
    <w:basedOn w:val="0"/>
    <w:next w:val="0"/>
    <w:pPr>
      <w:keepNext/>
      <w:keepLines/>
      <w:widowControl w:val="0"/>
      <w:numPr>
        <w:ilvl w:val="1"/>
        <w:numId w:val="3"/>
      </w:numPr>
      <w:spacing w:line="413" w:lineRule="auto"/>
      <w:outlineLvl w:val="1"/>
    </w:pPr>
    <w:rPr>
      <w:rFonts w:ascii="Arial" w:eastAsia="黑体" w:hAnsi="Arial"/>
      <w:b/>
      <w:sz w:val="32"/>
    </w:rPr>
  </w:style>
  <w:style w:type="paragraph" w:styleId="3">
    <w:name w:val="heading 3"/>
    <w:basedOn w:val="0"/>
    <w:next w:val="0"/>
    <w:pPr>
      <w:keepNext/>
      <w:keepLines/>
      <w:widowControl w:val="0"/>
      <w:numPr>
        <w:ilvl w:val="2"/>
        <w:numId w:val="3"/>
      </w:numPr>
      <w:spacing w:line="413" w:lineRule="auto"/>
      <w:outlineLvl w:val="2"/>
    </w:pPr>
    <w:rPr>
      <w:b/>
      <w:sz w:val="32"/>
    </w:rPr>
  </w:style>
  <w:style w:type="paragraph" w:styleId="4">
    <w:name w:val="heading 4"/>
    <w:basedOn w:val="0"/>
    <w:next w:val="0"/>
    <w:pPr>
      <w:keepNext/>
      <w:keepLines/>
      <w:widowControl w:val="0"/>
      <w:numPr>
        <w:ilvl w:val="3"/>
        <w:numId w:val="3"/>
      </w:numPr>
      <w:spacing w:line="372" w:lineRule="auto"/>
      <w:outlineLvl w:val="3"/>
    </w:pPr>
    <w:rPr>
      <w:rFonts w:ascii="Arial" w:eastAsia="黑体" w:hAnsi="Arial"/>
      <w:b/>
      <w:sz w:val="28"/>
    </w:rPr>
  </w:style>
  <w:style w:type="paragraph" w:styleId="5">
    <w:name w:val="heading 5"/>
    <w:basedOn w:val="0"/>
    <w:next w:val="0"/>
    <w:pPr>
      <w:keepNext/>
      <w:keepLines/>
      <w:widowControl w:val="0"/>
      <w:numPr>
        <w:ilvl w:val="4"/>
        <w:numId w:val="3"/>
      </w:numPr>
      <w:spacing w:line="372" w:lineRule="auto"/>
      <w:outlineLvl w:val="4"/>
    </w:pPr>
    <w:rPr>
      <w:b/>
      <w:sz w:val="28"/>
    </w:rPr>
  </w:style>
  <w:style w:type="paragraph" w:styleId="6">
    <w:name w:val="heading 6"/>
    <w:basedOn w:val="0"/>
    <w:next w:val="0"/>
    <w:pPr>
      <w:keepNext/>
      <w:keepLines/>
      <w:widowControl w:val="0"/>
      <w:numPr>
        <w:ilvl w:val="5"/>
        <w:numId w:val="3"/>
      </w:numPr>
      <w:spacing w:line="317" w:lineRule="auto"/>
      <w:outlineLvl w:val="5"/>
    </w:pPr>
    <w:rPr>
      <w:rFonts w:ascii="Arial" w:eastAsia="黑体" w:hAnsi="Arial"/>
      <w:b/>
      <w:sz w:val="24"/>
    </w:rPr>
  </w:style>
  <w:style w:type="paragraph" w:styleId="7">
    <w:name w:val="heading 7"/>
    <w:basedOn w:val="0"/>
    <w:next w:val="0"/>
    <w:pPr>
      <w:keepNext/>
      <w:keepLines/>
      <w:widowControl w:val="0"/>
      <w:numPr>
        <w:ilvl w:val="6"/>
        <w:numId w:val="3"/>
      </w:numPr>
      <w:spacing w:line="317" w:lineRule="auto"/>
      <w:outlineLvl w:val="6"/>
    </w:pPr>
    <w:rPr>
      <w:b/>
      <w:sz w:val="24"/>
    </w:rPr>
  </w:style>
  <w:style w:type="paragraph" w:styleId="8">
    <w:name w:val="heading 8"/>
    <w:basedOn w:val="0"/>
    <w:next w:val="0"/>
    <w:pPr>
      <w:keepNext/>
      <w:keepLines/>
      <w:widowControl w:val="0"/>
      <w:numPr>
        <w:ilvl w:val="7"/>
        <w:numId w:val="3"/>
      </w:numPr>
      <w:spacing w:line="317" w:lineRule="auto"/>
      <w:outlineLvl w:val="7"/>
    </w:pPr>
    <w:rPr>
      <w:rFonts w:ascii="Arial" w:eastAsia="黑体" w:hAnsi="Arial"/>
      <w:sz w:val="24"/>
    </w:rPr>
  </w:style>
  <w:style w:type="paragraph" w:styleId="9">
    <w:name w:val="heading 9"/>
    <w:basedOn w:val="0"/>
    <w:next w:val="0"/>
    <w:pPr>
      <w:keepNext/>
      <w:keepLines/>
      <w:widowControl w:val="0"/>
      <w:numPr>
        <w:ilvl w:val="8"/>
        <w:numId w:val="3"/>
      </w:numPr>
      <w:spacing w:line="317" w:lineRule="auto"/>
      <w:outlineLvl w:val="8"/>
    </w:pPr>
    <w:rPr>
      <w:rFonts w:ascii="Arial" w:eastAsia="黑体" w:hAnsi="Arial"/>
    </w:rPr>
  </w:style>
  <w:style w:type="character" w:default="1" w:styleId="10">
    <w:name w:val="Default Paragraph Font"/>
  </w:style>
  <w:style w:type="paragraph" w:styleId="15">
    <w:name w:val="Document Map"/>
    <w:basedOn w:val="0"/>
    <w:rPr>
      <w:rFonts w:ascii="宋体" w:eastAsia="宋体"/>
      <w:sz w:val="18"/>
      <w:szCs w:val="18"/>
    </w:rPr>
  </w:style>
  <w:style w:type="paragraph" w:styleId="16">
    <w:name w:val="annotation text"/>
    <w:basedOn w:val="0"/>
    <w:pPr>
      <w:jc w:val="left"/>
    </w:pPr>
  </w:style>
  <w:style w:type="paragraph" w:styleId="17">
    <w:name w:val="Body Text"/>
    <w:basedOn w:val="0"/>
    <w:next w:val="0"/>
    <w:rPr>
      <w:rFonts w:ascii="宋体" w:eastAsia="宋体" w:cs="宋体" w:hAnsi="宋体"/>
      <w:sz w:val="24"/>
      <w:lang w:val="zh-CN" w:bidi="zh-CN"/>
    </w:rPr>
  </w:style>
  <w:style w:type="paragraph" w:styleId="18">
    <w:name w:val="Plain Text"/>
    <w:basedOn w:val="0"/>
    <w:rPr>
      <w:rFonts w:hAnsi="Courier New"/>
      <w:szCs w:val="20"/>
    </w:rPr>
  </w:style>
  <w:style w:type="paragraph" w:styleId="19">
    <w:name w:val="Balloon Text"/>
    <w:basedOn w:val="0"/>
    <w:rPr>
      <w:sz w:val="18"/>
      <w:szCs w:val="18"/>
    </w:rPr>
  </w:style>
  <w:style w:type="paragraph" w:styleId="20">
    <w:name w:val="footer"/>
    <w:basedOn w:val="0"/>
    <w:pPr>
      <w:tabs>
        <w:tab w:val="center" w:pos="4153"/>
        <w:tab w:val="right" w:pos="8306"/>
      </w:tabs>
      <w:snapToGrid w:val="0"/>
      <w:jc w:val="left"/>
    </w:pPr>
    <w:rPr>
      <w:sz w:val="18"/>
    </w:rPr>
  </w:style>
  <w:style w:type="paragraph" w:styleId="21">
    <w:name w:val="header"/>
    <w:basedOn w:val="0"/>
    <w:pPr>
      <w:pBdr>
        <w:top w:val="none" w:sz="0" w:space="0" w:color="auto"/>
        <w:left w:val="none" w:sz="0" w:space="0" w:color="auto"/>
        <w:bottom w:val="none" w:sz="0" w:space="0" w:color="auto"/>
        <w:right w:val="none" w:sz="0" w:space="0" w:color="auto"/>
      </w:pBdr>
      <w:tabs>
        <w:tab w:val="center" w:pos="4153"/>
        <w:tab w:val="right" w:pos="8306"/>
      </w:tabs>
      <w:snapToGrid w:val="0"/>
    </w:pPr>
    <w:rPr>
      <w:sz w:val="18"/>
    </w:rPr>
  </w:style>
  <w:style w:type="paragraph" w:styleId="22">
    <w:name w:val="toc 1"/>
    <w:basedOn w:val="0"/>
    <w:next w:val="0"/>
    <w:rPr>
      <w:rFonts w:ascii="Calibri" w:hAnsi="Calibri"/>
      <w:sz w:val="28"/>
    </w:rPr>
  </w:style>
  <w:style w:type="paragraph" w:styleId="23">
    <w:name w:val="toc 2"/>
    <w:basedOn w:val="0"/>
    <w:next w:val="0"/>
    <w:pPr>
      <w:ind w:leftChars="200" w:left="200"/>
    </w:pPr>
  </w:style>
  <w:style w:type="paragraph" w:styleId="24">
    <w:name w:val="Normal (Web)"/>
    <w:basedOn w:val="0"/>
    <w:pPr>
      <w:spacing w:beforeAutospacing="1" w:afterAutospacing="1"/>
      <w:jc w:val="left"/>
    </w:pPr>
    <w:rPr>
      <w:rFonts w:cs="Times New Roman"/>
      <w:kern w:val="0"/>
      <w:sz w:val="24"/>
    </w:rPr>
  </w:style>
  <w:style w:type="paragraph" w:styleId="25">
    <w:name w:val="Title"/>
    <w:basedOn w:val="0"/>
    <w:next w:val="0"/>
    <w:pPr>
      <w:spacing w:before="240" w:after="60"/>
      <w:jc w:val="center"/>
      <w:outlineLvl w:val="0"/>
    </w:pPr>
    <w:rPr>
      <w:rFonts w:ascii="Cambria" w:hAnsi="Cambria"/>
      <w:b/>
      <w:bCs/>
      <w:sz w:val="32"/>
      <w:szCs w:val="32"/>
    </w:rPr>
  </w:style>
  <w:style w:type="character" w:styleId="26">
    <w:name w:val="Strong"/>
    <w:basedOn w:val="10"/>
    <w:rPr>
      <w:b/>
    </w:rPr>
  </w:style>
  <w:style w:type="paragraph" w:customStyle="1" w:styleId="27">
    <w:name w:val="Default"/>
    <w:next w:val="0"/>
    <w:pPr>
      <w:widowControl w:val="0"/>
      <w:autoSpaceDE w:val="0"/>
      <w:autoSpaceDN w:val="0"/>
      <w:adjustRightInd w:val="0"/>
    </w:pPr>
    <w:rPr>
      <w:rFonts w:ascii="宋体" w:eastAsia="宋体" w:cs="宋体" w:hAnsi="Times New Roman"/>
      <w:color w:val="000000"/>
      <w:sz w:val="24"/>
      <w:szCs w:val="24"/>
      <w:lang w:val="en-US" w:eastAsia="zh-CN" w:bidi="ar-SA"/>
    </w:rPr>
  </w:style>
  <w:style w:type="paragraph" w:customStyle="1" w:styleId="28">
    <w:name w:val="Table Paragraph"/>
    <w:basedOn w:val="0"/>
    <w:rPr>
      <w:lang w:val="zh-CN" w:bidi="zh-CN"/>
    </w:rPr>
  </w:style>
  <w:style w:type="paragraph" w:styleId="29">
    <w:name w:val="List Paragraph"/>
    <w:basedOn w:val="0"/>
    <w:pPr>
      <w:ind w:firstLineChars="200" w:firstLine="200"/>
    </w:pPr>
  </w:style>
  <w:style w:type="character" w:customStyle="1" w:styleId="30">
    <w:name w:val="font11"/>
    <w:basedOn w:val="10"/>
    <w:rPr>
      <w:rFonts w:ascii="宋体" w:eastAsia="宋体" w:cs="宋体" w:hAnsi="宋体"/>
      <w:color w:val="000000"/>
      <w:sz w:val="22"/>
      <w:szCs w:val="22"/>
      <w:u w:val="none"/>
      <w:vertAlign w:val="superscript"/>
    </w:rPr>
  </w:style>
  <w:style w:type="paragraph" w:customStyle="1" w:styleId="31">
    <w:name w:val="6其他格式"/>
    <w:basedOn w:val="0"/>
    <w:pPr>
      <w:adjustRightInd w:val="0"/>
      <w:snapToGrid w:val="0"/>
      <w:spacing w:after="156" w:line="360" w:lineRule="auto"/>
      <w:ind w:firstLineChars="200" w:firstLine="200"/>
    </w:pPr>
    <w:rPr>
      <w:rFonts w:ascii="Calibri" w:eastAsia="仿宋_GB2312" w:hAnsi="Calibri"/>
      <w:sz w:val="24"/>
      <w:szCs w:val="22"/>
    </w:rPr>
  </w:style>
  <w:style w:type="paragraph" w:customStyle="1" w:styleId="32">
    <w:name w:val="6正文文本"/>
    <w:basedOn w:val="17"/>
    <w:pPr>
      <w:adjustRightInd w:val="0"/>
      <w:snapToGrid w:val="0"/>
      <w:spacing w:line="360" w:lineRule="auto"/>
      <w:ind w:firstLineChars="200" w:firstLine="200"/>
      <w:jc w:val="both"/>
    </w:pPr>
    <w:rPr>
      <w:rFonts w:ascii="Times New Roman" w:eastAsia="宋体" w:hAnsi="Times New Roman"/>
      <w:sz w:val="21"/>
      <w:szCs w:val="22"/>
    </w:rPr>
  </w:style>
  <w:style w:type="paragraph" w:customStyle="1" w:styleId="33">
    <w:name w:val="6表格内容"/>
    <w:basedOn w:val="0"/>
    <w:pPr>
      <w:adjustRightInd w:val="0"/>
      <w:snapToGrid w:val="0"/>
    </w:pPr>
    <w:rPr>
      <w:rFonts w:eastAsia="仿宋_GB2312"/>
      <w:szCs w:val="22"/>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5.jpeg"/><Relationship Id="rId5" Type="http://schemas.openxmlformats.org/officeDocument/2006/relationships/image" Target="media/8.jpeg"/><Relationship Id="rId6" Type="http://schemas.openxmlformats.org/officeDocument/2006/relationships/image" Target="media/11.png"/><Relationship Id="rId7" Type="http://schemas.openxmlformats.org/officeDocument/2006/relationships/image" Target="media/14.png"/><Relationship Id="rId8" Type="http://schemas.openxmlformats.org/officeDocument/2006/relationships/image" Target="media/17.jpeg"/><Relationship Id="rId9" Type="http://schemas.openxmlformats.org/officeDocument/2006/relationships/image" Target="media/20.jpeg"/><Relationship Id="rId10" Type="http://schemas.openxmlformats.org/officeDocument/2006/relationships/image" Target="media/23.jpeg"/><Relationship Id="rId11" Type="http://schemas.openxmlformats.org/officeDocument/2006/relationships/image" Target="media/26.jpeg"/><Relationship Id="rId12" Type="http://schemas.openxmlformats.org/officeDocument/2006/relationships/image" Target="media/29.jpeg"/><Relationship Id="rId13" Type="http://schemas.openxmlformats.org/officeDocument/2006/relationships/image" Target="media/32.jpeg"/><Relationship Id="rId14" Type="http://schemas.openxmlformats.org/officeDocument/2006/relationships/image" Target="media/35.jpeg"/><Relationship Id="rId15" Type="http://schemas.openxmlformats.org/officeDocument/2006/relationships/image" Target="media/38.jpeg"/><Relationship Id="rId16" Type="http://schemas.openxmlformats.org/officeDocument/2006/relationships/image" Target="media/41.png"/><Relationship Id="rId17" Type="http://schemas.openxmlformats.org/officeDocument/2006/relationships/image" Target="media/44.png"/><Relationship Id="rId18" Type="http://schemas.openxmlformats.org/officeDocument/2006/relationships/styles" Target="styles.xml"/><Relationship Id="rId19" Type="http://schemas.openxmlformats.org/officeDocument/2006/relationships/numbering" Target="numbering.xml"/><Relationship Id="rId20" Type="http://schemas.openxmlformats.org/officeDocument/2006/relationships/fontTable" Target="fontTable.xml"/></Relationships>
</file>

<file path=docProps/app.xml><?xml version="1.0" encoding="utf-8"?>
<Properties xmlns="http://schemas.openxmlformats.org/officeDocument/2006/extended-properties">
  <Template>Normal.eit</Template>
  <TotalTime>48</TotalTime>
  <Application>Yozo_Office27021597764231179</Application>
  <Pages>56</Pages>
  <Words>0</Words>
  <Characters>19380</Characters>
  <Lines>0</Lines>
  <Paragraphs>529</Paragraphs>
  <CharactersWithSpaces>25840</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User</cp:lastModifiedBy>
  <cp:revision>2</cp:revision>
  <dcterms:created xsi:type="dcterms:W3CDTF">2023-08-09T07:06:00Z</dcterms:created>
  <dcterms:modified xsi:type="dcterms:W3CDTF">2026-04-08T04:33:59Z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2052-11.8.2.8696</vt:lpwstr>
  </property>
  <property fmtid="{D5CDD505-2E9C-101B-9397-08002B2CF9AE}" pid="3" name="ICV">
    <vt:lpwstr>C284C7C90DDF477890D8ACD0E8DE8D4A_13</vt:lpwstr>
  </property>
  <property fmtid="{D5CDD505-2E9C-101B-9397-08002B2CF9AE}" pid="4" name="KSOTemplateDocerSaveRecord">
    <vt:lpwstr>eyJoZGlkIjoiZDc1OGQzY2ZmNTYwYjNiMzQzOTQzZWQ3ZTUzMGMyNTkiLCJ1c2VySWQiOiI5NTk0NzI4MTIifQ==</vt:lpwstr>
  </property>
</Properties>
</file>