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723" w:firstLineChars="200"/>
        <w:jc w:val="center"/>
        <w:rPr>
          <w:rFonts w:ascii="宋体" w:hAnsi="宋体" w:eastAsia="宋体" w:cs="宋体"/>
          <w:b/>
          <w:bCs/>
          <w:color w:val="auto"/>
          <w:kern w:val="0"/>
          <w:sz w:val="36"/>
          <w:szCs w:val="36"/>
        </w:rPr>
      </w:pPr>
    </w:p>
    <w:p>
      <w:pPr>
        <w:widowControl/>
        <w:ind w:firstLine="723" w:firstLineChars="200"/>
        <w:jc w:val="center"/>
        <w:rPr>
          <w:rFonts w:ascii="宋体" w:hAnsi="宋体" w:eastAsia="宋体" w:cs="宋体"/>
          <w:b/>
          <w:bCs/>
          <w:color w:val="auto"/>
          <w:kern w:val="0"/>
          <w:sz w:val="36"/>
          <w:szCs w:val="36"/>
        </w:rPr>
      </w:pPr>
    </w:p>
    <w:p>
      <w:pPr>
        <w:widowControl/>
        <w:ind w:firstLine="723" w:firstLineChars="200"/>
        <w:jc w:val="center"/>
        <w:rPr>
          <w:rFonts w:ascii="宋体" w:hAnsi="宋体" w:eastAsia="宋体" w:cs="宋体"/>
          <w:b/>
          <w:bCs/>
          <w:color w:val="auto"/>
          <w:kern w:val="0"/>
          <w:sz w:val="36"/>
          <w:szCs w:val="36"/>
        </w:rPr>
      </w:pPr>
    </w:p>
    <w:p>
      <w:pPr>
        <w:widowControl/>
        <w:ind w:firstLine="723" w:firstLineChars="200"/>
        <w:jc w:val="center"/>
        <w:rPr>
          <w:rFonts w:ascii="宋体" w:hAnsi="宋体" w:eastAsia="宋体" w:cs="宋体"/>
          <w:b/>
          <w:bCs/>
          <w:color w:val="auto"/>
          <w:kern w:val="0"/>
          <w:sz w:val="36"/>
          <w:szCs w:val="36"/>
        </w:rPr>
      </w:pPr>
    </w:p>
    <w:p>
      <w:pPr>
        <w:widowControl/>
        <w:jc w:val="center"/>
        <w:rPr>
          <w:rFonts w:hint="eastAsia" w:ascii="宋体" w:hAnsi="宋体" w:eastAsia="宋体" w:cs="宋体"/>
          <w:b/>
          <w:bCs/>
          <w:color w:val="auto"/>
          <w:kern w:val="0"/>
          <w:sz w:val="44"/>
          <w:szCs w:val="44"/>
          <w:lang w:eastAsia="zh-CN"/>
        </w:rPr>
      </w:pPr>
      <w:bookmarkStart w:id="0" w:name="OLE_LINK1"/>
      <w:r>
        <w:rPr>
          <w:rFonts w:hint="eastAsia" w:ascii="宋体" w:hAnsi="宋体" w:eastAsia="宋体" w:cs="宋体"/>
          <w:b/>
          <w:bCs/>
          <w:color w:val="auto"/>
          <w:kern w:val="0"/>
          <w:sz w:val="44"/>
          <w:szCs w:val="44"/>
          <w:lang w:eastAsia="zh-CN"/>
        </w:rPr>
        <w:t>钦州市钦北区小董镇人民北路大桥头南</w:t>
      </w:r>
    </w:p>
    <w:p>
      <w:pPr>
        <w:widowControl/>
        <w:jc w:val="center"/>
        <w:rPr>
          <w:rFonts w:hint="eastAsia" w:ascii="宋体" w:hAnsi="宋体" w:eastAsia="宋体" w:cs="宋体"/>
          <w:b/>
          <w:bCs/>
          <w:color w:val="auto"/>
          <w:kern w:val="0"/>
          <w:sz w:val="44"/>
          <w:szCs w:val="44"/>
        </w:rPr>
      </w:pPr>
      <w:r>
        <w:rPr>
          <w:rFonts w:hint="eastAsia" w:ascii="宋体" w:hAnsi="宋体" w:eastAsia="宋体" w:cs="宋体"/>
          <w:b/>
          <w:bCs/>
          <w:color w:val="auto"/>
          <w:kern w:val="0"/>
          <w:sz w:val="44"/>
          <w:szCs w:val="44"/>
          <w:lang w:val="en-US" w:eastAsia="zh-CN"/>
        </w:rPr>
        <w:t>A-1街坊</w:t>
      </w:r>
      <w:r>
        <w:rPr>
          <w:rFonts w:hint="eastAsia" w:ascii="宋体" w:hAnsi="宋体" w:eastAsia="宋体" w:cs="宋体"/>
          <w:b/>
          <w:bCs/>
          <w:color w:val="auto"/>
          <w:kern w:val="0"/>
          <w:sz w:val="44"/>
          <w:szCs w:val="44"/>
        </w:rPr>
        <w:t>控制性详细规划</w:t>
      </w:r>
      <w:bookmarkEnd w:id="0"/>
    </w:p>
    <w:p>
      <w:pPr>
        <w:widowControl/>
        <w:jc w:val="center"/>
        <w:rPr>
          <w:rFonts w:hint="eastAsia" w:ascii="宋体" w:hAnsi="宋体" w:eastAsia="宋体" w:cs="宋体"/>
          <w:b/>
          <w:bCs/>
          <w:color w:val="auto"/>
          <w:kern w:val="0"/>
          <w:sz w:val="44"/>
          <w:szCs w:val="44"/>
        </w:rPr>
      </w:pPr>
    </w:p>
    <w:p>
      <w:pPr>
        <w:widowControl/>
        <w:jc w:val="center"/>
        <w:rPr>
          <w:rFonts w:hint="eastAsia" w:ascii="宋体" w:hAnsi="宋体" w:eastAsia="宋体" w:cs="宋体"/>
          <w:b/>
          <w:bCs/>
          <w:color w:val="auto"/>
          <w:kern w:val="0"/>
          <w:sz w:val="44"/>
          <w:szCs w:val="44"/>
        </w:rPr>
      </w:pPr>
    </w:p>
    <w:p>
      <w:pPr>
        <w:widowControl/>
        <w:jc w:val="center"/>
        <w:rPr>
          <w:rFonts w:hint="eastAsia" w:ascii="宋体" w:hAnsi="宋体" w:eastAsia="宋体" w:cs="宋体"/>
          <w:b/>
          <w:bCs/>
          <w:color w:val="auto"/>
          <w:kern w:val="0"/>
          <w:sz w:val="44"/>
          <w:szCs w:val="44"/>
        </w:rPr>
      </w:pPr>
    </w:p>
    <w:p>
      <w:pPr>
        <w:widowControl/>
        <w:jc w:val="center"/>
        <w:rPr>
          <w:rFonts w:hint="eastAsia" w:ascii="宋体" w:hAnsi="宋体" w:eastAsia="宋体" w:cs="宋体"/>
          <w:b/>
          <w:bCs/>
          <w:color w:val="auto"/>
          <w:kern w:val="0"/>
          <w:sz w:val="44"/>
          <w:szCs w:val="44"/>
        </w:rPr>
      </w:pPr>
    </w:p>
    <w:p>
      <w:pPr>
        <w:widowControl/>
        <w:jc w:val="center"/>
        <w:rPr>
          <w:rFonts w:ascii="宋体" w:hAnsi="宋体" w:eastAsia="宋体" w:cs="宋体"/>
          <w:b/>
          <w:bCs/>
          <w:color w:val="auto"/>
          <w:kern w:val="0"/>
          <w:sz w:val="36"/>
          <w:szCs w:val="36"/>
        </w:rPr>
      </w:pPr>
    </w:p>
    <w:p>
      <w:pPr>
        <w:widowControl/>
        <w:jc w:val="center"/>
        <w:rPr>
          <w:rFonts w:ascii="宋体" w:hAnsi="宋体" w:eastAsia="宋体" w:cs="宋体"/>
          <w:b/>
          <w:bCs/>
          <w:color w:val="auto"/>
          <w:kern w:val="0"/>
          <w:sz w:val="36"/>
          <w:szCs w:val="36"/>
        </w:rPr>
      </w:pPr>
    </w:p>
    <w:p>
      <w:pPr>
        <w:widowControl/>
        <w:jc w:val="center"/>
        <w:rPr>
          <w:rFonts w:ascii="宋体" w:hAnsi="宋体" w:eastAsia="宋体" w:cs="宋体"/>
          <w:b/>
          <w:bCs/>
          <w:color w:val="auto"/>
          <w:kern w:val="0"/>
          <w:sz w:val="36"/>
          <w:szCs w:val="36"/>
        </w:rPr>
      </w:pPr>
    </w:p>
    <w:p>
      <w:pPr>
        <w:widowControl/>
        <w:jc w:val="center"/>
        <w:rPr>
          <w:rFonts w:ascii="宋体" w:hAnsi="宋体" w:eastAsia="宋体" w:cs="宋体"/>
          <w:b/>
          <w:bCs/>
          <w:color w:val="auto"/>
          <w:kern w:val="0"/>
          <w:sz w:val="36"/>
          <w:szCs w:val="36"/>
        </w:rPr>
      </w:pPr>
    </w:p>
    <w:p>
      <w:pPr>
        <w:widowControl/>
        <w:jc w:val="center"/>
        <w:rPr>
          <w:rFonts w:ascii="宋体" w:hAnsi="宋体" w:eastAsia="宋体" w:cs="宋体"/>
          <w:b/>
          <w:bCs/>
          <w:color w:val="auto"/>
          <w:kern w:val="0"/>
          <w:sz w:val="36"/>
          <w:szCs w:val="36"/>
        </w:rPr>
      </w:pPr>
    </w:p>
    <w:p>
      <w:pPr>
        <w:widowControl/>
        <w:jc w:val="center"/>
        <w:rPr>
          <w:rFonts w:ascii="宋体" w:hAnsi="宋体" w:eastAsia="宋体" w:cs="宋体"/>
          <w:b/>
          <w:bCs/>
          <w:color w:val="auto"/>
          <w:kern w:val="0"/>
          <w:sz w:val="36"/>
          <w:szCs w:val="36"/>
        </w:rPr>
      </w:pPr>
    </w:p>
    <w:p>
      <w:pPr>
        <w:pStyle w:val="14"/>
        <w:rPr>
          <w:rFonts w:ascii="宋体" w:hAnsi="宋体" w:eastAsia="宋体" w:cs="宋体"/>
          <w:b/>
          <w:bCs/>
          <w:color w:val="auto"/>
          <w:kern w:val="0"/>
          <w:sz w:val="36"/>
          <w:szCs w:val="36"/>
        </w:rPr>
      </w:pPr>
    </w:p>
    <w:p>
      <w:pPr>
        <w:rPr>
          <w:rFonts w:ascii="宋体" w:hAnsi="宋体" w:eastAsia="宋体" w:cs="宋体"/>
          <w:b/>
          <w:bCs/>
          <w:color w:val="auto"/>
          <w:kern w:val="0"/>
          <w:sz w:val="36"/>
          <w:szCs w:val="36"/>
        </w:rPr>
      </w:pPr>
    </w:p>
    <w:p>
      <w:pPr>
        <w:pStyle w:val="14"/>
        <w:rPr>
          <w:rFonts w:ascii="宋体" w:hAnsi="宋体" w:eastAsia="宋体" w:cs="宋体"/>
          <w:b/>
          <w:bCs/>
          <w:color w:val="auto"/>
          <w:kern w:val="0"/>
          <w:sz w:val="36"/>
          <w:szCs w:val="36"/>
        </w:rPr>
      </w:pPr>
    </w:p>
    <w:p>
      <w:pPr>
        <w:rPr>
          <w:rFonts w:ascii="宋体" w:hAnsi="宋体" w:eastAsia="宋体" w:cs="宋体"/>
          <w:b/>
          <w:bCs/>
          <w:color w:val="auto"/>
          <w:kern w:val="0"/>
          <w:sz w:val="36"/>
          <w:szCs w:val="36"/>
        </w:rPr>
      </w:pPr>
    </w:p>
    <w:p>
      <w:pPr>
        <w:pStyle w:val="14"/>
        <w:rPr>
          <w:rFonts w:ascii="宋体" w:hAnsi="宋体" w:eastAsia="宋体" w:cs="宋体"/>
          <w:b/>
          <w:bCs/>
          <w:color w:val="auto"/>
          <w:kern w:val="0"/>
          <w:sz w:val="36"/>
          <w:szCs w:val="36"/>
        </w:rPr>
      </w:pPr>
    </w:p>
    <w:p>
      <w:pPr>
        <w:rPr>
          <w:color w:val="auto"/>
        </w:rPr>
      </w:pPr>
    </w:p>
    <w:p>
      <w:pPr>
        <w:pStyle w:val="30"/>
        <w:keepNext w:val="0"/>
        <w:keepLines w:val="0"/>
        <w:pageBreakBefore w:val="0"/>
        <w:widowControl w:val="0"/>
        <w:kinsoku/>
        <w:wordWrap/>
        <w:overflowPunct/>
        <w:topLinePunct w:val="0"/>
        <w:autoSpaceDE/>
        <w:autoSpaceDN/>
        <w:bidi w:val="0"/>
        <w:adjustRightInd w:val="0"/>
        <w:snapToGrid w:val="0"/>
        <w:spacing w:before="360" w:beforeLines="150" w:line="240" w:lineRule="auto"/>
        <w:ind w:firstLine="964" w:firstLineChars="300"/>
        <w:jc w:val="left"/>
        <w:textAlignment w:val="auto"/>
        <w:rPr>
          <w:rFonts w:hint="eastAsia" w:ascii="Times New Roman" w:hAnsi="Times New Roman" w:eastAsia="黑体"/>
          <w:b/>
          <w:bCs/>
          <w:color w:val="auto"/>
          <w:sz w:val="32"/>
          <w:szCs w:val="32"/>
          <w:highlight w:val="none"/>
          <w:lang w:eastAsia="zh-CN"/>
        </w:rPr>
      </w:pPr>
      <w:r>
        <w:rPr>
          <w:rFonts w:hint="eastAsia" w:ascii="Times New Roman" w:hAnsi="Times New Roman" w:eastAsia="黑体"/>
          <w:b/>
          <w:bCs/>
          <w:color w:val="auto"/>
          <w:sz w:val="32"/>
          <w:szCs w:val="32"/>
          <w:highlight w:val="none"/>
          <w:lang w:eastAsia="zh-CN"/>
        </w:rPr>
        <w:t>委托单位：钦州市钦北区自然资源局</w:t>
      </w:r>
    </w:p>
    <w:p>
      <w:pPr>
        <w:pStyle w:val="30"/>
        <w:keepNext w:val="0"/>
        <w:keepLines w:val="0"/>
        <w:pageBreakBefore w:val="0"/>
        <w:widowControl w:val="0"/>
        <w:kinsoku/>
        <w:wordWrap/>
        <w:overflowPunct/>
        <w:topLinePunct w:val="0"/>
        <w:autoSpaceDE/>
        <w:autoSpaceDN/>
        <w:bidi w:val="0"/>
        <w:adjustRightInd w:val="0"/>
        <w:snapToGrid w:val="0"/>
        <w:spacing w:before="360" w:beforeLines="150" w:line="240" w:lineRule="auto"/>
        <w:ind w:firstLine="964" w:firstLineChars="300"/>
        <w:jc w:val="left"/>
        <w:textAlignment w:val="auto"/>
        <w:rPr>
          <w:rFonts w:hint="eastAsia" w:ascii="Times New Roman" w:hAnsi="Times New Roman" w:eastAsia="黑体"/>
          <w:b/>
          <w:bCs/>
          <w:color w:val="auto"/>
          <w:sz w:val="32"/>
          <w:szCs w:val="32"/>
          <w:highlight w:val="none"/>
          <w:lang w:eastAsia="zh-CN"/>
        </w:rPr>
      </w:pPr>
      <w:r>
        <w:rPr>
          <w:rFonts w:ascii="Times New Roman" w:hAnsi="Times New Roman" w:eastAsia="黑体"/>
          <w:b/>
          <w:bCs/>
          <w:color w:val="auto"/>
          <w:sz w:val="32"/>
          <w:szCs w:val="32"/>
          <w:highlight w:val="none"/>
        </w:rPr>
        <w:t>编制单位：</w:t>
      </w:r>
      <w:r>
        <w:rPr>
          <w:rFonts w:hint="eastAsia" w:ascii="Times New Roman" w:hAnsi="Times New Roman" w:eastAsia="黑体"/>
          <w:b/>
          <w:bCs/>
          <w:color w:val="auto"/>
          <w:sz w:val="32"/>
          <w:szCs w:val="32"/>
          <w:highlight w:val="none"/>
        </w:rPr>
        <w:t>广西</w:t>
      </w:r>
      <w:r>
        <w:rPr>
          <w:rFonts w:hint="eastAsia" w:ascii="Times New Roman" w:hAnsi="Times New Roman" w:eastAsia="黑体"/>
          <w:b/>
          <w:bCs/>
          <w:color w:val="auto"/>
          <w:sz w:val="32"/>
          <w:szCs w:val="32"/>
          <w:highlight w:val="none"/>
          <w:lang w:eastAsia="zh-CN"/>
        </w:rPr>
        <w:t>海鸿技术服务</w:t>
      </w:r>
      <w:r>
        <w:rPr>
          <w:rFonts w:hint="eastAsia" w:ascii="Times New Roman" w:hAnsi="Times New Roman" w:eastAsia="黑体"/>
          <w:b/>
          <w:bCs/>
          <w:color w:val="auto"/>
          <w:sz w:val="32"/>
          <w:szCs w:val="32"/>
          <w:highlight w:val="none"/>
        </w:rPr>
        <w:t>有限公司</w:t>
      </w:r>
    </w:p>
    <w:p>
      <w:pPr>
        <w:pStyle w:val="30"/>
        <w:keepNext w:val="0"/>
        <w:keepLines w:val="0"/>
        <w:pageBreakBefore w:val="0"/>
        <w:widowControl w:val="0"/>
        <w:kinsoku/>
        <w:wordWrap/>
        <w:overflowPunct/>
        <w:topLinePunct w:val="0"/>
        <w:autoSpaceDE/>
        <w:autoSpaceDN/>
        <w:bidi w:val="0"/>
        <w:adjustRightInd w:val="0"/>
        <w:snapToGrid w:val="0"/>
        <w:spacing w:before="360" w:beforeLines="150" w:line="240" w:lineRule="auto"/>
        <w:ind w:left="0" w:firstLine="964" w:firstLineChars="300"/>
        <w:jc w:val="left"/>
        <w:textAlignment w:val="auto"/>
        <w:rPr>
          <w:rFonts w:hint="eastAsia" w:ascii="Times New Roman" w:hAnsi="Times New Roman" w:eastAsia="黑体"/>
          <w:b/>
          <w:bCs/>
          <w:color w:val="auto"/>
          <w:sz w:val="32"/>
          <w:szCs w:val="32"/>
          <w:highlight w:val="none"/>
          <w:lang w:val="en-US" w:eastAsia="zh-CN"/>
        </w:rPr>
      </w:pPr>
      <w:r>
        <w:rPr>
          <w:rFonts w:ascii="Times New Roman" w:hAnsi="Times New Roman" w:eastAsia="黑体"/>
          <w:b/>
          <w:bCs/>
          <w:color w:val="auto"/>
          <w:sz w:val="32"/>
          <w:szCs w:val="32"/>
          <w:highlight w:val="none"/>
        </w:rPr>
        <w:t>编制日期：</w:t>
      </w:r>
      <w:r>
        <w:rPr>
          <w:rFonts w:hint="eastAsia" w:ascii="Times New Roman" w:hAnsi="Times New Roman" w:eastAsia="黑体"/>
          <w:b/>
          <w:bCs/>
          <w:color w:val="auto"/>
          <w:sz w:val="32"/>
          <w:szCs w:val="32"/>
          <w:highlight w:val="none"/>
          <w:lang w:val="en-US" w:eastAsia="zh-CN"/>
        </w:rPr>
        <w:t>2025年12月</w:t>
      </w:r>
    </w:p>
    <w:p>
      <w:pPr>
        <w:pStyle w:val="30"/>
        <w:keepNext w:val="0"/>
        <w:keepLines w:val="0"/>
        <w:pageBreakBefore w:val="0"/>
        <w:widowControl w:val="0"/>
        <w:kinsoku/>
        <w:wordWrap/>
        <w:overflowPunct/>
        <w:topLinePunct w:val="0"/>
        <w:autoSpaceDE/>
        <w:autoSpaceDN/>
        <w:bidi w:val="0"/>
        <w:adjustRightInd w:val="0"/>
        <w:snapToGrid w:val="0"/>
        <w:spacing w:before="360" w:beforeLines="150" w:line="240" w:lineRule="auto"/>
        <w:ind w:left="0" w:firstLine="964" w:firstLineChars="300"/>
        <w:jc w:val="left"/>
        <w:textAlignment w:val="auto"/>
        <w:rPr>
          <w:rFonts w:ascii="Times New Roman" w:hAnsi="Times New Roman" w:eastAsia="黑体"/>
          <w:b/>
          <w:bCs/>
          <w:color w:val="auto"/>
          <w:sz w:val="32"/>
          <w:szCs w:val="32"/>
          <w:highlight w:val="none"/>
          <w:lang w:val="en-US" w:eastAsia="zh-CN"/>
        </w:rPr>
      </w:pP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b/>
          <w:bCs/>
          <w:color w:val="auto"/>
          <w:sz w:val="28"/>
          <w:szCs w:val="28"/>
          <w:lang w:eastAsia="zh-CN"/>
        </w:rPr>
      </w:pPr>
      <w:r>
        <w:rPr>
          <w:rFonts w:hint="eastAsia"/>
          <w:b/>
          <w:bCs/>
          <w:color w:val="auto"/>
          <w:sz w:val="28"/>
          <w:szCs w:val="28"/>
          <w:lang w:eastAsia="zh-CN"/>
        </w:rPr>
        <w:t>项目名称：钦州市钦北区小董镇人民北路大桥头南</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1405" w:firstLineChars="500"/>
        <w:jc w:val="both"/>
        <w:textAlignment w:val="auto"/>
        <w:rPr>
          <w:rFonts w:hint="eastAsia"/>
          <w:b/>
          <w:bCs/>
          <w:color w:val="auto"/>
          <w:sz w:val="28"/>
          <w:szCs w:val="28"/>
          <w:lang w:eastAsia="zh-CN"/>
        </w:rPr>
      </w:pPr>
      <w:r>
        <w:rPr>
          <w:rFonts w:hint="eastAsia"/>
          <w:b/>
          <w:bCs/>
          <w:color w:val="auto"/>
          <w:sz w:val="28"/>
          <w:szCs w:val="28"/>
          <w:lang w:eastAsia="zh-CN"/>
        </w:rPr>
        <w:t>A-1街坊控制性详细规划</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b/>
          <w:bCs/>
          <w:color w:val="auto"/>
          <w:sz w:val="28"/>
          <w:szCs w:val="28"/>
          <w:lang w:val="en-US" w:eastAsia="zh-CN"/>
        </w:rPr>
      </w:pPr>
      <w:r>
        <w:rPr>
          <w:rFonts w:hint="eastAsia"/>
          <w:b/>
          <w:bCs/>
          <w:color w:val="auto"/>
          <w:sz w:val="28"/>
          <w:szCs w:val="28"/>
          <w:lang w:val="en-US" w:eastAsia="zh-CN"/>
        </w:rPr>
        <w:t>编制单位：广西海鸿技术服务有限公司</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b/>
          <w:bCs/>
          <w:color w:val="auto"/>
          <w:sz w:val="28"/>
          <w:szCs w:val="28"/>
          <w:lang w:val="en-US" w:eastAsia="zh-CN"/>
        </w:rPr>
      </w:pPr>
      <w:r>
        <w:rPr>
          <w:rFonts w:hint="eastAsia"/>
          <w:b/>
          <w:bCs/>
          <w:color w:val="auto"/>
          <w:sz w:val="28"/>
          <w:szCs w:val="28"/>
          <w:lang w:val="en-US" w:eastAsia="zh-CN"/>
        </w:rPr>
        <w:t>资质等级：土地规划乙级</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b/>
          <w:bCs/>
          <w:color w:val="auto"/>
          <w:sz w:val="28"/>
          <w:szCs w:val="28"/>
          <w:lang w:val="en-US" w:eastAsia="zh-CN"/>
        </w:rPr>
      </w:pPr>
      <w:r>
        <w:rPr>
          <w:rFonts w:hint="eastAsia"/>
          <w:b/>
          <w:bCs/>
          <w:color w:val="auto"/>
          <w:sz w:val="28"/>
          <w:szCs w:val="28"/>
          <w:lang w:val="en-US" w:eastAsia="zh-CN"/>
        </w:rPr>
        <w:t>证书编号：201705</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b w:val="0"/>
          <w:bCs w:val="0"/>
          <w:color w:val="auto"/>
          <w:sz w:val="28"/>
          <w:szCs w:val="28"/>
          <w:lang w:val="en-US" w:eastAsia="zh-CN"/>
        </w:rPr>
      </w:pPr>
      <w:r>
        <w:rPr>
          <w:rFonts w:hint="eastAsia"/>
          <w:b w:val="0"/>
          <w:bCs w:val="0"/>
          <w:color w:val="auto"/>
          <w:sz w:val="28"/>
          <w:szCs w:val="28"/>
          <w:lang w:val="en-US" w:eastAsia="zh-CN"/>
        </w:rPr>
        <w:t>法定代表人：   陆家赋（总经理）</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项目负责人：   曹宏明（高级工程师）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规划编制人员： 钟秋平（高级工程师）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2100" w:firstLineChars="75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陆家赋（工程师）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2100" w:firstLineChars="75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傅秀清（助理工程师）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2100" w:firstLineChars="75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谢  慧（助理工程师）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2100" w:firstLineChars="75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覃盛林（助理工程师）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2100" w:firstLineChars="75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龙宝辉（助理工程师）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校    对：     钟秋平（高级工程师）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审    核：     曹宏明（高级工程师）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b w:val="0"/>
          <w:bCs w:val="0"/>
          <w:color w:val="auto"/>
          <w:sz w:val="28"/>
          <w:szCs w:val="28"/>
          <w:lang w:val="en-US" w:eastAsia="zh-CN"/>
        </w:rPr>
      </w:pP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b/>
          <w:bCs/>
          <w:color w:val="auto"/>
          <w:sz w:val="28"/>
          <w:szCs w:val="28"/>
          <w:lang w:val="en-US" w:eastAsia="zh-CN"/>
        </w:rPr>
      </w:pPr>
      <w:r>
        <w:rPr>
          <w:rFonts w:hint="eastAsia"/>
          <w:b/>
          <w:bCs/>
          <w:color w:val="auto"/>
          <w:sz w:val="28"/>
          <w:szCs w:val="28"/>
          <w:lang w:val="en-US" w:eastAsia="zh-CN"/>
        </w:rPr>
        <w:t>委托单位：钦州市钦北区自然资源局</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主要编制人员： 玉  益（工程师）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2100" w:firstLineChars="75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韦永姣（工程师）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2100" w:firstLineChars="75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邓诗琴（助理工程师）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2100" w:firstLineChars="750"/>
        <w:jc w:val="both"/>
        <w:textAlignment w:val="auto"/>
        <w:rPr>
          <w:rFonts w:hint="eastAsia"/>
          <w:b w:val="0"/>
          <w:bCs w:val="0"/>
          <w:color w:val="auto"/>
          <w:sz w:val="28"/>
          <w:szCs w:val="28"/>
          <w:lang w:val="en-US" w:eastAsia="zh-CN"/>
        </w:rPr>
      </w:pPr>
      <w:r>
        <w:rPr>
          <w:rFonts w:hint="eastAsia"/>
          <w:b w:val="0"/>
          <w:bCs w:val="0"/>
          <w:color w:val="auto"/>
          <w:sz w:val="28"/>
          <w:szCs w:val="28"/>
          <w:lang w:val="en-US" w:eastAsia="zh-CN"/>
        </w:rPr>
        <w:t>刘小红（助理工程师）</w:t>
      </w:r>
    </w:p>
    <w:p>
      <w:pPr>
        <w:pStyle w:val="31"/>
        <w:keepNext w:val="0"/>
        <w:keepLines w:val="0"/>
        <w:pageBreakBefore w:val="0"/>
        <w:widowControl w:val="0"/>
        <w:kinsoku/>
        <w:wordWrap/>
        <w:overflowPunct/>
        <w:topLinePunct w:val="0"/>
        <w:autoSpaceDE/>
        <w:autoSpaceDN/>
        <w:bidi w:val="0"/>
        <w:adjustRightInd w:val="0"/>
        <w:snapToGrid w:val="0"/>
        <w:spacing w:line="360" w:lineRule="auto"/>
        <w:ind w:left="0" w:firstLine="1960" w:firstLineChars="700"/>
        <w:jc w:val="both"/>
        <w:textAlignment w:val="auto"/>
        <w:rPr>
          <w:rFonts w:hint="eastAsia"/>
          <w:color w:val="auto"/>
        </w:rPr>
        <w:sectPr>
          <w:headerReference r:id="rId3" w:type="default"/>
          <w:pgSz w:w="11906" w:h="16838"/>
          <w:pgMar w:top="1418" w:right="1701" w:bottom="1418" w:left="1587" w:header="851" w:footer="992" w:gutter="0"/>
          <w:pgNumType w:start="1"/>
          <w:docGrid w:linePitch="312" w:charSpace="0"/>
        </w:sectPr>
      </w:pPr>
      <w:r>
        <w:rPr>
          <w:rFonts w:hint="eastAsia"/>
          <w:b w:val="0"/>
          <w:bCs w:val="0"/>
          <w:color w:val="auto"/>
          <w:sz w:val="28"/>
          <w:szCs w:val="28"/>
          <w:lang w:val="en-US" w:eastAsia="zh-CN"/>
        </w:rPr>
        <w:t xml:space="preserve"> 赖薇珊（助理工程师）</w:t>
      </w:r>
    </w:p>
    <w:p>
      <w:pPr>
        <w:pStyle w:val="31"/>
        <w:keepNext w:val="0"/>
        <w:keepLines w:val="0"/>
        <w:pageBreakBefore w:val="0"/>
        <w:widowControl w:val="0"/>
        <w:kinsoku/>
        <w:wordWrap/>
        <w:overflowPunct/>
        <w:topLinePunct w:val="0"/>
        <w:autoSpaceDE/>
        <w:autoSpaceDN/>
        <w:bidi w:val="0"/>
        <w:adjustRightInd w:val="0"/>
        <w:snapToGrid w:val="0"/>
        <w:spacing w:line="480" w:lineRule="auto"/>
        <w:ind w:left="0" w:firstLine="0" w:firstLineChars="0"/>
        <w:jc w:val="left"/>
        <w:textAlignment w:val="auto"/>
        <w:rPr>
          <w:color w:val="auto"/>
        </w:rPr>
      </w:pPr>
      <w:bookmarkStart w:id="1" w:name="bookmark7"/>
      <w:bookmarkStart w:id="2" w:name="bookmark5"/>
      <w:bookmarkStart w:id="3" w:name="bookmark6"/>
      <w:r>
        <w:rPr>
          <w:rFonts w:hint="eastAsia" w:ascii="黑体" w:hAnsi="宋体" w:eastAsia="黑体"/>
          <w:color w:val="auto"/>
          <w:sz w:val="28"/>
          <w:szCs w:val="28"/>
          <w:highlight w:val="none"/>
        </w:rPr>
        <w:drawing>
          <wp:anchor distT="0" distB="0" distL="114300" distR="114300" simplePos="0" relativeHeight="1024" behindDoc="0" locked="0" layoutInCell="1" allowOverlap="1">
            <wp:simplePos x="0" y="0"/>
            <wp:positionH relativeFrom="column">
              <wp:posOffset>-2171700</wp:posOffset>
            </wp:positionH>
            <wp:positionV relativeFrom="paragraph">
              <wp:posOffset>1329690</wp:posOffset>
            </wp:positionV>
            <wp:extent cx="9362440" cy="6517005"/>
            <wp:effectExtent l="0" t="0" r="0" b="0"/>
            <wp:wrapNone/>
            <wp:docPr id="1" name="图片 1" descr="E:/00王麒麟项目/王麒麟百浪岭项目二期风电场50mw2025.08.13/海鸿营业执照.jpg海鸿营业执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00王麒麟项目/王麒麟百浪岭项目二期风电场50mw2025.08.13/海鸿营业执照.jpg海鸿营业执照"/>
                    <pic:cNvPicPr>
                      <a:picLocks noChangeAspect="1"/>
                    </pic:cNvPicPr>
                  </pic:nvPicPr>
                  <pic:blipFill>
                    <a:blip r:embed="rId7"/>
                    <a:srcRect t="2096" b="2096"/>
                    <a:stretch>
                      <a:fillRect/>
                    </a:stretch>
                  </pic:blipFill>
                  <pic:spPr>
                    <a:xfrm rot="16200000">
                      <a:off x="0" y="0"/>
                      <a:ext cx="9362440" cy="6517005"/>
                    </a:xfrm>
                    <a:prstGeom prst="rect">
                      <a:avLst/>
                    </a:prstGeom>
                    <a:noFill/>
                    <a:ln w="9525" cap="flat" cmpd="sng">
                      <a:noFill/>
                      <a:prstDash val="solid"/>
                      <a:round/>
                    </a:ln>
                  </pic:spPr>
                </pic:pic>
              </a:graphicData>
            </a:graphic>
          </wp:anchor>
        </w:drawing>
      </w:r>
      <w:bookmarkEnd w:id="1"/>
      <w:bookmarkEnd w:id="2"/>
      <w:bookmarkEnd w:id="3"/>
    </w:p>
    <w:p>
      <w:pPr>
        <w:widowControl/>
        <w:jc w:val="left"/>
        <w:rPr>
          <w:rFonts w:ascii="宋体" w:hAnsi="宋体" w:eastAsia="宋体" w:cs="宋体"/>
          <w:b/>
          <w:bCs/>
          <w:color w:val="auto"/>
          <w:kern w:val="0"/>
          <w:sz w:val="36"/>
          <w:szCs w:val="36"/>
        </w:rPr>
      </w:pPr>
    </w:p>
    <w:p>
      <w:pPr>
        <w:widowControl/>
        <w:jc w:val="center"/>
        <w:rPr>
          <w:rFonts w:ascii="宋体" w:hAnsi="宋体" w:eastAsia="宋体" w:cs="宋体"/>
          <w:b/>
          <w:bCs/>
          <w:color w:val="auto"/>
          <w:kern w:val="0"/>
          <w:sz w:val="36"/>
          <w:szCs w:val="36"/>
        </w:rPr>
      </w:pPr>
    </w:p>
    <w:p>
      <w:pPr>
        <w:widowControl/>
        <w:jc w:val="center"/>
        <w:rPr>
          <w:rFonts w:ascii="宋体" w:hAnsi="宋体" w:eastAsia="宋体" w:cs="宋体"/>
          <w:b/>
          <w:bCs/>
          <w:color w:val="auto"/>
          <w:kern w:val="0"/>
          <w:sz w:val="36"/>
          <w:szCs w:val="36"/>
        </w:rPr>
      </w:pPr>
    </w:p>
    <w:p>
      <w:pPr>
        <w:widowControl/>
        <w:jc w:val="center"/>
        <w:rPr>
          <w:rFonts w:ascii="宋体" w:hAnsi="宋体" w:eastAsia="宋体" w:cs="宋体"/>
          <w:b/>
          <w:bCs/>
          <w:color w:val="auto"/>
          <w:kern w:val="0"/>
          <w:sz w:val="36"/>
          <w:szCs w:val="36"/>
        </w:rPr>
      </w:pPr>
    </w:p>
    <w:p>
      <w:pPr>
        <w:widowControl/>
        <w:jc w:val="center"/>
        <w:rPr>
          <w:rFonts w:ascii="宋体" w:hAnsi="宋体" w:eastAsia="宋体" w:cs="宋体"/>
          <w:b/>
          <w:bCs/>
          <w:color w:val="auto"/>
          <w:kern w:val="0"/>
          <w:sz w:val="36"/>
          <w:szCs w:val="36"/>
        </w:rPr>
      </w:pPr>
    </w:p>
    <w:p>
      <w:pPr>
        <w:widowControl/>
        <w:jc w:val="center"/>
        <w:rPr>
          <w:rFonts w:ascii="宋体" w:hAnsi="宋体" w:eastAsia="宋体" w:cs="宋体"/>
          <w:b/>
          <w:bCs/>
          <w:color w:val="auto"/>
          <w:kern w:val="0"/>
          <w:sz w:val="36"/>
          <w:szCs w:val="36"/>
        </w:rPr>
      </w:pPr>
    </w:p>
    <w:p>
      <w:pPr>
        <w:rPr>
          <w:color w:val="auto"/>
        </w:rPr>
      </w:pPr>
      <w:r>
        <w:rPr>
          <w:color w:val="auto"/>
        </w:rPr>
        <w:br w:type="page"/>
      </w:r>
    </w:p>
    <w:p>
      <w:pPr>
        <w:pStyle w:val="19"/>
        <w:tabs>
          <w:tab w:val="right" w:leader="dot" w:pos="8306"/>
        </w:tabs>
        <w:spacing w:before="378" w:beforeLines="121" w:beforeAutospacing="0"/>
        <w:ind w:left="0"/>
        <w:jc w:val="left"/>
        <w:rPr>
          <w:color w:val="auto"/>
        </w:rPr>
      </w:pPr>
      <w:r>
        <w:rPr>
          <w:rFonts w:hint="eastAsia"/>
          <w:color w:val="auto"/>
          <w:highlight w:val="none"/>
        </w:rPr>
        <w:drawing>
          <wp:anchor distT="0" distB="0" distL="114935" distR="114935" simplePos="0" relativeHeight="1024" behindDoc="0" locked="0" layoutInCell="1" allowOverlap="1">
            <wp:simplePos x="0" y="0"/>
            <wp:positionH relativeFrom="column">
              <wp:posOffset>-1146175</wp:posOffset>
            </wp:positionH>
            <wp:positionV relativeFrom="paragraph">
              <wp:posOffset>1522730</wp:posOffset>
            </wp:positionV>
            <wp:extent cx="7879080" cy="5625465"/>
            <wp:effectExtent l="0" t="0" r="0" b="0"/>
            <wp:wrapNone/>
            <wp:docPr id="4" name="图片 2" descr="E:/00王麒麟项目/王麒麟百浪岭项目二期风电场50mw2025.08.13/2025海鸿土规证书.jpg2025海鸿土规证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00王麒麟项目/王麒麟百浪岭项目二期风电场50mw2025.08.13/2025海鸿土规证书.jpg2025海鸿土规证书"/>
                    <pic:cNvPicPr>
                      <a:picLocks noChangeAspect="1"/>
                    </pic:cNvPicPr>
                  </pic:nvPicPr>
                  <pic:blipFill>
                    <a:blip r:embed="rId8"/>
                    <a:srcRect l="485" r="485"/>
                    <a:stretch>
                      <a:fillRect/>
                    </a:stretch>
                  </pic:blipFill>
                  <pic:spPr>
                    <a:xfrm rot="16200000">
                      <a:off x="0" y="0"/>
                      <a:ext cx="7879081" cy="5625465"/>
                    </a:xfrm>
                    <a:prstGeom prst="rect">
                      <a:avLst/>
                    </a:prstGeom>
                    <a:noFill/>
                    <a:ln w="9525" cap="flat" cmpd="sng">
                      <a:noFill/>
                      <a:prstDash val="solid"/>
                      <a:round/>
                    </a:ln>
                  </pic:spPr>
                </pic:pic>
              </a:graphicData>
            </a:graphic>
          </wp:anchor>
        </w:drawing>
      </w: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pStyle w:val="19"/>
        <w:tabs>
          <w:tab w:val="right" w:leader="dot" w:pos="8306"/>
        </w:tabs>
        <w:spacing w:before="378" w:beforeLines="121" w:beforeAutospacing="0"/>
        <w:ind w:left="0"/>
        <w:jc w:val="center"/>
        <w:rPr>
          <w:color w:val="auto"/>
        </w:rPr>
      </w:pPr>
    </w:p>
    <w:p>
      <w:pPr>
        <w:rPr>
          <w:color w:val="auto"/>
        </w:rPr>
      </w:pPr>
    </w:p>
    <w:p>
      <w:pPr>
        <w:pStyle w:val="26"/>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14"/>
        <w:rPr>
          <w:color w:val="auto"/>
        </w:rPr>
      </w:pPr>
    </w:p>
    <w:p>
      <w:pPr>
        <w:pStyle w:val="19"/>
        <w:tabs>
          <w:tab w:val="right" w:leader="dot" w:pos="8306"/>
        </w:tabs>
        <w:spacing w:before="378" w:beforeLines="121" w:beforeAutospacing="0"/>
        <w:jc w:val="center"/>
        <w:rPr>
          <w:rFonts w:hint="eastAsia" w:ascii="黑体" w:hAnsi="黑体" w:eastAsia="黑体" w:cs="黑体"/>
          <w:b/>
          <w:bCs/>
          <w:color w:val="auto"/>
          <w:sz w:val="36"/>
          <w:szCs w:val="36"/>
          <w:lang w:eastAsia="zh-CN"/>
        </w:rPr>
      </w:pPr>
      <w:r>
        <w:rPr>
          <w:rFonts w:hint="eastAsia" w:ascii="黑体" w:hAnsi="黑体" w:eastAsia="黑体" w:cs="黑体"/>
          <w:b/>
          <w:bCs/>
          <w:color w:val="auto"/>
          <w:sz w:val="36"/>
          <w:szCs w:val="36"/>
          <w:lang w:eastAsia="zh-CN"/>
        </w:rPr>
        <w:t>第一部分</w:t>
      </w:r>
    </w:p>
    <w:p>
      <w:pPr>
        <w:pStyle w:val="19"/>
        <w:tabs>
          <w:tab w:val="right" w:leader="dot" w:pos="8306"/>
        </w:tabs>
        <w:spacing w:before="378" w:beforeLines="121" w:beforeAutospacing="0"/>
        <w:jc w:val="center"/>
        <w:rPr>
          <w:rFonts w:hint="eastAsia" w:ascii="黑体" w:hAnsi="黑体" w:eastAsia="黑体" w:cs="黑体"/>
          <w:b/>
          <w:bCs/>
          <w:color w:val="auto"/>
          <w:sz w:val="36"/>
          <w:szCs w:val="36"/>
          <w:lang w:eastAsia="zh-CN"/>
        </w:rPr>
      </w:pPr>
      <w:r>
        <w:rPr>
          <w:rFonts w:hint="eastAsia" w:ascii="黑体" w:hAnsi="黑体" w:eastAsia="黑体" w:cs="黑体"/>
          <w:b/>
          <w:bCs/>
          <w:color w:val="auto"/>
          <w:sz w:val="36"/>
          <w:szCs w:val="36"/>
          <w:lang w:eastAsia="zh-CN"/>
        </w:rPr>
        <w:t>文</w:t>
      </w:r>
      <w:r>
        <w:rPr>
          <w:rFonts w:hint="eastAsia" w:ascii="黑体" w:hAnsi="黑体" w:eastAsia="黑体" w:cs="黑体"/>
          <w:b/>
          <w:bCs/>
          <w:color w:val="auto"/>
          <w:sz w:val="36"/>
          <w:szCs w:val="36"/>
          <w:lang w:val="en-US" w:eastAsia="zh-CN"/>
        </w:rPr>
        <w:t xml:space="preserve"> </w:t>
      </w:r>
      <w:r>
        <w:rPr>
          <w:rFonts w:hint="eastAsia" w:ascii="黑体" w:hAnsi="黑体" w:eastAsia="黑体" w:cs="黑体"/>
          <w:b/>
          <w:bCs/>
          <w:color w:val="auto"/>
          <w:sz w:val="36"/>
          <w:szCs w:val="36"/>
          <w:lang w:eastAsia="zh-CN"/>
        </w:rPr>
        <w:t>本</w:t>
      </w:r>
    </w:p>
    <w:p>
      <w:pPr>
        <w:pStyle w:val="19"/>
        <w:tabs>
          <w:tab w:val="right" w:leader="dot" w:pos="8306"/>
        </w:tabs>
        <w:spacing w:before="378" w:beforeLines="121" w:beforeAutospacing="0"/>
        <w:jc w:val="center"/>
        <w:rPr>
          <w:rFonts w:hint="eastAsia" w:ascii="黑体" w:hAnsi="黑体" w:eastAsia="黑体" w:cs="黑体"/>
          <w:b/>
          <w:bCs/>
          <w:color w:val="auto"/>
          <w:sz w:val="36"/>
          <w:szCs w:val="36"/>
          <w:lang w:eastAsia="zh-CN"/>
        </w:rPr>
      </w:pPr>
    </w:p>
    <w:p>
      <w:pPr>
        <w:pStyle w:val="19"/>
        <w:tabs>
          <w:tab w:val="right" w:leader="dot" w:pos="8306"/>
        </w:tabs>
        <w:spacing w:before="378" w:beforeLines="121" w:beforeAutospacing="0"/>
        <w:jc w:val="center"/>
        <w:rPr>
          <w:rFonts w:hint="eastAsia" w:ascii="黑体" w:hAnsi="黑体" w:eastAsia="黑体" w:cs="黑体"/>
          <w:b/>
          <w:bCs/>
          <w:color w:val="auto"/>
          <w:sz w:val="36"/>
          <w:szCs w:val="36"/>
          <w:lang w:eastAsia="zh-CN"/>
        </w:rPr>
      </w:pPr>
    </w:p>
    <w:p>
      <w:pPr>
        <w:pStyle w:val="19"/>
        <w:tabs>
          <w:tab w:val="right" w:leader="dot" w:pos="8306"/>
        </w:tabs>
        <w:spacing w:before="378" w:beforeLines="121" w:beforeAutospacing="0"/>
        <w:jc w:val="center"/>
        <w:rPr>
          <w:rFonts w:hint="eastAsia" w:ascii="黑体" w:hAnsi="黑体" w:eastAsia="黑体" w:cs="黑体"/>
          <w:b/>
          <w:bCs/>
          <w:color w:val="auto"/>
          <w:sz w:val="36"/>
          <w:szCs w:val="36"/>
          <w:lang w:eastAsia="zh-CN"/>
        </w:rPr>
      </w:pPr>
    </w:p>
    <w:p>
      <w:pPr>
        <w:pStyle w:val="19"/>
        <w:tabs>
          <w:tab w:val="right" w:leader="dot" w:pos="8306"/>
        </w:tabs>
        <w:spacing w:before="378" w:beforeLines="121" w:beforeAutospacing="0"/>
        <w:jc w:val="center"/>
        <w:rPr>
          <w:rFonts w:hint="eastAsia" w:ascii="黑体" w:hAnsi="黑体" w:eastAsia="黑体" w:cs="黑体"/>
          <w:b/>
          <w:bCs/>
          <w:color w:val="auto"/>
          <w:sz w:val="36"/>
          <w:szCs w:val="36"/>
          <w:lang w:eastAsia="zh-CN"/>
        </w:rPr>
      </w:pPr>
    </w:p>
    <w:p>
      <w:pPr>
        <w:pStyle w:val="19"/>
        <w:tabs>
          <w:tab w:val="right" w:leader="dot" w:pos="8306"/>
        </w:tabs>
        <w:spacing w:before="378" w:beforeLines="121" w:beforeAutospacing="0"/>
        <w:jc w:val="center"/>
        <w:rPr>
          <w:rFonts w:hint="eastAsia" w:ascii="黑体" w:hAnsi="黑体" w:eastAsia="黑体" w:cs="黑体"/>
          <w:b/>
          <w:bCs/>
          <w:color w:val="auto"/>
          <w:sz w:val="36"/>
          <w:szCs w:val="36"/>
          <w:lang w:eastAsia="zh-CN"/>
        </w:rPr>
      </w:pPr>
    </w:p>
    <w:p>
      <w:pPr>
        <w:pStyle w:val="19"/>
        <w:tabs>
          <w:tab w:val="right" w:leader="dot" w:pos="8306"/>
        </w:tabs>
        <w:spacing w:before="378" w:beforeLines="121" w:beforeAutospacing="0"/>
        <w:jc w:val="center"/>
        <w:rPr>
          <w:rFonts w:hint="eastAsia" w:ascii="黑体" w:hAnsi="黑体" w:eastAsia="黑体" w:cs="黑体"/>
          <w:b/>
          <w:bCs/>
          <w:color w:val="auto"/>
          <w:sz w:val="36"/>
          <w:szCs w:val="36"/>
          <w:lang w:eastAsia="zh-CN"/>
        </w:rPr>
      </w:pPr>
    </w:p>
    <w:p>
      <w:pPr>
        <w:pStyle w:val="19"/>
        <w:tabs>
          <w:tab w:val="right" w:leader="dot" w:pos="8306"/>
        </w:tabs>
        <w:spacing w:before="378" w:beforeLines="121" w:beforeAutospacing="0"/>
        <w:jc w:val="center"/>
        <w:rPr>
          <w:rFonts w:hint="eastAsia" w:ascii="黑体" w:hAnsi="黑体" w:eastAsia="黑体" w:cs="黑体"/>
          <w:b/>
          <w:bCs/>
          <w:color w:val="auto"/>
          <w:sz w:val="36"/>
          <w:szCs w:val="36"/>
          <w:lang w:eastAsia="zh-CN"/>
        </w:rPr>
      </w:pPr>
    </w:p>
    <w:p>
      <w:pPr>
        <w:pStyle w:val="19"/>
        <w:tabs>
          <w:tab w:val="right" w:leader="dot" w:pos="8306"/>
        </w:tabs>
        <w:spacing w:before="378" w:beforeLines="121" w:beforeAutospacing="0"/>
        <w:jc w:val="center"/>
        <w:rPr>
          <w:rFonts w:hint="eastAsia" w:ascii="黑体" w:hAnsi="黑体" w:eastAsia="黑体" w:cs="黑体"/>
          <w:b/>
          <w:bCs/>
          <w:color w:val="auto"/>
          <w:sz w:val="36"/>
          <w:szCs w:val="36"/>
          <w:lang w:eastAsia="zh-CN"/>
        </w:rPr>
      </w:pPr>
    </w:p>
    <w:p>
      <w:pPr>
        <w:pStyle w:val="19"/>
        <w:tabs>
          <w:tab w:val="right" w:leader="dot" w:pos="8306"/>
        </w:tabs>
        <w:spacing w:before="378" w:beforeLines="121" w:beforeAutospacing="0"/>
        <w:ind w:left="0"/>
        <w:jc w:val="both"/>
        <w:rPr>
          <w:color w:val="auto"/>
        </w:rPr>
      </w:pPr>
    </w:p>
    <w:p>
      <w:pPr>
        <w:pStyle w:val="19"/>
        <w:tabs>
          <w:tab w:val="right" w:leader="dot" w:pos="8306"/>
        </w:tabs>
        <w:spacing w:before="378" w:beforeLines="121" w:beforeAutospacing="0"/>
        <w:ind w:left="0"/>
        <w:jc w:val="center"/>
        <w:rPr>
          <w:b/>
          <w:bCs/>
          <w:color w:val="auto"/>
          <w:sz w:val="36"/>
          <w:szCs w:val="36"/>
        </w:rPr>
      </w:pPr>
      <w:r>
        <w:rPr>
          <w:rFonts w:hint="eastAsia"/>
          <w:b/>
          <w:bCs/>
          <w:color w:val="auto"/>
          <w:sz w:val="36"/>
          <w:szCs w:val="36"/>
        </w:rPr>
        <w:t>目</w:t>
      </w:r>
      <w:r>
        <w:rPr>
          <w:rFonts w:hint="eastAsia"/>
          <w:b/>
          <w:bCs/>
          <w:color w:val="auto"/>
          <w:sz w:val="36"/>
          <w:szCs w:val="36"/>
          <w:lang w:val="en-US" w:eastAsia="zh-CN"/>
        </w:rPr>
        <w:t xml:space="preserve"> </w:t>
      </w:r>
      <w:r>
        <w:rPr>
          <w:rFonts w:hint="eastAsia"/>
          <w:b/>
          <w:bCs/>
          <w:color w:val="auto"/>
          <w:sz w:val="36"/>
          <w:szCs w:val="36"/>
        </w:rPr>
        <w:t>录</w:t>
      </w:r>
    </w:p>
    <w:p>
      <w:pPr>
        <w:pStyle w:val="19"/>
        <w:tabs>
          <w:tab w:val="right" w:leader="dot" w:pos="8306"/>
        </w:tabs>
        <w:rPr>
          <w:color w:val="auto"/>
        </w:rPr>
      </w:pPr>
      <w:r>
        <w:rPr>
          <w:color w:val="auto"/>
          <w:sz w:val="28"/>
          <w:szCs w:val="28"/>
        </w:rPr>
        <w:fldChar w:fldCharType="begin"/>
      </w:r>
      <w:r>
        <w:rPr>
          <w:color w:val="auto"/>
          <w:sz w:val="28"/>
          <w:szCs w:val="28"/>
        </w:rPr>
        <w:instrText xml:space="preserve">TOC \o "1-2" \h \u </w:instrText>
      </w:r>
      <w:r>
        <w:rPr>
          <w:color w:val="auto"/>
          <w:sz w:val="28"/>
          <w:szCs w:val="28"/>
        </w:rPr>
        <w:fldChar w:fldCharType="separate"/>
      </w:r>
      <w:r>
        <w:rPr>
          <w:color w:val="auto"/>
          <w:szCs w:val="28"/>
        </w:rPr>
        <w:fldChar w:fldCharType="begin"/>
      </w:r>
      <w:r>
        <w:rPr>
          <w:color w:val="auto"/>
          <w:szCs w:val="28"/>
        </w:rPr>
        <w:instrText xml:space="preserve"> HYPERLINK \l _Toc2180 </w:instrText>
      </w:r>
      <w:r>
        <w:rPr>
          <w:color w:val="auto"/>
          <w:szCs w:val="28"/>
        </w:rPr>
        <w:fldChar w:fldCharType="separate"/>
      </w:r>
      <w:r>
        <w:rPr>
          <w:rFonts w:hint="eastAsia" w:ascii="宋体" w:hAnsi="宋体" w:eastAsia="宋体" w:cs="宋体"/>
          <w:bCs/>
          <w:color w:val="auto"/>
          <w:szCs w:val="32"/>
          <w:lang w:eastAsia="zh-CN"/>
        </w:rPr>
        <w:t>第一章 总则</w:t>
      </w:r>
      <w:r>
        <w:rPr>
          <w:color w:val="auto"/>
        </w:rPr>
        <w:tab/>
      </w:r>
      <w:r>
        <w:rPr>
          <w:color w:val="auto"/>
        </w:rPr>
        <w:fldChar w:fldCharType="begin"/>
      </w:r>
      <w:r>
        <w:rPr>
          <w:color w:val="auto"/>
        </w:rPr>
        <w:instrText xml:space="preserve"> PAGEREF _Toc2180 \h </w:instrText>
      </w:r>
      <w:r>
        <w:rPr>
          <w:color w:val="auto"/>
        </w:rPr>
        <w:fldChar w:fldCharType="separate"/>
      </w:r>
      <w:r>
        <w:rPr>
          <w:color w:val="auto"/>
        </w:rPr>
        <w:t>1</w:t>
      </w:r>
      <w:r>
        <w:rPr>
          <w:color w:val="auto"/>
        </w:rPr>
        <w:fldChar w:fldCharType="end"/>
      </w:r>
      <w:r>
        <w:rPr>
          <w:color w:val="auto"/>
          <w:szCs w:val="28"/>
        </w:rPr>
        <w:fldChar w:fldCharType="end"/>
      </w:r>
    </w:p>
    <w:p>
      <w:pPr>
        <w:pStyle w:val="19"/>
        <w:tabs>
          <w:tab w:val="right" w:leader="dot" w:pos="8306"/>
        </w:tabs>
        <w:rPr>
          <w:color w:val="auto"/>
        </w:rPr>
      </w:pPr>
      <w:r>
        <w:rPr>
          <w:color w:val="auto"/>
          <w:szCs w:val="28"/>
        </w:rPr>
        <w:fldChar w:fldCharType="begin"/>
      </w:r>
      <w:r>
        <w:rPr>
          <w:color w:val="auto"/>
          <w:szCs w:val="28"/>
        </w:rPr>
        <w:instrText xml:space="preserve"> HYPERLINK \l _Toc2965 </w:instrText>
      </w:r>
      <w:r>
        <w:rPr>
          <w:color w:val="auto"/>
          <w:szCs w:val="28"/>
        </w:rPr>
        <w:fldChar w:fldCharType="separate"/>
      </w:r>
      <w:r>
        <w:rPr>
          <w:rFonts w:hint="eastAsia" w:ascii="宋体" w:hAnsi="宋体" w:eastAsia="宋体" w:cs="宋体"/>
          <w:bCs/>
          <w:color w:val="auto"/>
          <w:szCs w:val="32"/>
          <w:lang w:eastAsia="zh-CN"/>
        </w:rPr>
        <w:t>第二章</w:t>
      </w:r>
      <w:r>
        <w:rPr>
          <w:rFonts w:hint="eastAsia" w:ascii="宋体" w:hAnsi="宋体" w:eastAsia="宋体" w:cs="宋体"/>
          <w:bCs/>
          <w:color w:val="auto"/>
          <w:szCs w:val="32"/>
          <w:lang w:val="en-US" w:eastAsia="zh-CN"/>
        </w:rPr>
        <w:t xml:space="preserve"> </w:t>
      </w:r>
      <w:r>
        <w:rPr>
          <w:rFonts w:hint="eastAsia" w:ascii="宋体" w:hAnsi="宋体" w:eastAsia="宋体" w:cs="宋体"/>
          <w:bCs/>
          <w:color w:val="auto"/>
          <w:szCs w:val="32"/>
        </w:rPr>
        <w:t>规划</w:t>
      </w:r>
      <w:r>
        <w:rPr>
          <w:rFonts w:hint="eastAsia" w:ascii="宋体" w:hAnsi="宋体" w:eastAsia="宋体" w:cs="宋体"/>
          <w:bCs/>
          <w:color w:val="auto"/>
          <w:szCs w:val="32"/>
          <w:lang w:eastAsia="zh-CN"/>
        </w:rPr>
        <w:t>定位</w:t>
      </w:r>
      <w:r>
        <w:rPr>
          <w:color w:val="auto"/>
        </w:rPr>
        <w:tab/>
      </w:r>
      <w:r>
        <w:rPr>
          <w:color w:val="auto"/>
        </w:rPr>
        <w:fldChar w:fldCharType="begin"/>
      </w:r>
      <w:r>
        <w:rPr>
          <w:color w:val="auto"/>
        </w:rPr>
        <w:instrText xml:space="preserve"> PAGEREF _Toc2965 \h </w:instrText>
      </w:r>
      <w:r>
        <w:rPr>
          <w:color w:val="auto"/>
        </w:rPr>
        <w:fldChar w:fldCharType="separate"/>
      </w:r>
      <w:r>
        <w:rPr>
          <w:color w:val="auto"/>
        </w:rPr>
        <w:t>3</w:t>
      </w:r>
      <w:r>
        <w:rPr>
          <w:color w:val="auto"/>
        </w:rPr>
        <w:fldChar w:fldCharType="end"/>
      </w:r>
      <w:r>
        <w:rPr>
          <w:color w:val="auto"/>
          <w:szCs w:val="28"/>
        </w:rPr>
        <w:fldChar w:fldCharType="end"/>
      </w:r>
    </w:p>
    <w:p>
      <w:pPr>
        <w:pStyle w:val="19"/>
        <w:tabs>
          <w:tab w:val="right" w:leader="dot" w:pos="8306"/>
        </w:tabs>
        <w:rPr>
          <w:color w:val="auto"/>
        </w:rPr>
      </w:pPr>
      <w:r>
        <w:rPr>
          <w:color w:val="auto"/>
          <w:szCs w:val="28"/>
        </w:rPr>
        <w:fldChar w:fldCharType="begin"/>
      </w:r>
      <w:r>
        <w:rPr>
          <w:color w:val="auto"/>
          <w:szCs w:val="28"/>
        </w:rPr>
        <w:instrText xml:space="preserve"> HYPERLINK \l _Toc7239 </w:instrText>
      </w:r>
      <w:r>
        <w:rPr>
          <w:color w:val="auto"/>
          <w:szCs w:val="28"/>
        </w:rPr>
        <w:fldChar w:fldCharType="separate"/>
      </w:r>
      <w:r>
        <w:rPr>
          <w:rFonts w:hint="eastAsia" w:ascii="宋体" w:hAnsi="宋体" w:eastAsia="宋体" w:cs="宋体"/>
          <w:bCs/>
          <w:color w:val="auto"/>
          <w:szCs w:val="32"/>
          <w:lang w:eastAsia="zh-CN"/>
        </w:rPr>
        <w:t>第三章</w:t>
      </w:r>
      <w:r>
        <w:rPr>
          <w:rFonts w:hint="eastAsia" w:ascii="宋体" w:hAnsi="宋体" w:eastAsia="宋体" w:cs="宋体"/>
          <w:bCs/>
          <w:color w:val="auto"/>
          <w:szCs w:val="32"/>
          <w:lang w:val="en-US" w:eastAsia="zh-CN"/>
        </w:rPr>
        <w:t xml:space="preserve"> </w:t>
      </w:r>
      <w:r>
        <w:rPr>
          <w:rFonts w:hint="eastAsia" w:ascii="宋体" w:hAnsi="宋体" w:eastAsia="宋体" w:cs="宋体"/>
          <w:bCs/>
          <w:color w:val="auto"/>
          <w:szCs w:val="32"/>
          <w:lang w:eastAsia="zh-CN"/>
        </w:rPr>
        <w:t>用地布局</w:t>
      </w:r>
      <w:r>
        <w:rPr>
          <w:color w:val="auto"/>
        </w:rPr>
        <w:tab/>
      </w:r>
      <w:r>
        <w:rPr>
          <w:color w:val="auto"/>
        </w:rPr>
        <w:fldChar w:fldCharType="begin"/>
      </w:r>
      <w:r>
        <w:rPr>
          <w:color w:val="auto"/>
        </w:rPr>
        <w:instrText xml:space="preserve"> PAGEREF _Toc7239 \h </w:instrText>
      </w:r>
      <w:r>
        <w:rPr>
          <w:color w:val="auto"/>
        </w:rPr>
        <w:fldChar w:fldCharType="separate"/>
      </w:r>
      <w:r>
        <w:rPr>
          <w:color w:val="auto"/>
        </w:rPr>
        <w:t>4</w:t>
      </w:r>
      <w:r>
        <w:rPr>
          <w:color w:val="auto"/>
        </w:rPr>
        <w:fldChar w:fldCharType="end"/>
      </w:r>
      <w:r>
        <w:rPr>
          <w:color w:val="auto"/>
          <w:szCs w:val="28"/>
        </w:rPr>
        <w:fldChar w:fldCharType="end"/>
      </w:r>
    </w:p>
    <w:p>
      <w:pPr>
        <w:pStyle w:val="19"/>
        <w:tabs>
          <w:tab w:val="right" w:leader="dot" w:pos="8306"/>
        </w:tabs>
        <w:rPr>
          <w:color w:val="auto"/>
        </w:rPr>
      </w:pPr>
      <w:r>
        <w:rPr>
          <w:color w:val="auto"/>
          <w:szCs w:val="28"/>
        </w:rPr>
        <w:fldChar w:fldCharType="begin"/>
      </w:r>
      <w:r>
        <w:rPr>
          <w:color w:val="auto"/>
          <w:szCs w:val="28"/>
        </w:rPr>
        <w:instrText xml:space="preserve"> HYPERLINK \l _Toc18742 </w:instrText>
      </w:r>
      <w:r>
        <w:rPr>
          <w:color w:val="auto"/>
          <w:szCs w:val="28"/>
        </w:rPr>
        <w:fldChar w:fldCharType="separate"/>
      </w:r>
      <w:r>
        <w:rPr>
          <w:rFonts w:hint="eastAsia" w:ascii="宋体" w:hAnsi="宋体" w:eastAsia="宋体" w:cs="宋体"/>
          <w:bCs/>
          <w:color w:val="auto"/>
          <w:szCs w:val="32"/>
          <w:lang w:eastAsia="zh-CN"/>
        </w:rPr>
        <w:t>第四章</w:t>
      </w:r>
      <w:r>
        <w:rPr>
          <w:rFonts w:hint="eastAsia" w:ascii="宋体" w:hAnsi="宋体" w:eastAsia="宋体" w:cs="宋体"/>
          <w:bCs/>
          <w:color w:val="auto"/>
          <w:szCs w:val="32"/>
          <w:lang w:val="en-US" w:eastAsia="zh-CN"/>
        </w:rPr>
        <w:t xml:space="preserve"> </w:t>
      </w:r>
      <w:r>
        <w:rPr>
          <w:rFonts w:hint="eastAsia" w:ascii="宋体" w:hAnsi="宋体" w:eastAsia="宋体" w:cs="宋体"/>
          <w:bCs/>
          <w:color w:val="auto"/>
          <w:szCs w:val="32"/>
          <w:lang w:eastAsia="zh-CN"/>
        </w:rPr>
        <w:t>道路</w:t>
      </w:r>
      <w:r>
        <w:rPr>
          <w:rFonts w:hint="eastAsia" w:ascii="宋体" w:hAnsi="宋体" w:eastAsia="宋体" w:cs="宋体"/>
          <w:bCs/>
          <w:color w:val="auto"/>
          <w:szCs w:val="32"/>
        </w:rPr>
        <w:t>交通</w:t>
      </w:r>
      <w:r>
        <w:rPr>
          <w:rFonts w:hint="eastAsia" w:ascii="宋体" w:hAnsi="宋体" w:eastAsia="宋体" w:cs="宋体"/>
          <w:bCs/>
          <w:color w:val="auto"/>
          <w:szCs w:val="32"/>
          <w:lang w:eastAsia="zh-CN"/>
        </w:rPr>
        <w:t>及竖向</w:t>
      </w:r>
      <w:r>
        <w:rPr>
          <w:rFonts w:hint="eastAsia" w:ascii="宋体" w:hAnsi="宋体" w:eastAsia="宋体" w:cs="宋体"/>
          <w:bCs/>
          <w:color w:val="auto"/>
          <w:szCs w:val="32"/>
        </w:rPr>
        <w:t>规划</w:t>
      </w:r>
      <w:r>
        <w:rPr>
          <w:color w:val="auto"/>
        </w:rPr>
        <w:tab/>
      </w:r>
      <w:r>
        <w:rPr>
          <w:color w:val="auto"/>
        </w:rPr>
        <w:fldChar w:fldCharType="begin"/>
      </w:r>
      <w:r>
        <w:rPr>
          <w:color w:val="auto"/>
        </w:rPr>
        <w:instrText xml:space="preserve"> PAGEREF _Toc18742 \h </w:instrText>
      </w:r>
      <w:r>
        <w:rPr>
          <w:color w:val="auto"/>
        </w:rPr>
        <w:fldChar w:fldCharType="separate"/>
      </w:r>
      <w:r>
        <w:rPr>
          <w:color w:val="auto"/>
        </w:rPr>
        <w:t>5</w:t>
      </w:r>
      <w:r>
        <w:rPr>
          <w:color w:val="auto"/>
        </w:rPr>
        <w:fldChar w:fldCharType="end"/>
      </w:r>
      <w:r>
        <w:rPr>
          <w:color w:val="auto"/>
          <w:szCs w:val="28"/>
        </w:rPr>
        <w:fldChar w:fldCharType="end"/>
      </w:r>
    </w:p>
    <w:p>
      <w:pPr>
        <w:pStyle w:val="19"/>
        <w:tabs>
          <w:tab w:val="right" w:leader="dot" w:pos="8306"/>
        </w:tabs>
        <w:rPr>
          <w:color w:val="auto"/>
        </w:rPr>
      </w:pPr>
      <w:r>
        <w:rPr>
          <w:color w:val="auto"/>
          <w:szCs w:val="28"/>
        </w:rPr>
        <w:fldChar w:fldCharType="begin"/>
      </w:r>
      <w:r>
        <w:rPr>
          <w:color w:val="auto"/>
          <w:szCs w:val="28"/>
        </w:rPr>
        <w:instrText xml:space="preserve"> HYPERLINK \l _Toc24391 </w:instrText>
      </w:r>
      <w:r>
        <w:rPr>
          <w:color w:val="auto"/>
          <w:szCs w:val="28"/>
        </w:rPr>
        <w:fldChar w:fldCharType="separate"/>
      </w:r>
      <w:r>
        <w:rPr>
          <w:rFonts w:hint="eastAsia" w:ascii="宋体" w:hAnsi="宋体" w:eastAsia="宋体" w:cs="宋体"/>
          <w:bCs/>
          <w:color w:val="auto"/>
          <w:szCs w:val="32"/>
          <w:lang w:eastAsia="zh-CN"/>
        </w:rPr>
        <w:t>第五章</w:t>
      </w:r>
      <w:r>
        <w:rPr>
          <w:rFonts w:hint="eastAsia" w:ascii="宋体" w:hAnsi="宋体" w:eastAsia="宋体" w:cs="宋体"/>
          <w:bCs/>
          <w:color w:val="auto"/>
          <w:szCs w:val="32"/>
          <w:lang w:val="en-US" w:eastAsia="zh-CN"/>
        </w:rPr>
        <w:t xml:space="preserve"> </w:t>
      </w:r>
      <w:r>
        <w:rPr>
          <w:rFonts w:hint="eastAsia" w:ascii="宋体" w:hAnsi="宋体" w:eastAsia="宋体" w:cs="宋体"/>
          <w:bCs/>
          <w:color w:val="auto"/>
          <w:szCs w:val="32"/>
        </w:rPr>
        <w:t>市政工程</w:t>
      </w:r>
      <w:r>
        <w:rPr>
          <w:rFonts w:hint="eastAsia" w:ascii="宋体" w:hAnsi="宋体" w:eastAsia="宋体" w:cs="宋体"/>
          <w:bCs/>
          <w:color w:val="auto"/>
          <w:szCs w:val="32"/>
          <w:lang w:eastAsia="zh-CN"/>
        </w:rPr>
        <w:t>设施</w:t>
      </w:r>
      <w:r>
        <w:rPr>
          <w:rFonts w:hint="eastAsia" w:ascii="宋体" w:hAnsi="宋体" w:eastAsia="宋体" w:cs="宋体"/>
          <w:bCs/>
          <w:color w:val="auto"/>
          <w:szCs w:val="32"/>
        </w:rPr>
        <w:t>规划</w:t>
      </w:r>
      <w:r>
        <w:rPr>
          <w:color w:val="auto"/>
        </w:rPr>
        <w:tab/>
      </w:r>
      <w:r>
        <w:rPr>
          <w:color w:val="auto"/>
        </w:rPr>
        <w:fldChar w:fldCharType="begin"/>
      </w:r>
      <w:r>
        <w:rPr>
          <w:color w:val="auto"/>
        </w:rPr>
        <w:instrText xml:space="preserve"> PAGEREF _Toc24391 \h </w:instrText>
      </w:r>
      <w:r>
        <w:rPr>
          <w:color w:val="auto"/>
        </w:rPr>
        <w:fldChar w:fldCharType="separate"/>
      </w:r>
      <w:r>
        <w:rPr>
          <w:color w:val="auto"/>
        </w:rPr>
        <w:t>6</w:t>
      </w:r>
      <w:r>
        <w:rPr>
          <w:color w:val="auto"/>
        </w:rPr>
        <w:fldChar w:fldCharType="end"/>
      </w:r>
      <w:r>
        <w:rPr>
          <w:color w:val="auto"/>
          <w:szCs w:val="28"/>
        </w:rPr>
        <w:fldChar w:fldCharType="end"/>
      </w:r>
    </w:p>
    <w:p>
      <w:pPr>
        <w:pStyle w:val="19"/>
        <w:tabs>
          <w:tab w:val="right" w:leader="dot" w:pos="8306"/>
        </w:tabs>
        <w:rPr>
          <w:color w:val="auto"/>
        </w:rPr>
      </w:pPr>
      <w:r>
        <w:rPr>
          <w:color w:val="auto"/>
          <w:szCs w:val="28"/>
        </w:rPr>
        <w:fldChar w:fldCharType="begin"/>
      </w:r>
      <w:r>
        <w:rPr>
          <w:color w:val="auto"/>
          <w:szCs w:val="28"/>
        </w:rPr>
        <w:instrText xml:space="preserve"> HYPERLINK \l _Toc22695 </w:instrText>
      </w:r>
      <w:r>
        <w:rPr>
          <w:color w:val="auto"/>
          <w:szCs w:val="28"/>
        </w:rPr>
        <w:fldChar w:fldCharType="separate"/>
      </w:r>
      <w:r>
        <w:rPr>
          <w:rFonts w:hint="eastAsia" w:ascii="宋体" w:hAnsi="宋体" w:eastAsia="宋体" w:cs="宋体"/>
          <w:bCs/>
          <w:color w:val="auto"/>
          <w:szCs w:val="32"/>
          <w:lang w:eastAsia="zh-CN"/>
        </w:rPr>
        <w:t>第六章</w:t>
      </w:r>
      <w:r>
        <w:rPr>
          <w:rFonts w:hint="eastAsia" w:ascii="宋体" w:hAnsi="宋体" w:eastAsia="宋体" w:cs="宋体"/>
          <w:bCs/>
          <w:color w:val="auto"/>
          <w:szCs w:val="32"/>
          <w:lang w:val="en-US" w:eastAsia="zh-CN"/>
        </w:rPr>
        <w:t xml:space="preserve"> 综合防灾</w:t>
      </w:r>
      <w:r>
        <w:rPr>
          <w:rFonts w:hint="eastAsia" w:ascii="宋体" w:hAnsi="宋体" w:eastAsia="宋体" w:cs="宋体"/>
          <w:bCs/>
          <w:color w:val="auto"/>
          <w:szCs w:val="32"/>
        </w:rPr>
        <w:t>规划</w:t>
      </w:r>
      <w:r>
        <w:rPr>
          <w:color w:val="auto"/>
        </w:rPr>
        <w:tab/>
      </w:r>
      <w:r>
        <w:rPr>
          <w:color w:val="auto"/>
        </w:rPr>
        <w:fldChar w:fldCharType="begin"/>
      </w:r>
      <w:r>
        <w:rPr>
          <w:color w:val="auto"/>
        </w:rPr>
        <w:instrText xml:space="preserve"> PAGEREF _Toc22695 \h </w:instrText>
      </w:r>
      <w:r>
        <w:rPr>
          <w:color w:val="auto"/>
        </w:rPr>
        <w:fldChar w:fldCharType="separate"/>
      </w:r>
      <w:r>
        <w:rPr>
          <w:color w:val="auto"/>
        </w:rPr>
        <w:t>11</w:t>
      </w:r>
      <w:r>
        <w:rPr>
          <w:color w:val="auto"/>
        </w:rPr>
        <w:fldChar w:fldCharType="end"/>
      </w:r>
      <w:r>
        <w:rPr>
          <w:color w:val="auto"/>
          <w:szCs w:val="28"/>
        </w:rPr>
        <w:fldChar w:fldCharType="end"/>
      </w:r>
    </w:p>
    <w:p>
      <w:pPr>
        <w:pStyle w:val="19"/>
        <w:tabs>
          <w:tab w:val="right" w:leader="dot" w:pos="8306"/>
        </w:tabs>
        <w:rPr>
          <w:color w:val="auto"/>
        </w:rPr>
      </w:pPr>
      <w:r>
        <w:rPr>
          <w:color w:val="auto"/>
          <w:szCs w:val="28"/>
        </w:rPr>
        <w:fldChar w:fldCharType="begin"/>
      </w:r>
      <w:r>
        <w:rPr>
          <w:color w:val="auto"/>
          <w:szCs w:val="28"/>
        </w:rPr>
        <w:instrText xml:space="preserve"> HYPERLINK \l _Toc17212 </w:instrText>
      </w:r>
      <w:r>
        <w:rPr>
          <w:color w:val="auto"/>
          <w:szCs w:val="28"/>
        </w:rPr>
        <w:fldChar w:fldCharType="separate"/>
      </w:r>
      <w:r>
        <w:rPr>
          <w:rFonts w:hint="eastAsia" w:ascii="宋体" w:hAnsi="宋体" w:eastAsia="宋体" w:cs="宋体"/>
          <w:bCs/>
          <w:color w:val="auto"/>
          <w:szCs w:val="32"/>
          <w:lang w:eastAsia="zh-CN"/>
        </w:rPr>
        <w:t>第七章</w:t>
      </w:r>
      <w:r>
        <w:rPr>
          <w:rFonts w:hint="eastAsia" w:ascii="宋体" w:hAnsi="宋体" w:eastAsia="宋体" w:cs="宋体"/>
          <w:bCs/>
          <w:color w:val="auto"/>
          <w:szCs w:val="32"/>
          <w:lang w:val="en-US" w:eastAsia="zh-CN"/>
        </w:rPr>
        <w:t xml:space="preserve"> </w:t>
      </w:r>
      <w:r>
        <w:rPr>
          <w:rFonts w:hint="eastAsia" w:ascii="宋体" w:hAnsi="宋体" w:eastAsia="宋体" w:cs="宋体"/>
          <w:bCs/>
          <w:color w:val="auto"/>
          <w:szCs w:val="32"/>
          <w:lang w:eastAsia="zh-CN"/>
        </w:rPr>
        <w:t>环保环卫</w:t>
      </w:r>
      <w:r>
        <w:rPr>
          <w:rFonts w:hint="eastAsia" w:ascii="宋体" w:hAnsi="宋体" w:eastAsia="宋体" w:cs="宋体"/>
          <w:bCs/>
          <w:color w:val="auto"/>
          <w:szCs w:val="32"/>
        </w:rPr>
        <w:t>规划</w:t>
      </w:r>
      <w:r>
        <w:rPr>
          <w:color w:val="auto"/>
        </w:rPr>
        <w:tab/>
      </w:r>
      <w:r>
        <w:rPr>
          <w:color w:val="auto"/>
        </w:rPr>
        <w:fldChar w:fldCharType="begin"/>
      </w:r>
      <w:r>
        <w:rPr>
          <w:color w:val="auto"/>
        </w:rPr>
        <w:instrText xml:space="preserve"> PAGEREF _Toc17212 \h </w:instrText>
      </w:r>
      <w:r>
        <w:rPr>
          <w:color w:val="auto"/>
        </w:rPr>
        <w:fldChar w:fldCharType="separate"/>
      </w:r>
      <w:r>
        <w:rPr>
          <w:color w:val="auto"/>
        </w:rPr>
        <w:t>15</w:t>
      </w:r>
      <w:r>
        <w:rPr>
          <w:color w:val="auto"/>
        </w:rPr>
        <w:fldChar w:fldCharType="end"/>
      </w:r>
      <w:r>
        <w:rPr>
          <w:color w:val="auto"/>
          <w:szCs w:val="28"/>
        </w:rPr>
        <w:fldChar w:fldCharType="end"/>
      </w:r>
    </w:p>
    <w:p>
      <w:pPr>
        <w:pStyle w:val="19"/>
        <w:tabs>
          <w:tab w:val="right" w:leader="dot" w:pos="8306"/>
        </w:tabs>
        <w:rPr>
          <w:color w:val="auto"/>
        </w:rPr>
      </w:pPr>
      <w:r>
        <w:rPr>
          <w:color w:val="auto"/>
          <w:szCs w:val="28"/>
        </w:rPr>
        <w:fldChar w:fldCharType="begin"/>
      </w:r>
      <w:r>
        <w:rPr>
          <w:color w:val="auto"/>
          <w:szCs w:val="28"/>
        </w:rPr>
        <w:instrText xml:space="preserve"> HYPERLINK \l _Toc8973 </w:instrText>
      </w:r>
      <w:r>
        <w:rPr>
          <w:color w:val="auto"/>
          <w:szCs w:val="28"/>
        </w:rPr>
        <w:fldChar w:fldCharType="separate"/>
      </w:r>
      <w:r>
        <w:rPr>
          <w:rFonts w:hint="eastAsia" w:ascii="宋体" w:hAnsi="宋体" w:eastAsia="宋体" w:cs="宋体"/>
          <w:bCs/>
          <w:color w:val="auto"/>
          <w:szCs w:val="32"/>
          <w:lang w:eastAsia="zh-CN"/>
        </w:rPr>
        <w:t>第八章</w:t>
      </w:r>
      <w:r>
        <w:rPr>
          <w:rFonts w:hint="eastAsia" w:ascii="宋体" w:hAnsi="宋体" w:eastAsia="宋体" w:cs="宋体"/>
          <w:bCs/>
          <w:color w:val="auto"/>
          <w:szCs w:val="32"/>
          <w:lang w:val="en-US" w:eastAsia="zh-CN"/>
        </w:rPr>
        <w:t xml:space="preserve"> </w:t>
      </w:r>
      <w:r>
        <w:rPr>
          <w:rFonts w:hint="eastAsia" w:ascii="宋体" w:hAnsi="宋体" w:eastAsia="宋体" w:cs="宋体"/>
          <w:bCs/>
          <w:color w:val="auto"/>
          <w:szCs w:val="32"/>
          <w:lang w:eastAsia="zh-CN"/>
        </w:rPr>
        <w:t>地块管控</w:t>
      </w:r>
      <w:r>
        <w:rPr>
          <w:rFonts w:hint="eastAsia" w:ascii="宋体" w:hAnsi="宋体" w:eastAsia="宋体" w:cs="宋体"/>
          <w:bCs/>
          <w:color w:val="auto"/>
          <w:szCs w:val="32"/>
        </w:rPr>
        <w:t>规划</w:t>
      </w:r>
      <w:r>
        <w:rPr>
          <w:color w:val="auto"/>
        </w:rPr>
        <w:tab/>
      </w:r>
      <w:r>
        <w:rPr>
          <w:color w:val="auto"/>
        </w:rPr>
        <w:fldChar w:fldCharType="begin"/>
      </w:r>
      <w:r>
        <w:rPr>
          <w:color w:val="auto"/>
        </w:rPr>
        <w:instrText xml:space="preserve"> PAGEREF _Toc8973 \h </w:instrText>
      </w:r>
      <w:r>
        <w:rPr>
          <w:color w:val="auto"/>
        </w:rPr>
        <w:fldChar w:fldCharType="separate"/>
      </w:r>
      <w:r>
        <w:rPr>
          <w:color w:val="auto"/>
        </w:rPr>
        <w:t>18</w:t>
      </w:r>
      <w:r>
        <w:rPr>
          <w:color w:val="auto"/>
        </w:rPr>
        <w:fldChar w:fldCharType="end"/>
      </w:r>
      <w:r>
        <w:rPr>
          <w:color w:val="auto"/>
          <w:szCs w:val="28"/>
        </w:rPr>
        <w:fldChar w:fldCharType="end"/>
      </w:r>
    </w:p>
    <w:p>
      <w:pPr>
        <w:pStyle w:val="19"/>
        <w:tabs>
          <w:tab w:val="right" w:leader="dot" w:pos="8306"/>
        </w:tabs>
        <w:rPr>
          <w:color w:val="auto"/>
        </w:rPr>
      </w:pPr>
      <w:r>
        <w:rPr>
          <w:color w:val="auto"/>
          <w:szCs w:val="28"/>
        </w:rPr>
        <w:fldChar w:fldCharType="begin"/>
      </w:r>
      <w:r>
        <w:rPr>
          <w:color w:val="auto"/>
          <w:szCs w:val="28"/>
        </w:rPr>
        <w:instrText xml:space="preserve"> HYPERLINK \l _Toc31194 </w:instrText>
      </w:r>
      <w:r>
        <w:rPr>
          <w:color w:val="auto"/>
          <w:szCs w:val="28"/>
        </w:rPr>
        <w:fldChar w:fldCharType="separate"/>
      </w:r>
      <w:r>
        <w:rPr>
          <w:rFonts w:hint="eastAsia" w:ascii="宋体" w:hAnsi="宋体" w:eastAsia="宋体" w:cs="宋体"/>
          <w:bCs/>
          <w:color w:val="auto"/>
          <w:szCs w:val="32"/>
          <w:lang w:eastAsia="zh-CN"/>
        </w:rPr>
        <w:t>第九章</w:t>
      </w:r>
      <w:r>
        <w:rPr>
          <w:rFonts w:hint="eastAsia" w:ascii="宋体" w:hAnsi="宋体" w:eastAsia="宋体" w:cs="宋体"/>
          <w:bCs/>
          <w:color w:val="auto"/>
          <w:szCs w:val="32"/>
          <w:lang w:val="en-US" w:eastAsia="zh-CN"/>
        </w:rPr>
        <w:t xml:space="preserve"> 规划实施与建议</w:t>
      </w:r>
      <w:r>
        <w:rPr>
          <w:color w:val="auto"/>
        </w:rPr>
        <w:tab/>
      </w:r>
      <w:r>
        <w:rPr>
          <w:color w:val="auto"/>
        </w:rPr>
        <w:fldChar w:fldCharType="begin"/>
      </w:r>
      <w:r>
        <w:rPr>
          <w:color w:val="auto"/>
        </w:rPr>
        <w:instrText xml:space="preserve"> PAGEREF _Toc31194 \h </w:instrText>
      </w:r>
      <w:r>
        <w:rPr>
          <w:color w:val="auto"/>
        </w:rPr>
        <w:fldChar w:fldCharType="separate"/>
      </w:r>
      <w:r>
        <w:rPr>
          <w:color w:val="auto"/>
        </w:rPr>
        <w:t>20</w:t>
      </w:r>
      <w:r>
        <w:rPr>
          <w:color w:val="auto"/>
        </w:rPr>
        <w:fldChar w:fldCharType="end"/>
      </w:r>
      <w:r>
        <w:rPr>
          <w:color w:val="auto"/>
          <w:szCs w:val="28"/>
        </w:rPr>
        <w:fldChar w:fldCharType="end"/>
      </w:r>
    </w:p>
    <w:p>
      <w:pPr>
        <w:pStyle w:val="19"/>
        <w:tabs>
          <w:tab w:val="right" w:leader="dot" w:pos="8306"/>
        </w:tabs>
        <w:rPr>
          <w:color w:val="auto"/>
        </w:rPr>
      </w:pPr>
      <w:r>
        <w:rPr>
          <w:color w:val="auto"/>
          <w:szCs w:val="28"/>
        </w:rPr>
        <w:fldChar w:fldCharType="begin"/>
      </w:r>
      <w:r>
        <w:rPr>
          <w:color w:val="auto"/>
          <w:szCs w:val="28"/>
        </w:rPr>
        <w:instrText xml:space="preserve"> HYPERLINK \l _Toc21479 </w:instrText>
      </w:r>
      <w:r>
        <w:rPr>
          <w:color w:val="auto"/>
          <w:szCs w:val="28"/>
        </w:rPr>
        <w:fldChar w:fldCharType="separate"/>
      </w:r>
      <w:r>
        <w:rPr>
          <w:rFonts w:hint="eastAsia" w:ascii="宋体" w:hAnsi="宋体" w:eastAsia="宋体" w:cs="宋体"/>
          <w:bCs/>
          <w:color w:val="auto"/>
          <w:szCs w:val="32"/>
          <w:lang w:eastAsia="zh-CN"/>
        </w:rPr>
        <w:t>第十章</w:t>
      </w:r>
      <w:r>
        <w:rPr>
          <w:rFonts w:hint="eastAsia" w:ascii="宋体" w:hAnsi="宋体" w:eastAsia="宋体" w:cs="宋体"/>
          <w:bCs/>
          <w:color w:val="auto"/>
          <w:szCs w:val="32"/>
          <w:lang w:val="en-US" w:eastAsia="zh-CN"/>
        </w:rPr>
        <w:t xml:space="preserve"> 附则</w:t>
      </w:r>
      <w:r>
        <w:rPr>
          <w:color w:val="auto"/>
        </w:rPr>
        <w:tab/>
      </w:r>
      <w:r>
        <w:rPr>
          <w:color w:val="auto"/>
        </w:rPr>
        <w:fldChar w:fldCharType="begin"/>
      </w:r>
      <w:r>
        <w:rPr>
          <w:color w:val="auto"/>
        </w:rPr>
        <w:instrText xml:space="preserve"> PAGEREF _Toc21479 \h </w:instrText>
      </w:r>
      <w:r>
        <w:rPr>
          <w:color w:val="auto"/>
        </w:rPr>
        <w:fldChar w:fldCharType="separate"/>
      </w:r>
      <w:r>
        <w:rPr>
          <w:color w:val="auto"/>
        </w:rPr>
        <w:t>22</w:t>
      </w:r>
      <w:r>
        <w:rPr>
          <w:color w:val="auto"/>
        </w:rPr>
        <w:fldChar w:fldCharType="end"/>
      </w:r>
      <w:r>
        <w:rPr>
          <w:color w:val="auto"/>
          <w:szCs w:val="28"/>
        </w:rPr>
        <w:fldChar w:fldCharType="end"/>
      </w:r>
    </w:p>
    <w:p>
      <w:pPr>
        <w:spacing w:line="440" w:lineRule="exact"/>
        <w:rPr>
          <w:b/>
          <w:bCs/>
          <w:color w:val="auto"/>
          <w:sz w:val="24"/>
          <w:szCs w:val="24"/>
        </w:rPr>
        <w:sectPr>
          <w:footerReference r:id="rId4" w:type="default"/>
          <w:pgSz w:w="11906" w:h="16838"/>
          <w:pgMar w:top="1440" w:right="1800" w:bottom="1440" w:left="1800" w:header="851" w:footer="992" w:gutter="0"/>
          <w:docGrid w:type="lines" w:linePitch="312" w:charSpace="0"/>
        </w:sectPr>
      </w:pPr>
      <w:r>
        <w:rPr>
          <w:color w:val="auto"/>
          <w:szCs w:val="28"/>
        </w:rPr>
        <w:fldChar w:fldCharType="end"/>
      </w:r>
      <w:bookmarkStart w:id="4" w:name="_Toc28413"/>
      <w:bookmarkStart w:id="5" w:name="_Toc18067"/>
    </w:p>
    <w:bookmarkEnd w:id="4"/>
    <w:bookmarkEnd w:id="5"/>
    <w:p>
      <w:pPr>
        <w:pStyle w:val="2"/>
        <w:pBdr>
          <w:top w:val="none" w:color="auto" w:sz="0" w:space="0"/>
          <w:left w:val="none" w:color="auto" w:sz="0" w:space="0"/>
          <w:bottom w:val="none" w:color="auto" w:sz="0" w:space="0"/>
          <w:right w:val="none" w:color="auto" w:sz="0" w:space="0"/>
        </w:pBdr>
        <w:bidi w:val="0"/>
        <w:spacing w:before="254" w:beforeAutospacing="0" w:after="0" w:afterAutospacing="0" w:line="719" w:lineRule="atLeast"/>
        <w:ind w:left="419" w:right="0" w:firstLine="0"/>
        <w:jc w:val="center"/>
        <w:outlineLvl w:val="0"/>
        <w:rPr>
          <w:b/>
          <w:vanish w:val="0"/>
          <w:kern w:val="36"/>
          <w:sz w:val="48"/>
        </w:rPr>
      </w:pPr>
      <w:bookmarkStart w:id="6" w:name="_Toc12534"/>
      <w:bookmarkEnd w:id="6"/>
      <w:bookmarkStart w:id="7" w:name="_Toc2180"/>
      <w:bookmarkEnd w:id="7"/>
      <w:bookmarkStart w:id="8" w:name="_Toc307"/>
      <w:bookmarkEnd w:id="8"/>
      <w:bookmarkStart w:id="9" w:name="_Toc27536"/>
      <w:bookmarkEnd w:id="9"/>
      <w:bookmarkStart w:id="10" w:name="_Toc23810"/>
      <w:bookmarkEnd w:id="10"/>
      <w:bookmarkStart w:id="11" w:name="_Toc6350"/>
      <w:bookmarkEnd w:id="11"/>
      <w:bookmarkStart w:id="12" w:name="_Toc9811"/>
      <w:bookmarkEnd w:id="12"/>
      <w:bookmarkStart w:id="13" w:name="_Toc20414"/>
      <w:bookmarkEnd w:id="13"/>
      <w:bookmarkStart w:id="14" w:name="_Toc7237"/>
      <w:bookmarkEnd w:id="14"/>
      <w:bookmarkStart w:id="15" w:name="_Toc20049"/>
      <w:bookmarkEnd w:id="15"/>
      <w:r>
        <w:rPr>
          <w:rStyle w:val="25"/>
          <w:rFonts w:hint="eastAsia" w:ascii="宋体" w:eastAsia="宋体"/>
          <w:b/>
          <w:vanish w:val="0"/>
          <w:color w:val="auto"/>
          <w:kern w:val="36"/>
          <w:sz w:val="32"/>
          <w:szCs w:val="32"/>
          <w:vertAlign w:val="baseline"/>
        </w:rPr>
        <w:t>总则</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第一条</w:t>
      </w:r>
      <w:r>
        <w:rPr>
          <w:rStyle w:val="25"/>
          <w:b/>
          <w:vanish w:val="0"/>
        </w:rPr>
        <w:t> </w:t>
      </w:r>
      <w:r>
        <w:rPr>
          <w:rStyle w:val="25"/>
          <w:rFonts w:hint="eastAsia" w:ascii="宋体" w:eastAsia="宋体"/>
          <w:b/>
          <w:vanish w:val="0"/>
          <w:color w:val="auto"/>
          <w:sz w:val="29"/>
          <w:szCs w:val="29"/>
          <w:vertAlign w:val="baseline"/>
        </w:rPr>
        <w:t>规划背景</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344" w:firstLine="554"/>
        <w:rPr>
          <w:vanish w:val="0"/>
        </w:rPr>
      </w:pPr>
      <w:r>
        <w:rPr>
          <w:rFonts w:hint="eastAsia" w:ascii="宋体" w:eastAsia="宋体"/>
          <w:vanish w:val="0"/>
          <w:color w:val="auto"/>
          <w:sz w:val="29"/>
          <w:szCs w:val="29"/>
          <w:vertAlign w:val="baseline"/>
        </w:rPr>
        <w:t>1、贯彻执行《中华人民共和国城乡规划法》，规划管理法制化；</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344" w:firstLine="554"/>
        <w:rPr>
          <w:vanish w:val="0"/>
        </w:rPr>
      </w:pPr>
      <w:r>
        <w:rPr>
          <w:rFonts w:hint="eastAsia" w:ascii="宋体" w:eastAsia="宋体"/>
          <w:vanish w:val="0"/>
          <w:color w:val="auto"/>
          <w:sz w:val="29"/>
          <w:szCs w:val="29"/>
          <w:vertAlign w:val="baseline"/>
        </w:rPr>
        <w:t>2、落实城镇总体规划、指导城镇开发建设；</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344" w:firstLine="554"/>
        <w:rPr>
          <w:vanish w:val="0"/>
        </w:rPr>
      </w:pPr>
      <w:r>
        <w:rPr>
          <w:rFonts w:hint="eastAsia" w:ascii="宋体" w:eastAsia="宋体"/>
          <w:vanish w:val="0"/>
          <w:color w:val="auto"/>
          <w:sz w:val="29"/>
          <w:szCs w:val="29"/>
          <w:vertAlign w:val="baseline"/>
        </w:rPr>
        <w:t>3、加快推进钦北区城镇化发展，进一步优化城镇群城镇带布局。</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第二条</w:t>
      </w:r>
      <w:r>
        <w:rPr>
          <w:rStyle w:val="25"/>
          <w:b/>
          <w:vanish w:val="0"/>
        </w:rPr>
        <w:t> </w:t>
      </w:r>
      <w:r>
        <w:rPr>
          <w:rStyle w:val="25"/>
          <w:rFonts w:hint="eastAsia" w:ascii="宋体" w:eastAsia="宋体"/>
          <w:b/>
          <w:vanish w:val="0"/>
          <w:color w:val="auto"/>
          <w:sz w:val="29"/>
          <w:szCs w:val="29"/>
          <w:vertAlign w:val="baseline"/>
        </w:rPr>
        <w:t>规划原则</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344" w:firstLine="554"/>
        <w:rPr>
          <w:vanish w:val="0"/>
        </w:rPr>
      </w:pPr>
      <w:r>
        <w:rPr>
          <w:rFonts w:hint="eastAsia" w:ascii="宋体" w:eastAsia="宋体"/>
          <w:vanish w:val="0"/>
          <w:color w:val="auto"/>
          <w:sz w:val="29"/>
          <w:szCs w:val="29"/>
          <w:vertAlign w:val="baseline"/>
        </w:rPr>
        <w:t>1、以人为本的原则；</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344" w:firstLine="554"/>
        <w:rPr>
          <w:vanish w:val="0"/>
        </w:rPr>
      </w:pPr>
      <w:r>
        <w:rPr>
          <w:rFonts w:hint="eastAsia" w:ascii="宋体" w:eastAsia="宋体"/>
          <w:vanish w:val="0"/>
          <w:color w:val="auto"/>
          <w:sz w:val="29"/>
          <w:szCs w:val="29"/>
          <w:vertAlign w:val="baseline"/>
        </w:rPr>
        <w:t>2、可持续发展原则；</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344" w:firstLine="554"/>
        <w:rPr>
          <w:vanish w:val="0"/>
        </w:rPr>
      </w:pPr>
      <w:r>
        <w:rPr>
          <w:rFonts w:hint="eastAsia" w:ascii="宋体" w:eastAsia="宋体"/>
          <w:vanish w:val="0"/>
          <w:color w:val="auto"/>
          <w:sz w:val="29"/>
          <w:szCs w:val="29"/>
          <w:vertAlign w:val="baseline"/>
        </w:rPr>
        <w:t>3、弹性控制、发展原则；</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344" w:firstLine="554"/>
        <w:rPr>
          <w:vanish w:val="0"/>
        </w:rPr>
      </w:pPr>
      <w:r>
        <w:rPr>
          <w:rFonts w:hint="eastAsia" w:ascii="宋体" w:eastAsia="宋体"/>
          <w:vanish w:val="0"/>
          <w:color w:val="auto"/>
          <w:sz w:val="29"/>
          <w:szCs w:val="29"/>
          <w:vertAlign w:val="baseline"/>
        </w:rPr>
        <w:t>4、整体效益优先原则。</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第三条</w:t>
      </w:r>
      <w:r>
        <w:rPr>
          <w:rStyle w:val="25"/>
          <w:b/>
          <w:vanish w:val="0"/>
        </w:rPr>
        <w:t> </w:t>
      </w:r>
      <w:r>
        <w:rPr>
          <w:rStyle w:val="25"/>
          <w:rFonts w:hint="eastAsia" w:ascii="宋体" w:eastAsia="宋体"/>
          <w:b/>
          <w:vanish w:val="0"/>
          <w:color w:val="auto"/>
          <w:sz w:val="29"/>
          <w:szCs w:val="29"/>
          <w:vertAlign w:val="baseline"/>
        </w:rPr>
        <w:t>规划依据</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1、《中华人民共和国城乡规划法（2019年修正）》；</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2、《中华人民共和国土地管理法》（2019年修订）；</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3、《中华人民共和国土地管理法实施条例》（2021年修订）；</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4、《基本农田保护条例》（2019年修订）；</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5、《城市规划编制办法》2006；</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6、《广西壮族自治区实施&lt;中华人民共和国城乡规划法&gt;办法》；</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7、《广西壮族自治区国民经济和社会发展第十四个五年规划和2035年远景目标纲要》；</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8、《钦州市国民经济和社会发展第十四个五年规划和2035年远景目标纲要》；</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9、《钦北区国民经济和社会发展第十四个五年规划和2035 年远景目标纲要》；</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10、《广西壮族自治区城镇开发边界内控制性详细规划编制导则（试行）》；</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11、《广西壮族自治区城镇开发边界内控制性详细规划数据库标准（试行）》；</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12、《广西壮族自治区建设用地控制指标（2021年修订）》（桂自然资发〔2021〕81号）；</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13、《国土空间调查、规划、用途管制用地用海分类指南》（2023年）；</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14、《第三次全国国土调查技术规程》（TD/T 1055—2019）；</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15、《城市用地分类与规划建设用地标准》（GB 50137-2011）；</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16、《钦州市国土空间总体规划（2021-2035年）》；</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17、《钦州市钦北区小董镇总体规划（2012-2030）》；</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18、《钦州市加油站行业发展规划（2021-2025）》；</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19、《汽车加油加气加氢站技术标准》（GB50156-2021）；</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20、《建筑设计防火规范》GB50016-2014（2018年版）；</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21、《城市居住区规划设计标准》（GB50180-2018）；</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22、《钦州市城市规划技术标准与准则》（2015年版）；</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23、其他相关法律法规和标准规范。</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第四条</w:t>
      </w:r>
      <w:r>
        <w:rPr>
          <w:rStyle w:val="25"/>
          <w:b/>
          <w:vanish w:val="0"/>
        </w:rPr>
        <w:t> </w:t>
      </w:r>
      <w:r>
        <w:rPr>
          <w:rStyle w:val="25"/>
          <w:rFonts w:hint="eastAsia" w:ascii="宋体" w:eastAsia="宋体"/>
          <w:b/>
          <w:vanish w:val="0"/>
          <w:color w:val="auto"/>
          <w:sz w:val="29"/>
          <w:szCs w:val="29"/>
          <w:vertAlign w:val="baseline"/>
        </w:rPr>
        <w:t>规划范围</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554"/>
        <w:rPr>
          <w:vanish w:val="0"/>
        </w:rPr>
      </w:pPr>
      <w:r>
        <w:rPr>
          <w:rFonts w:hint="eastAsia" w:ascii="宋体" w:eastAsia="宋体"/>
          <w:vanish w:val="0"/>
          <w:color w:val="auto"/>
          <w:sz w:val="29"/>
          <w:szCs w:val="29"/>
          <w:vertAlign w:val="baseline"/>
        </w:rPr>
        <w:t>本次规划范围为：北面以人民北路为界，东部以河堤路为界，南面以城西一街为界，西部以沿江护堤路为界，规划用地面积约16330.58平方米（1.6331公顷）。</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第五条</w:t>
      </w:r>
      <w:r>
        <w:rPr>
          <w:rStyle w:val="25"/>
          <w:b/>
          <w:vanish w:val="0"/>
        </w:rPr>
        <w:t> </w:t>
      </w:r>
      <w:r>
        <w:rPr>
          <w:rStyle w:val="25"/>
          <w:rFonts w:hint="eastAsia" w:ascii="宋体" w:eastAsia="宋体"/>
          <w:b/>
          <w:vanish w:val="0"/>
          <w:color w:val="auto"/>
          <w:sz w:val="29"/>
          <w:szCs w:val="29"/>
          <w:vertAlign w:val="baseline"/>
        </w:rPr>
        <w:t>数据基础</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554"/>
        <w:rPr>
          <w:vanish w:val="0"/>
        </w:rPr>
      </w:pPr>
      <w:r>
        <w:rPr>
          <w:rFonts w:hint="eastAsia" w:ascii="宋体" w:eastAsia="宋体"/>
          <w:vanish w:val="0"/>
          <w:color w:val="auto"/>
          <w:sz w:val="29"/>
          <w:szCs w:val="29"/>
          <w:vertAlign w:val="baseline"/>
        </w:rPr>
        <w:t>采用“三调”及基期年2024年年度国土变更调查数据成果的村域行政区边界、土地利用现状等为底图基础。平面坐标系统采用2000国家大地坐标系；高程系统采用1985国家高程基准；投影方式采用高斯——克吕格投影，按3°分带。</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0"/>
        <w:rPr>
          <w:vanish w:val="0"/>
        </w:rPr>
      </w:pPr>
      <w:r>
        <w:rPr>
          <w:rFonts w:hint="eastAsia" w:ascii="宋体" w:eastAsia="宋体"/>
          <w:vanish w:val="0"/>
          <w:color w:val="auto"/>
          <w:sz w:val="29"/>
          <w:szCs w:val="29"/>
          <w:vertAlign w:val="baseline"/>
        </w:rPr>
        <w:t xml:space="preserve"> </w:t>
      </w:r>
    </w:p>
    <w:p>
      <w:pPr>
        <w:pStyle w:val="2"/>
        <w:numPr>
          <w:numId w:val="0"/>
        </w:numPr>
        <w:pBdr>
          <w:top w:val="none" w:color="auto" w:sz="0" w:space="0"/>
          <w:left w:val="none" w:color="auto" w:sz="0" w:space="0"/>
          <w:bottom w:val="none" w:color="auto" w:sz="0" w:space="0"/>
          <w:right w:val="none" w:color="auto" w:sz="0" w:space="0"/>
        </w:pBdr>
        <w:bidi w:val="0"/>
        <w:spacing w:before="254" w:beforeAutospacing="0" w:after="0" w:afterAutospacing="0" w:line="719" w:lineRule="atLeast"/>
        <w:ind w:left="419" w:leftChars="0" w:right="344" w:rightChars="0"/>
        <w:jc w:val="center"/>
        <w:outlineLvl w:val="0"/>
        <w:rPr>
          <w:b/>
          <w:vanish w:val="0"/>
          <w:kern w:val="36"/>
          <w:sz w:val="48"/>
        </w:rPr>
      </w:pPr>
      <w:bookmarkStart w:id="16" w:name="_Toc2965"/>
      <w:bookmarkEnd w:id="16"/>
      <w:r>
        <w:rPr>
          <w:rStyle w:val="25"/>
          <w:rFonts w:hint="eastAsia" w:ascii="宋体" w:eastAsia="宋体"/>
          <w:b/>
          <w:vanish w:val="0"/>
          <w:color w:val="auto"/>
          <w:kern w:val="36"/>
          <w:sz w:val="32"/>
          <w:szCs w:val="32"/>
          <w:vertAlign w:val="baseline"/>
        </w:rPr>
        <w:t>第二章</w:t>
      </w:r>
      <w:r>
        <w:rPr>
          <w:rStyle w:val="25"/>
          <w:b/>
          <w:vanish w:val="0"/>
          <w:kern w:val="36"/>
          <w:sz w:val="48"/>
        </w:rPr>
        <w:t> </w:t>
      </w:r>
      <w:r>
        <w:rPr>
          <w:rStyle w:val="25"/>
          <w:rFonts w:hint="eastAsia" w:ascii="宋体" w:eastAsia="宋体"/>
          <w:b/>
          <w:vanish w:val="0"/>
          <w:color w:val="auto"/>
          <w:kern w:val="36"/>
          <w:sz w:val="32"/>
          <w:szCs w:val="32"/>
          <w:vertAlign w:val="baseline"/>
        </w:rPr>
        <w:t>规划定位</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第六条</w:t>
      </w:r>
      <w:r>
        <w:rPr>
          <w:rStyle w:val="25"/>
          <w:b/>
          <w:vanish w:val="0"/>
        </w:rPr>
        <w:t> </w:t>
      </w:r>
      <w:r>
        <w:rPr>
          <w:rStyle w:val="25"/>
          <w:rFonts w:hint="eastAsia" w:ascii="宋体" w:eastAsia="宋体"/>
          <w:b/>
          <w:vanish w:val="0"/>
          <w:color w:val="auto"/>
          <w:sz w:val="29"/>
          <w:szCs w:val="29"/>
          <w:vertAlign w:val="baseline"/>
        </w:rPr>
        <w:t>功能定位</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规划功能定位为小董镇城中老城区宜居型居住街坊。</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第七条</w:t>
      </w:r>
      <w:r>
        <w:rPr>
          <w:rStyle w:val="25"/>
          <w:b/>
          <w:vanish w:val="0"/>
        </w:rPr>
        <w:t> </w:t>
      </w:r>
      <w:r>
        <w:rPr>
          <w:rStyle w:val="25"/>
          <w:rFonts w:hint="eastAsia" w:ascii="宋体" w:eastAsia="宋体"/>
          <w:b/>
          <w:vanish w:val="0"/>
          <w:color w:val="auto"/>
          <w:sz w:val="29"/>
          <w:szCs w:val="29"/>
          <w:vertAlign w:val="baseline"/>
        </w:rPr>
        <w:t>发展规模</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规划范围总面积为16330.58平方米（1.6331公顷）；容纳人口约690人。</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第八条</w:t>
      </w:r>
      <w:r>
        <w:rPr>
          <w:rStyle w:val="25"/>
          <w:b/>
          <w:vanish w:val="0"/>
        </w:rPr>
        <w:t> </w:t>
      </w:r>
      <w:r>
        <w:rPr>
          <w:rStyle w:val="25"/>
          <w:rFonts w:hint="eastAsia" w:ascii="宋体" w:eastAsia="宋体"/>
          <w:b/>
          <w:vanish w:val="0"/>
          <w:color w:val="auto"/>
          <w:sz w:val="29"/>
          <w:szCs w:val="29"/>
          <w:vertAlign w:val="baseline"/>
        </w:rPr>
        <w:t>规划原则</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1、落实《钦州市钦北区小董镇总体规划（2012-2030）》的要求，后续与乡镇国土空间规划编制单位衔接，纳入空间规划一张图管理。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2、应充分考虑城镇景观、环境、绿化等多方面的要求，应和城镇的总体规划布局相协调。</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3、注重与周边地块的控制性详细规划的衔接，总平布局在满足实际要求的情况下，采用科学的布置方案，尽量减少用地规模，提高土地利用效率。</w:t>
      </w:r>
    </w:p>
    <w:p>
      <w:pPr>
        <w:pStyle w:val="2"/>
        <w:numPr>
          <w:numId w:val="0"/>
        </w:numPr>
        <w:pBdr>
          <w:top w:val="none" w:color="auto" w:sz="0" w:space="0"/>
          <w:left w:val="none" w:color="auto" w:sz="0" w:space="0"/>
          <w:bottom w:val="none" w:color="auto" w:sz="0" w:space="0"/>
          <w:right w:val="none" w:color="auto" w:sz="0" w:space="0"/>
        </w:pBdr>
        <w:bidi w:val="0"/>
        <w:spacing w:before="254" w:beforeAutospacing="0" w:after="0" w:afterAutospacing="0" w:line="719" w:lineRule="atLeast"/>
        <w:ind w:left="419" w:leftChars="0" w:right="344" w:rightChars="0"/>
        <w:jc w:val="center"/>
        <w:outlineLvl w:val="0"/>
        <w:rPr>
          <w:b/>
          <w:vanish w:val="0"/>
          <w:kern w:val="36"/>
          <w:sz w:val="48"/>
        </w:rPr>
      </w:pPr>
      <w:bookmarkStart w:id="17" w:name="_Toc7239"/>
      <w:bookmarkEnd w:id="17"/>
      <w:r>
        <w:rPr>
          <w:rStyle w:val="25"/>
          <w:rFonts w:hint="eastAsia" w:ascii="宋体" w:eastAsia="宋体"/>
          <w:b/>
          <w:vanish w:val="0"/>
          <w:color w:val="auto"/>
          <w:kern w:val="36"/>
          <w:sz w:val="32"/>
          <w:szCs w:val="32"/>
          <w:vertAlign w:val="baseline"/>
        </w:rPr>
        <w:t>第三章</w:t>
      </w:r>
      <w:r>
        <w:rPr>
          <w:rStyle w:val="25"/>
          <w:b/>
          <w:vanish w:val="0"/>
          <w:kern w:val="36"/>
          <w:sz w:val="48"/>
        </w:rPr>
        <w:t> </w:t>
      </w:r>
      <w:r>
        <w:rPr>
          <w:rStyle w:val="25"/>
          <w:rFonts w:hint="eastAsia" w:ascii="宋体" w:eastAsia="宋体"/>
          <w:b/>
          <w:vanish w:val="0"/>
          <w:color w:val="auto"/>
          <w:kern w:val="36"/>
          <w:sz w:val="32"/>
          <w:szCs w:val="32"/>
          <w:vertAlign w:val="baseline"/>
        </w:rPr>
        <w:t>用地布局</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第九条</w:t>
      </w:r>
      <w:r>
        <w:rPr>
          <w:rStyle w:val="25"/>
          <w:b/>
          <w:vanish w:val="0"/>
        </w:rPr>
        <w:t> </w:t>
      </w:r>
      <w:r>
        <w:rPr>
          <w:rStyle w:val="25"/>
          <w:rFonts w:hint="eastAsia" w:ascii="宋体" w:eastAsia="宋体"/>
          <w:b/>
          <w:vanish w:val="0"/>
          <w:color w:val="auto"/>
          <w:sz w:val="29"/>
          <w:szCs w:val="29"/>
          <w:vertAlign w:val="baseline"/>
        </w:rPr>
        <w:t>用地使用性质分类</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本规划区内土地使用性质分类和分类代码均采用《国土空间调查、规划、用途管制用地用海分类指南》（2023年版）三级分类体系的规定。用地分类划分到三级类。</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第十条</w:t>
      </w:r>
      <w:r>
        <w:rPr>
          <w:rStyle w:val="25"/>
          <w:b/>
          <w:vanish w:val="0"/>
        </w:rPr>
        <w:t> </w:t>
      </w:r>
      <w:r>
        <w:rPr>
          <w:rStyle w:val="25"/>
          <w:rFonts w:hint="eastAsia" w:ascii="宋体" w:eastAsia="宋体"/>
          <w:b/>
          <w:vanish w:val="0"/>
          <w:color w:val="auto"/>
          <w:sz w:val="29"/>
          <w:szCs w:val="29"/>
          <w:vertAlign w:val="baseline"/>
        </w:rPr>
        <w:t>用地功能构成</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规划范围内用地功能以居住及商业为主，并相关配套便民服务设施等用地。</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第十一条</w:t>
      </w:r>
      <w:r>
        <w:rPr>
          <w:rStyle w:val="25"/>
          <w:b/>
          <w:vanish w:val="0"/>
        </w:rPr>
        <w:t> </w:t>
      </w:r>
      <w:r>
        <w:rPr>
          <w:rStyle w:val="25"/>
          <w:rFonts w:hint="eastAsia" w:ascii="宋体" w:eastAsia="宋体"/>
          <w:b/>
          <w:vanish w:val="0"/>
          <w:color w:val="auto"/>
          <w:sz w:val="29"/>
          <w:szCs w:val="29"/>
          <w:vertAlign w:val="baseline"/>
        </w:rPr>
        <w:t>二类城镇住宅用地</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二类城镇住宅用地15852.81平方米（1.5853公顷），占总建设用地的97.07%。主要为可供市场开发的二类城镇住宅用地并配套建设便民服务设施，建筑主要以多层住宅为主，属于第Ⅳ建筑气候区，用地规模等级为居住街坊级，容纳人口约690人。</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第十二条</w:t>
      </w:r>
      <w:r>
        <w:rPr>
          <w:rStyle w:val="25"/>
          <w:b/>
          <w:vanish w:val="0"/>
        </w:rPr>
        <w:t> </w:t>
      </w:r>
      <w:r>
        <w:rPr>
          <w:rStyle w:val="25"/>
          <w:rFonts w:hint="eastAsia" w:ascii="宋体" w:eastAsia="宋体"/>
          <w:b/>
          <w:vanish w:val="0"/>
          <w:color w:val="auto"/>
          <w:sz w:val="29"/>
          <w:szCs w:val="29"/>
          <w:vertAlign w:val="baseline"/>
        </w:rPr>
        <w:t>公用设施营业网点用地</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规划公用设施营业网点用地477.77平方米（0.0478公顷），占总建设用地的2.93%。主要建设零售加油站营业网点，级别属三级加油站，并配套建设营业室、便利店、办公室、公共厕所、配电间、消防设施、挡土墙和围墙等。</w:t>
      </w:r>
    </w:p>
    <w:p>
      <w:pPr>
        <w:pStyle w:val="2"/>
        <w:numPr>
          <w:numId w:val="0"/>
        </w:numPr>
        <w:pBdr>
          <w:top w:val="none" w:color="auto" w:sz="0" w:space="0"/>
          <w:left w:val="none" w:color="auto" w:sz="0" w:space="0"/>
          <w:bottom w:val="none" w:color="auto" w:sz="0" w:space="0"/>
          <w:right w:val="none" w:color="auto" w:sz="0" w:space="0"/>
        </w:pBdr>
        <w:bidi w:val="0"/>
        <w:spacing w:before="254" w:beforeAutospacing="0" w:after="0" w:afterAutospacing="0" w:line="719" w:lineRule="atLeast"/>
        <w:ind w:left="419" w:leftChars="0" w:right="344" w:rightChars="0"/>
        <w:jc w:val="center"/>
        <w:outlineLvl w:val="0"/>
        <w:rPr>
          <w:b/>
          <w:vanish w:val="0"/>
          <w:kern w:val="36"/>
          <w:sz w:val="48"/>
        </w:rPr>
      </w:pPr>
      <w:bookmarkStart w:id="18" w:name="_Toc18742"/>
      <w:bookmarkEnd w:id="18"/>
      <w:r>
        <w:rPr>
          <w:rStyle w:val="25"/>
          <w:rFonts w:hint="eastAsia" w:ascii="宋体" w:eastAsia="宋体"/>
          <w:b/>
          <w:vanish w:val="0"/>
          <w:color w:val="auto"/>
          <w:kern w:val="36"/>
          <w:sz w:val="32"/>
          <w:szCs w:val="32"/>
          <w:vertAlign w:val="baseline"/>
        </w:rPr>
        <w:t>第四章</w:t>
      </w:r>
      <w:r>
        <w:rPr>
          <w:rStyle w:val="25"/>
          <w:b/>
          <w:vanish w:val="0"/>
          <w:kern w:val="36"/>
          <w:sz w:val="48"/>
        </w:rPr>
        <w:t> </w:t>
      </w:r>
      <w:r>
        <w:rPr>
          <w:rStyle w:val="25"/>
          <w:rFonts w:hint="eastAsia" w:ascii="宋体" w:eastAsia="宋体"/>
          <w:b/>
          <w:vanish w:val="0"/>
          <w:color w:val="auto"/>
          <w:kern w:val="36"/>
          <w:sz w:val="32"/>
          <w:szCs w:val="32"/>
          <w:vertAlign w:val="baseline"/>
        </w:rPr>
        <w:t>道路交通及竖向规划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第十三条</w:t>
      </w:r>
      <w:r>
        <w:rPr>
          <w:rStyle w:val="25"/>
          <w:b/>
          <w:vanish w:val="0"/>
        </w:rPr>
        <w:t> </w:t>
      </w:r>
      <w:r>
        <w:rPr>
          <w:rStyle w:val="25"/>
          <w:rFonts w:hint="eastAsia" w:ascii="宋体" w:eastAsia="宋体"/>
          <w:b/>
          <w:vanish w:val="0"/>
          <w:color w:val="auto"/>
          <w:sz w:val="29"/>
          <w:szCs w:val="29"/>
          <w:vertAlign w:val="baseline"/>
        </w:rPr>
        <w:t>道路等级</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规划范围的道路等级分为城镇主干道和巷路。</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第十四条</w:t>
      </w:r>
      <w:r>
        <w:rPr>
          <w:rStyle w:val="25"/>
          <w:b/>
          <w:vanish w:val="0"/>
        </w:rPr>
        <w:t> </w:t>
      </w:r>
      <w:r>
        <w:rPr>
          <w:rStyle w:val="25"/>
          <w:rFonts w:hint="eastAsia" w:ascii="宋体" w:eastAsia="宋体"/>
          <w:b/>
          <w:vanish w:val="0"/>
          <w:color w:val="auto"/>
          <w:sz w:val="29"/>
          <w:szCs w:val="29"/>
          <w:vertAlign w:val="baseline"/>
        </w:rPr>
        <w:t>道路断面</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1、规划区北面的人民北路为城镇主干道，红线宽36米，双向6车道，其中外侧车道为混合车道，两侧分别设置6米宽的人行道，断面形式为一块板形式。</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2、规划区东面的河堤路为巷路，红线宽16米，双向4车道，其中外侧车道为混合车道，两侧分别设置3.0米宽的人行道，断面形式为一块板形式。</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3、规划区南面的城西一街为巷路，红线宽12米，双向2车道，两侧分别设置3.0米宽的人行道，断面形式为一块板形式。</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4、规划区西面的沿江路（暂定名）为巷路，红线宽12米，双向2车道，两侧分别设置3.0米宽的人行道，断面形式为一块板形式。</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第十五条</w:t>
      </w:r>
      <w:r>
        <w:rPr>
          <w:rStyle w:val="25"/>
          <w:b/>
          <w:vanish w:val="0"/>
        </w:rPr>
        <w:t> </w:t>
      </w:r>
      <w:r>
        <w:rPr>
          <w:rStyle w:val="25"/>
          <w:rFonts w:hint="eastAsia" w:ascii="宋体" w:eastAsia="宋体"/>
          <w:b/>
          <w:vanish w:val="0"/>
          <w:color w:val="auto"/>
          <w:sz w:val="29"/>
          <w:szCs w:val="29"/>
          <w:vertAlign w:val="baseline"/>
        </w:rPr>
        <w:t>交叉口控制</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1、本规划区周边的道路交叉口为平面交叉形式。</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2、在平交路口根据交通量大小设置信号灯或交通标志控制车辆。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3、道路交叉口周围用地实行视距三角形控制。交叉口视距三角形范围内不得存在任何妨碍驾驶员视线的障碍物。</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第十六条</w:t>
      </w:r>
      <w:r>
        <w:rPr>
          <w:rStyle w:val="25"/>
          <w:b/>
          <w:vanish w:val="0"/>
        </w:rPr>
        <w:t> </w:t>
      </w:r>
      <w:r>
        <w:rPr>
          <w:rStyle w:val="25"/>
          <w:rFonts w:hint="eastAsia" w:ascii="宋体" w:eastAsia="宋体"/>
          <w:b/>
          <w:vanish w:val="0"/>
          <w:color w:val="auto"/>
          <w:sz w:val="29"/>
          <w:szCs w:val="29"/>
          <w:vertAlign w:val="baseline"/>
        </w:rPr>
        <w:t>出入口规划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1、不得在交叉口、人行横道、公共交通停靠站以及桥梁引道口设置机动车出入口。</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2、规划范围内的二类城镇住宅用地的出入口分别设置在地块东侧和西侧巷路。</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3、加油站用地受地形条件限制车辆入口和出口分开设置于人民北路，其中：加油站机动车入口与西面小董大桥的桥梁引道口的距离约100米，机动车出口距东面道路交叉口距离约63米，进出口的视距约50米；对该地块出入口实行右进右出交通管制，同时对该路段进行限速管制。</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第十七条</w:t>
      </w:r>
      <w:r>
        <w:rPr>
          <w:rStyle w:val="25"/>
          <w:b/>
          <w:vanish w:val="0"/>
        </w:rPr>
        <w:t> </w:t>
      </w:r>
      <w:r>
        <w:rPr>
          <w:rStyle w:val="25"/>
          <w:rFonts w:hint="eastAsia" w:ascii="宋体" w:eastAsia="宋体"/>
          <w:b/>
          <w:vanish w:val="0"/>
          <w:color w:val="auto"/>
          <w:sz w:val="29"/>
          <w:szCs w:val="29"/>
          <w:vertAlign w:val="baseline"/>
        </w:rPr>
        <w:t>竖向规划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规划范围场地高程范围从23米至30米，整体呈北高南低，东高西低。规划范围场地以及内部道路标高与周边已建道路进行合理衔接。</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规划场地内部交通与外部道路交叉口坡度控制在0.4%以下。场地高程在控制中宜采用平缓过渡的策略，便于用地的建设。地块的规划高程应比周边道路的最低路段高程高出0.2m以上。</w:t>
      </w:r>
    </w:p>
    <w:p>
      <w:pPr>
        <w:pStyle w:val="2"/>
        <w:numPr>
          <w:numId w:val="0"/>
        </w:numPr>
        <w:pBdr>
          <w:top w:val="none" w:color="auto" w:sz="0" w:space="0"/>
          <w:left w:val="none" w:color="auto" w:sz="0" w:space="0"/>
          <w:bottom w:val="none" w:color="auto" w:sz="0" w:space="0"/>
          <w:right w:val="none" w:color="auto" w:sz="0" w:space="0"/>
        </w:pBdr>
        <w:bidi w:val="0"/>
        <w:spacing w:before="254" w:beforeAutospacing="0" w:after="0" w:afterAutospacing="0" w:line="719" w:lineRule="atLeast"/>
        <w:ind w:left="419" w:leftChars="0" w:right="344" w:rightChars="0"/>
        <w:jc w:val="center"/>
        <w:outlineLvl w:val="0"/>
        <w:rPr>
          <w:b/>
          <w:vanish w:val="0"/>
          <w:kern w:val="36"/>
          <w:sz w:val="48"/>
        </w:rPr>
      </w:pPr>
      <w:bookmarkStart w:id="19" w:name="_Toc24391"/>
      <w:bookmarkEnd w:id="19"/>
      <w:r>
        <w:rPr>
          <w:rStyle w:val="25"/>
          <w:rFonts w:hint="eastAsia" w:ascii="宋体" w:eastAsia="宋体"/>
          <w:b/>
          <w:vanish w:val="0"/>
          <w:color w:val="auto"/>
          <w:kern w:val="36"/>
          <w:sz w:val="32"/>
          <w:szCs w:val="32"/>
          <w:vertAlign w:val="baseline"/>
        </w:rPr>
        <w:t>第五章</w:t>
      </w:r>
      <w:r>
        <w:rPr>
          <w:rStyle w:val="25"/>
          <w:b/>
          <w:vanish w:val="0"/>
          <w:kern w:val="36"/>
          <w:sz w:val="48"/>
        </w:rPr>
        <w:t> </w:t>
      </w:r>
      <w:r>
        <w:rPr>
          <w:rStyle w:val="25"/>
          <w:rFonts w:hint="eastAsia" w:ascii="宋体" w:eastAsia="宋体"/>
          <w:b/>
          <w:vanish w:val="0"/>
          <w:color w:val="auto"/>
          <w:kern w:val="36"/>
          <w:sz w:val="32"/>
          <w:szCs w:val="32"/>
          <w:vertAlign w:val="baseline"/>
        </w:rPr>
        <w:t>市政工程设施规划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第十八条</w:t>
      </w:r>
      <w:r>
        <w:rPr>
          <w:rStyle w:val="25"/>
          <w:b/>
          <w:vanish w:val="0"/>
        </w:rPr>
        <w:t> </w:t>
      </w:r>
      <w:r>
        <w:rPr>
          <w:rStyle w:val="25"/>
          <w:rFonts w:hint="eastAsia" w:ascii="宋体" w:eastAsia="宋体"/>
          <w:b/>
          <w:vanish w:val="0"/>
          <w:color w:val="auto"/>
          <w:sz w:val="29"/>
          <w:szCs w:val="29"/>
          <w:vertAlign w:val="baseline"/>
        </w:rPr>
        <w:t>给水工程规划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Style w:val="25"/>
          <w:rFonts w:hint="eastAsia" w:ascii="宋体" w:eastAsia="宋体"/>
          <w:b/>
          <w:vanish w:val="0"/>
          <w:color w:val="auto"/>
          <w:sz w:val="29"/>
          <w:szCs w:val="29"/>
          <w:vertAlign w:val="baseline"/>
        </w:rPr>
        <w:t>1、用水量预测</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规划范围内用水量为208.48m³/d。</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Style w:val="25"/>
          <w:rFonts w:hint="eastAsia" w:ascii="宋体" w:eastAsia="宋体"/>
          <w:b/>
          <w:vanish w:val="0"/>
          <w:color w:val="auto"/>
          <w:sz w:val="29"/>
          <w:szCs w:val="29"/>
          <w:vertAlign w:val="baseline"/>
        </w:rPr>
        <w:t>2、给水管网规划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（1）规划范围内用水由小董镇区北面回头岭的自来水厂供给，水厂取水水源为小董江，由人民北路和用地东侧河堤路的市政供水管网引入规划区。</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采用生活、消防共用给水管网。沿人民北路敷设两路输水干管，管径为DN150；输水支管沿规划用地东侧河堤路敷设，管径为DN100；规划场地内新建给水管道沿规划道路敷设，并形成环状管网，以保证用水的可靠性和安全性。</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（3）城镇人数5.0万人＜N≤10.0万人，同一时间内发生2起火灾标准，一起火灾灭火设计流量为35L/S。</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（4）市政给水、天然水源等可作为消防水源，并宜采用市政给水；当市政给水管网连续供水时，消防给水系统可采用市政给水管网直接供水。</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（5）规划范围北面的人民北路敷设两路DN150市政给水干管，形成环状给水管网，发生火灾时由消防车从室外消火栓取水，同时可以利用小董江等自然水体作为消防补充水源。</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bookmarkStart w:id="20" w:name="_Toc2595"/>
      <w:bookmarkEnd w:id="20"/>
      <w:r>
        <w:rPr>
          <w:rStyle w:val="25"/>
          <w:rFonts w:hint="eastAsia" w:ascii="宋体" w:eastAsia="宋体"/>
          <w:b/>
          <w:vanish w:val="0"/>
          <w:color w:val="auto"/>
          <w:sz w:val="29"/>
          <w:szCs w:val="29"/>
          <w:vertAlign w:val="baseline"/>
        </w:rPr>
        <w:t>第十九条</w:t>
      </w:r>
      <w:r>
        <w:rPr>
          <w:rStyle w:val="25"/>
          <w:b/>
          <w:vanish w:val="0"/>
        </w:rPr>
        <w:t> </w:t>
      </w:r>
      <w:r>
        <w:rPr>
          <w:rStyle w:val="25"/>
          <w:rFonts w:hint="eastAsia" w:ascii="宋体" w:eastAsia="宋体"/>
          <w:b/>
          <w:vanish w:val="0"/>
          <w:color w:val="auto"/>
          <w:sz w:val="29"/>
          <w:szCs w:val="29"/>
          <w:vertAlign w:val="baseline"/>
        </w:rPr>
        <w:t>污水工程规划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1、排水体制</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规划采用雨、污水分流制系统排水。</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2、污水量预测</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综合生活污水量采用按给水量的80%计算，则本规划区污水总量为166.78m³/d。</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3、污水管网规划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规划区内污水主干管道采用重力流形式沿人民北路和用地东侧河堤路顺坡布置，污水管道管径为d400。污水统一收集到镇污水处理厂处理达标后统一排放。</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第二十条</w:t>
      </w:r>
      <w:r>
        <w:rPr>
          <w:rStyle w:val="25"/>
          <w:b/>
          <w:vanish w:val="0"/>
        </w:rPr>
        <w:t> </w:t>
      </w:r>
      <w:r>
        <w:rPr>
          <w:rStyle w:val="25"/>
          <w:rFonts w:hint="eastAsia" w:ascii="宋体" w:eastAsia="宋体"/>
          <w:b/>
          <w:vanish w:val="0"/>
          <w:color w:val="auto"/>
          <w:sz w:val="29"/>
          <w:szCs w:val="29"/>
          <w:vertAlign w:val="baseline"/>
        </w:rPr>
        <w:t>雨水工程规划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1、雨水管网</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雨水管网规划根据总体规划布局及自然地形、地势及河道布设管道，规划区范围的雨水管径为d800～d2000。</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2、雨水处理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在雨水排出口处设置沉泥井，将规划范围内部道路及绿化雨水经过初期处理后就近排入附近水体。</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第二十一条</w:t>
      </w:r>
      <w:r>
        <w:rPr>
          <w:rStyle w:val="25"/>
          <w:b/>
          <w:vanish w:val="0"/>
        </w:rPr>
        <w:t> </w:t>
      </w:r>
      <w:r>
        <w:rPr>
          <w:rStyle w:val="25"/>
          <w:rFonts w:hint="eastAsia" w:ascii="宋体" w:eastAsia="宋体"/>
          <w:b/>
          <w:vanish w:val="0"/>
          <w:color w:val="auto"/>
          <w:sz w:val="29"/>
          <w:szCs w:val="29"/>
          <w:vertAlign w:val="baseline"/>
        </w:rPr>
        <w:t>电力工程规划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1、电力负荷预测</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419" w:right="344" w:firstLine="554"/>
        <w:rPr>
          <w:vanish w:val="0"/>
        </w:rPr>
      </w:pPr>
      <w:r>
        <w:rPr>
          <w:rFonts w:hint="eastAsia" w:ascii="宋体" w:eastAsia="宋体"/>
          <w:vanish w:val="0"/>
          <w:color w:val="auto"/>
          <w:sz w:val="29"/>
          <w:szCs w:val="29"/>
          <w:vertAlign w:val="baseline"/>
        </w:rPr>
        <w:t>规划范围内采用单位建设用地负荷指标法预测用电负荷约为235.33kW。</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2、电源规划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419" w:right="344" w:firstLine="554"/>
        <w:rPr>
          <w:vanish w:val="0"/>
        </w:rPr>
      </w:pPr>
      <w:r>
        <w:rPr>
          <w:rFonts w:hint="eastAsia" w:ascii="宋体" w:eastAsia="宋体"/>
          <w:vanish w:val="0"/>
          <w:color w:val="auto"/>
          <w:sz w:val="29"/>
          <w:szCs w:val="29"/>
          <w:vertAlign w:val="baseline"/>
        </w:rPr>
        <w:t>规划区用电电源从镇区东部110KV小董变电站引入，电压等级为10kV。</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3、供电线路敷设</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419" w:right="344" w:firstLine="554"/>
        <w:rPr>
          <w:vanish w:val="0"/>
        </w:rPr>
      </w:pPr>
      <w:r>
        <w:rPr>
          <w:rFonts w:hint="eastAsia" w:ascii="宋体" w:eastAsia="宋体"/>
          <w:vanish w:val="0"/>
          <w:color w:val="auto"/>
          <w:sz w:val="29"/>
          <w:szCs w:val="29"/>
          <w:vertAlign w:val="baseline"/>
        </w:rPr>
        <w:t>（1）规划区周边10KV配电线路采用地埋电缆，由镇区35KV变电站出主干电缆到规划区附近10KV开闭所，再由开闭所分出支线为区内供电。电压等级为10KV/380V/220V。</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419" w:right="344" w:firstLine="554"/>
        <w:rPr>
          <w:vanish w:val="0"/>
        </w:rPr>
      </w:pPr>
      <w:r>
        <w:rPr>
          <w:rFonts w:hint="eastAsia" w:ascii="宋体" w:eastAsia="宋体"/>
          <w:vanish w:val="0"/>
          <w:color w:val="auto"/>
          <w:sz w:val="29"/>
          <w:szCs w:val="29"/>
          <w:vertAlign w:val="baseline"/>
        </w:rPr>
        <w:t>（2）电力网采用环状和支状相结合的布置形式，电力电缆沟原则上应在道路建设或者改造时，沿道路西侧、北侧人行道或绿化带下埋地敷设并与市政设施相互协调，同步建设。</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419" w:right="344" w:firstLine="554"/>
        <w:rPr>
          <w:vanish w:val="0"/>
        </w:rPr>
      </w:pPr>
      <w:r>
        <w:rPr>
          <w:rFonts w:hint="eastAsia" w:ascii="宋体" w:eastAsia="宋体"/>
          <w:vanish w:val="0"/>
          <w:color w:val="auto"/>
          <w:sz w:val="29"/>
          <w:szCs w:val="29"/>
          <w:vertAlign w:val="baseline"/>
        </w:rPr>
        <w:t>（3）各变压器应采用干式变压器，同时在变电所施工时，应考虑该站附近路灯的用电。</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第二十二条</w:t>
      </w:r>
      <w:r>
        <w:rPr>
          <w:rStyle w:val="25"/>
          <w:b/>
          <w:vanish w:val="0"/>
        </w:rPr>
        <w:t> </w:t>
      </w:r>
      <w:r>
        <w:rPr>
          <w:rStyle w:val="25"/>
          <w:rFonts w:hint="eastAsia" w:ascii="宋体" w:eastAsia="宋体"/>
          <w:b/>
          <w:vanish w:val="0"/>
          <w:color w:val="auto"/>
          <w:sz w:val="29"/>
          <w:szCs w:val="29"/>
          <w:vertAlign w:val="baseline"/>
        </w:rPr>
        <w:t>通信工程规划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1、固话容量预测</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规划区固定通信用户预测采用分类用地固定通信用户密度法预测固话需求总量约为406门。</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2、通信线路规划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419" w:right="344" w:firstLine="554"/>
        <w:rPr>
          <w:vanish w:val="0"/>
        </w:rPr>
      </w:pPr>
      <w:r>
        <w:rPr>
          <w:rFonts w:hint="eastAsia" w:ascii="宋体" w:eastAsia="宋体"/>
          <w:vanish w:val="0"/>
          <w:color w:val="auto"/>
          <w:sz w:val="29"/>
          <w:szCs w:val="29"/>
          <w:vertAlign w:val="baseline"/>
        </w:rPr>
        <w:t>从人民北路和用地东面河堤路引入通信电缆。电缆线路采用pvc管敷设，管群埋深不得小于0.7米，排管布置在相关道路的人行道下。电信电缆管沟的建设应与道路同步建设，有线电视电缆线应与通信电缆线路共沟建设。</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第二十三条</w:t>
      </w:r>
      <w:r>
        <w:rPr>
          <w:rStyle w:val="25"/>
          <w:b/>
          <w:vanish w:val="0"/>
        </w:rPr>
        <w:t> </w:t>
      </w:r>
      <w:r>
        <w:rPr>
          <w:rStyle w:val="25"/>
          <w:rFonts w:hint="eastAsia" w:ascii="宋体" w:eastAsia="宋体"/>
          <w:b/>
          <w:vanish w:val="0"/>
          <w:color w:val="auto"/>
          <w:sz w:val="29"/>
          <w:szCs w:val="29"/>
          <w:vertAlign w:val="baseline"/>
        </w:rPr>
        <w:t>燃气工程规划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1、用气量预测</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419" w:right="344" w:firstLine="554"/>
        <w:rPr>
          <w:vanish w:val="0"/>
        </w:rPr>
      </w:pPr>
      <w:r>
        <w:rPr>
          <w:rFonts w:hint="eastAsia" w:ascii="宋体" w:eastAsia="宋体"/>
          <w:vanish w:val="0"/>
          <w:color w:val="auto"/>
          <w:sz w:val="29"/>
          <w:szCs w:val="29"/>
          <w:vertAlign w:val="baseline"/>
        </w:rPr>
        <w:t>规划区全年居民生活用气量为1.47万m³。</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2、气源</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419" w:right="344" w:firstLine="554"/>
        <w:rPr>
          <w:vanish w:val="0"/>
        </w:rPr>
      </w:pPr>
      <w:r>
        <w:rPr>
          <w:rFonts w:hint="eastAsia" w:ascii="宋体" w:eastAsia="宋体"/>
          <w:vanish w:val="0"/>
          <w:color w:val="auto"/>
          <w:sz w:val="29"/>
          <w:szCs w:val="29"/>
          <w:vertAlign w:val="baseline"/>
        </w:rPr>
        <w:t>规划区近期以瓶装液化石油气为主要气源，远期小董镇天然气源为LNG瓶组气化站，燃气以管道天然气为主，以瓶装液化石油气为辅。</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3、燃气管线规划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419" w:right="344" w:firstLine="554"/>
        <w:rPr>
          <w:vanish w:val="0"/>
        </w:rPr>
      </w:pPr>
      <w:r>
        <w:rPr>
          <w:rFonts w:hint="eastAsia" w:ascii="宋体" w:eastAsia="宋体"/>
          <w:vanish w:val="0"/>
          <w:color w:val="auto"/>
          <w:sz w:val="29"/>
          <w:szCs w:val="29"/>
          <w:vertAlign w:val="baseline"/>
        </w:rPr>
        <w:t>管网以环网为主，铺以枝状管伸向街坊内部。燃气管道采用热轧无缝钢管或PE管，干管最小覆土厚度车行道上不小于0.8m。沿规划道路布置中压配气干管网，管径主要为DN150。经中低压调压器调压后直接输送给用户，低压管管径为DN100。</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第二十四条</w:t>
      </w:r>
      <w:r>
        <w:rPr>
          <w:rStyle w:val="25"/>
          <w:b/>
          <w:vanish w:val="0"/>
        </w:rPr>
        <w:t> </w:t>
      </w:r>
      <w:r>
        <w:rPr>
          <w:rStyle w:val="25"/>
          <w:rFonts w:hint="eastAsia" w:ascii="宋体" w:eastAsia="宋体"/>
          <w:b/>
          <w:vanish w:val="0"/>
          <w:color w:val="auto"/>
          <w:sz w:val="29"/>
          <w:szCs w:val="29"/>
          <w:vertAlign w:val="baseline"/>
        </w:rPr>
        <w:t>工程管线综合规划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1、管线种类</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综合的管线包括：给水、污水、雨水、电力、弱电、燃气、路灯等管线。</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2、管线位置</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管线沿道路敷设，原则上给水管线、雨水和燃气管线位于路东和路北；污水管线、弱电管线、电力管线位于路西、路南；</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3、管线布置</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地下管线之间的最小水平间距和相互交叉时各管道间的最小间距应满足《城市工程管线综合规划规范》（GB50289-2016）要求。</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工程管线交叉敷设时，地表面向下的排列顺序一般为：电信管线、电力管线、给水管线、雨水管线、污水管线。</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工程管线的最小覆土深度：</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电力管管顶最小覆土深度0.6m；</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电信管管顶最小覆土深度0.7m；</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给水管管顶最小覆土深度0.7m；</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雨水管、污水管控制在以上管线下方，交叉时局部调整。</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工程管线交叉时的避让原则：</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压力管线让重力自流管线；可弯曲管线让不易弯曲管线；分支管线让主干管线；小管径管线让大管径管线，临时性的让永久性的，工程量小的让工程量大的，新建的让现有的，检修次数少的、方便的让检修次数多的、不方便的。</w:t>
      </w:r>
    </w:p>
    <w:p>
      <w:pPr>
        <w:pStyle w:val="2"/>
        <w:numPr>
          <w:numId w:val="0"/>
        </w:numPr>
        <w:pBdr>
          <w:top w:val="none" w:color="auto" w:sz="0" w:space="0"/>
          <w:left w:val="none" w:color="auto" w:sz="0" w:space="0"/>
          <w:bottom w:val="none" w:color="auto" w:sz="0" w:space="0"/>
          <w:right w:val="none" w:color="auto" w:sz="0" w:space="0"/>
        </w:pBdr>
        <w:bidi w:val="0"/>
        <w:spacing w:before="254" w:beforeAutospacing="0" w:after="0" w:afterAutospacing="0" w:line="719" w:lineRule="atLeast"/>
        <w:ind w:left="419" w:leftChars="0" w:right="344" w:rightChars="0"/>
        <w:jc w:val="center"/>
        <w:outlineLvl w:val="0"/>
        <w:rPr>
          <w:b/>
          <w:vanish w:val="0"/>
          <w:kern w:val="36"/>
          <w:sz w:val="48"/>
        </w:rPr>
      </w:pPr>
      <w:bookmarkStart w:id="21" w:name="_Toc22695"/>
      <w:bookmarkEnd w:id="21"/>
      <w:r>
        <w:rPr>
          <w:rStyle w:val="25"/>
          <w:rFonts w:hint="eastAsia" w:ascii="宋体" w:eastAsia="宋体"/>
          <w:b/>
          <w:vanish w:val="0"/>
          <w:color w:val="auto"/>
          <w:kern w:val="36"/>
          <w:sz w:val="32"/>
          <w:szCs w:val="32"/>
          <w:vertAlign w:val="baseline"/>
        </w:rPr>
        <w:t>第六章 综合防灾规划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第二十五条</w:t>
      </w:r>
      <w:r>
        <w:rPr>
          <w:rStyle w:val="25"/>
          <w:b/>
          <w:vanish w:val="0"/>
        </w:rPr>
        <w:t> </w:t>
      </w:r>
      <w:r>
        <w:rPr>
          <w:rStyle w:val="25"/>
          <w:rFonts w:hint="eastAsia" w:ascii="宋体" w:eastAsia="宋体"/>
          <w:b/>
          <w:vanish w:val="0"/>
          <w:color w:val="auto"/>
          <w:sz w:val="29"/>
          <w:szCs w:val="29"/>
          <w:vertAlign w:val="baseline"/>
        </w:rPr>
        <w:t>消防规划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1、消防栓规划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市政消火栓宜采用直径DN150的室外消火栓，室外地上式消火栓应有一个直径为150mm或100mm和两个直径为65mm的栓口；市政消火栓宜在道路的一侧设置，并宜靠近十字路口，但当市政道路宽度超过60m时，应在道路的两侧交叉错落设置市政消火栓；市政消火栓的保护半径不应超过150m，间距不应大于120m；消火栓距路边不宜小于0.5m，并不应大于2.0m，距建筑外墙或外墙边缘不宜小于5.0m。</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2、消防给水规划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消防水源采用给水管网供水方式，注意保护和利用天然水体作为消防补充水源，并修建通向天然水源的消防车通道和取水设施。规划消防给水系统与城镇生活、生产给水系统同网。市政消火栓平时运行工作压力不应小于0.14MPa，火灾时水力最不利市政消火栓的出流量不应小于15L/s，且供水压力从地面算起不应小于0.10MPa。</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3、消防通道规划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（1）规划区的周边的主要干道、街区道路和用地内部道路的宽度、转弯半径均应满足消防车辆通行的要求。</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消防车通道之间的距离不宜超过160米，消防车道宽度均≥4米，消防车道转弯半径≥9米、坡度≤8%。当消防车通道上空有障碍物跨越道路时，路面与障碍物之间的净高不得小于4米。消防车道穿过建筑物的门洞时，其净高和净宽不应小于5米×4.5米；消防车道的地下管道或暗沟，应能满足大型消防车辆的压力。</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（3）尽端式消防车道应设有回车道或回车场，回车场的尺寸不应小于15×15米。</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4、安全防护</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（1）三级站埋地油罐、加油机、油罐通气管口、油气回收处理装置等站内汽油工艺设备与民用建筑（三类保护物）的安全间距≥7m；柴油工艺设备与民用建筑（三类保护物）的安全间距≥6m。</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（2）三级站埋地油罐与主干路（人民北路）的安全间距≥5.5m；加油机、油罐通气管口、油气回收处理装置与主干路的安全间距≥5m；柴油工艺设备与主干路的安全间距≥3m。</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3）三级站埋地油罐、加油机、油罐通气管口、油气回收处理装置等站内汽油（柴油）工艺设备与架空通信线路的安全间距≥5m；与无绝缘层的电力架空线路的安全间距≥6.5m；与有绝缘层的电力架空线路的安全间距≥5m。</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4）本规划加油站的汽油、柴油工艺设备与站外新建建（构）筑物的建筑控制线划分范围及安全间距详见图则。加油站内设置的便利店、公厕等辅助用房与站外建（构）筑物的间距根据《建筑设计防火规范》GB50016-2014（2018）等相关规范进行确定。</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5）若加油站为现有站内改建，其与站外现状已建建筑的安全间距和退距根据小董镇的管理要求和现状建设条件相互协调进行安全管控，应符合《汽车加油加气加氢站技术标准》（GB50156-2021）第4.0.4条的规定，并应通过改建项目安全设施设计审查、项目消防查验报告以及安全设施竣工验收审查。</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第二十六条</w:t>
      </w:r>
      <w:r>
        <w:rPr>
          <w:rStyle w:val="25"/>
          <w:b/>
          <w:vanish w:val="0"/>
        </w:rPr>
        <w:t> </w:t>
      </w:r>
      <w:r>
        <w:rPr>
          <w:rStyle w:val="25"/>
          <w:rFonts w:hint="eastAsia" w:ascii="宋体" w:eastAsia="宋体"/>
          <w:b/>
          <w:vanish w:val="0"/>
          <w:color w:val="auto"/>
          <w:sz w:val="29"/>
          <w:szCs w:val="29"/>
          <w:vertAlign w:val="baseline"/>
        </w:rPr>
        <w:t>防洪排涝规划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小董镇镇区防洪主要为小董江，防洪标高为23.0米，小董按20年一遇标准设防。规划区通过加固排水沟渠与堤路结合的方式提高防洪标准。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第二十七条</w:t>
      </w:r>
      <w:r>
        <w:rPr>
          <w:rStyle w:val="25"/>
          <w:b/>
          <w:vanish w:val="0"/>
        </w:rPr>
        <w:t> </w:t>
      </w:r>
      <w:r>
        <w:rPr>
          <w:rStyle w:val="25"/>
          <w:rFonts w:hint="eastAsia" w:ascii="宋体" w:eastAsia="宋体"/>
          <w:b/>
          <w:vanish w:val="0"/>
          <w:color w:val="auto"/>
          <w:sz w:val="29"/>
          <w:szCs w:val="29"/>
          <w:vertAlign w:val="baseline"/>
        </w:rPr>
        <w:t>抗震防灾规划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Fonts w:hint="eastAsia" w:ascii="宋体" w:eastAsia="宋体"/>
          <w:vanish w:val="0"/>
          <w:color w:val="auto"/>
          <w:sz w:val="29"/>
          <w:szCs w:val="29"/>
          <w:vertAlign w:val="baseline"/>
        </w:rPr>
        <w:t>1、抗震设防标准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规划区在Ⅱ类场地条件下基本地震动峰值加速度为0.10g，地震动加速度反应谱特征周期0.35s，地震抗震设防烈度为7度。</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Fonts w:hint="eastAsia" w:ascii="宋体" w:eastAsia="宋体"/>
          <w:vanish w:val="0"/>
          <w:color w:val="auto"/>
          <w:sz w:val="29"/>
          <w:szCs w:val="29"/>
          <w:vertAlign w:val="baseline"/>
        </w:rPr>
        <w:t>2、工程抗震</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（1）新建、改建、扩建建筑物、构筑物和工程设施应确定其抗震设防类别，按国家和钦州市现行有关标准进行设计；</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（2）现有建筑物、构筑物和工程设施应按国家和钦州市现行有关标准进行鉴定，提出抗震加固、改建和拆迁的意见。</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Fonts w:hint="eastAsia" w:ascii="宋体" w:eastAsia="宋体"/>
          <w:vanish w:val="0"/>
          <w:color w:val="auto"/>
          <w:sz w:val="29"/>
          <w:szCs w:val="29"/>
          <w:vertAlign w:val="baseline"/>
        </w:rPr>
        <w:t>3、防止地震次生灾害</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（1）本规划范围北面规划的商业服务业用地主要建设零售加油站网点，应按照国家有关规定严格遵守操作流程和保证安全防护距离。</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（2）加油站是易燃、易爆场所，具有高危险性，针对可能发生的灾害制定有效的应急预案，以保证工作人员和周边群众生命财产安全不受到伤害及最大限度地减少财产损失。</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（3）经过危险识别、风险评估，确认加油站灾害因素，如火灾、油品跑、冒、漏，加强对事故灾害进行全面的预测和防范，通过危害识别、风险评估等因素，制定适合本规划的应急预案。</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第二十八条</w:t>
      </w:r>
      <w:r>
        <w:rPr>
          <w:rStyle w:val="25"/>
          <w:b/>
          <w:vanish w:val="0"/>
        </w:rPr>
        <w:t> </w:t>
      </w:r>
      <w:r>
        <w:rPr>
          <w:rStyle w:val="25"/>
          <w:rFonts w:hint="eastAsia" w:ascii="宋体" w:eastAsia="宋体"/>
          <w:b/>
          <w:vanish w:val="0"/>
          <w:color w:val="auto"/>
          <w:sz w:val="29"/>
          <w:szCs w:val="29"/>
          <w:vertAlign w:val="baseline"/>
        </w:rPr>
        <w:t>地质灾害防治</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1、工程建设施工前应进行详细的岩土工程勘察，查明场地岩土体的分布特征，查明建设场地浅层溶洞、隐伏土洞、软弱土体的分布特征。</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对经评估认为可能引发地质灾害或者可能遭受地质灾害危害的建设工程，应当配套建设地质灾害治理工程。地质灾害治理工程的设计、施工和验收应当与主体工程的设计、施工、验收同时进行。配套的地质灾害治理工程未经验收或者经验收不合格的，主体工程不得投入生产或者使用。</w:t>
      </w:r>
    </w:p>
    <w:p>
      <w:pPr>
        <w:pStyle w:val="2"/>
        <w:numPr>
          <w:numId w:val="0"/>
        </w:numPr>
        <w:pBdr>
          <w:top w:val="none" w:color="auto" w:sz="0" w:space="0"/>
          <w:left w:val="none" w:color="auto" w:sz="0" w:space="0"/>
          <w:bottom w:val="none" w:color="auto" w:sz="0" w:space="0"/>
          <w:right w:val="none" w:color="auto" w:sz="0" w:space="0"/>
        </w:pBdr>
        <w:bidi w:val="0"/>
        <w:spacing w:before="254" w:beforeAutospacing="0" w:after="0" w:afterAutospacing="0" w:line="719" w:lineRule="atLeast"/>
        <w:ind w:left="419" w:leftChars="0" w:right="344" w:rightChars="0"/>
        <w:jc w:val="center"/>
        <w:outlineLvl w:val="0"/>
        <w:rPr>
          <w:b/>
          <w:vanish w:val="0"/>
          <w:kern w:val="36"/>
          <w:sz w:val="48"/>
        </w:rPr>
      </w:pPr>
      <w:bookmarkStart w:id="22" w:name="_Toc17212"/>
      <w:bookmarkEnd w:id="22"/>
      <w:r>
        <w:rPr>
          <w:rStyle w:val="25"/>
          <w:rFonts w:hint="eastAsia" w:ascii="宋体" w:eastAsia="宋体"/>
          <w:b/>
          <w:vanish w:val="0"/>
          <w:color w:val="auto"/>
          <w:kern w:val="36"/>
          <w:sz w:val="32"/>
          <w:szCs w:val="32"/>
          <w:vertAlign w:val="baseline"/>
        </w:rPr>
        <w:t>第七章</w:t>
      </w:r>
      <w:r>
        <w:rPr>
          <w:rStyle w:val="25"/>
          <w:b/>
          <w:vanish w:val="0"/>
          <w:kern w:val="36"/>
          <w:sz w:val="48"/>
        </w:rPr>
        <w:t> </w:t>
      </w:r>
      <w:r>
        <w:rPr>
          <w:rStyle w:val="25"/>
          <w:rFonts w:hint="eastAsia" w:ascii="宋体" w:eastAsia="宋体"/>
          <w:b/>
          <w:vanish w:val="0"/>
          <w:color w:val="auto"/>
          <w:kern w:val="36"/>
          <w:sz w:val="32"/>
          <w:szCs w:val="32"/>
          <w:vertAlign w:val="baseline"/>
        </w:rPr>
        <w:t>环保环卫规划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第二十九条</w:t>
      </w:r>
      <w:r>
        <w:rPr>
          <w:rStyle w:val="25"/>
          <w:b/>
          <w:vanish w:val="0"/>
        </w:rPr>
        <w:t> </w:t>
      </w:r>
      <w:r>
        <w:rPr>
          <w:rStyle w:val="25"/>
          <w:rFonts w:hint="eastAsia" w:ascii="宋体" w:eastAsia="宋体"/>
          <w:b/>
          <w:vanish w:val="0"/>
          <w:color w:val="auto"/>
          <w:sz w:val="29"/>
          <w:szCs w:val="29"/>
          <w:vertAlign w:val="baseline"/>
        </w:rPr>
        <w:t>环保工程规划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1、大气环境保护目标与措施</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（1）大气环境保护目标</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控制各类大气污染物排放，以保证规划区环境空气质量稳定达到《环境空气质量标准》（GB3095-2012）二级标准。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（2）大气环境保护措施</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① 加强卫生保洁，防止地面扬尘。加强规划区道路保洁，逐步达到规划区主干路、住宅区、周围基本无扬尘，消灭垃圾死角。严禁在规划区内焚烧可能产生有毒有害烟尘和恶臭气体的物质。</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② 强化机动车污染管理，改进规划区自有机动车尾气净化装置。加强路网配套建设，控制规划区干道车流量。加强住宅区道路建设，改变占道停车状况。</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③ 提高规划区绿地面积，增强自净能力；提高规划区绿化滞尘效率，改善大气环境质量。</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2、水环境保护目标与措施</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（1）水环境保护目标</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控制各类水污染物排放，以保证周边主要地表水体的水环境质量能达到《地表水环境质量标准》（GB3838—2002）Ⅲ类标准。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（2）水环境保护措施</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加强水污染的监督管理，规划区内生活污水禁止随意排放，需通过化粪池进行污水处理再经市政污水管网收集排入镇区南面污水处理厂，经处理达到《污水综合排放标准》（GB8978-1996）后排入镇区小董江下游。</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3、声环境保护目标与措施</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（1）声环境保护目标</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控制噪声的排放，以保证规划区内主要区域的声环境质量可以达到《声环境质量标准（GB3096－2008）》所规定的相应标准要求。</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① 规划区居住区域执行环境噪声1类标准；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② 规划区商业区域执行环境噪声2类标准；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③ 规划区北面的人民北路为城镇主干道，应执行环境噪声4类标准,。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（2）声环境保护措施</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① 加强交通噪声管制。对规划区周边干道的交通噪声实施管制，将其作为交通噪声污染控制区。</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② 居民集中区实行夜间施工噪声管制。对施工建设的项目严格执行环境影响评价制度和噪声污染防治“三同时”制度，防止产生新的噪声污染源。加强对民用空调机、宾馆娱乐场所、居民区装修、维修业等第三产业产生的社会生活噪声的管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③ 加强绿化，降低噪声污染。完善道路绿化系统，在主要道路两侧进行绿化植树，建设护林带，建筑物积极进行垂直绿化。</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4、固体废弃物管理与措施</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（1）对规划区产生的生活垃圾实行企业化经营管理，实施生活垃圾分类收集制度。</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（2）加强“白色污染”管理。禁止生产、销售和使用不可降解的一次性塑料饭盒、塑料薄膜包装袋，推广可降解即可回收再生利用的包装材料，鼓励和扶持废旧塑料回收和再利用项目。</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第三十条</w:t>
      </w:r>
      <w:r>
        <w:rPr>
          <w:rStyle w:val="25"/>
          <w:b/>
          <w:vanish w:val="0"/>
        </w:rPr>
        <w:t> </w:t>
      </w:r>
      <w:r>
        <w:rPr>
          <w:rStyle w:val="25"/>
          <w:rFonts w:hint="eastAsia" w:ascii="宋体" w:eastAsia="宋体"/>
          <w:b/>
          <w:vanish w:val="0"/>
          <w:color w:val="auto"/>
          <w:sz w:val="29"/>
          <w:szCs w:val="29"/>
          <w:vertAlign w:val="baseline"/>
        </w:rPr>
        <w:t>环卫工程规划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0" w:right="344" w:firstLine="554"/>
        <w:rPr>
          <w:vanish w:val="0"/>
        </w:rPr>
      </w:pPr>
      <w:r>
        <w:rPr>
          <w:rFonts w:hint="eastAsia" w:ascii="宋体" w:eastAsia="宋体"/>
          <w:vanish w:val="0"/>
          <w:color w:val="auto"/>
          <w:sz w:val="29"/>
          <w:szCs w:val="29"/>
          <w:vertAlign w:val="baseline"/>
        </w:rPr>
        <w:t>1、</w:t>
      </w:r>
      <w:r>
        <w:rPr>
          <w:vanish w:val="0"/>
        </w:rPr>
        <w:t> </w:t>
      </w:r>
      <w:r>
        <w:rPr>
          <w:rFonts w:hint="eastAsia" w:ascii="宋体" w:eastAsia="宋体"/>
          <w:vanish w:val="0"/>
          <w:color w:val="auto"/>
          <w:sz w:val="29"/>
          <w:szCs w:val="29"/>
          <w:vertAlign w:val="baseline"/>
        </w:rPr>
        <w:t>固体废弃物发生量预测</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规划区生活垃圾总垃圾量约为0.7t/d。</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2、</w:t>
      </w:r>
      <w:r>
        <w:rPr>
          <w:vanish w:val="0"/>
        </w:rPr>
        <w:t> </w:t>
      </w:r>
      <w:r>
        <w:rPr>
          <w:rFonts w:hint="eastAsia" w:ascii="宋体" w:eastAsia="宋体"/>
          <w:vanish w:val="0"/>
          <w:color w:val="auto"/>
          <w:sz w:val="29"/>
          <w:szCs w:val="29"/>
          <w:vertAlign w:val="baseline"/>
        </w:rPr>
        <w:t>环卫设施规划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（1）垃圾收运系统</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建立垃圾收集点--垃圾转运站--无害化垃圾处理场的收集处理体系。</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（2）垃圾箱与废物箱</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规划区垃圾收集方式以垃圾桶定点收集为主，垃圾桶的服务半径在70米以内。</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废物箱一般设置在城镇街道两侧和路口、居住区或人流密集地区。</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（3）公共厕所</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规划在用地北面的公用设施营业网点用地内设置公共厕所一个，与规划的加油站点结合建设。</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Fonts w:hint="eastAsia" w:ascii="宋体" w:eastAsia="宋体"/>
          <w:vanish w:val="0"/>
          <w:color w:val="auto"/>
          <w:sz w:val="29"/>
          <w:szCs w:val="29"/>
          <w:vertAlign w:val="baseline"/>
        </w:rPr>
        <w:t>3、道路保洁</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规划区北面道路属城镇主干道，为一级清扫路面；西面沿江路属滨江路，为二级清扫路面；规划区东面与南面道路及用地内部路为三级清扫路面。</w:t>
      </w:r>
    </w:p>
    <w:p>
      <w:pPr>
        <w:pStyle w:val="2"/>
        <w:numPr>
          <w:numId w:val="0"/>
        </w:numPr>
        <w:pBdr>
          <w:top w:val="none" w:color="auto" w:sz="0" w:space="0"/>
          <w:left w:val="none" w:color="auto" w:sz="0" w:space="0"/>
          <w:bottom w:val="none" w:color="auto" w:sz="0" w:space="0"/>
          <w:right w:val="none" w:color="auto" w:sz="0" w:space="0"/>
        </w:pBdr>
        <w:bidi w:val="0"/>
        <w:spacing w:before="254" w:beforeAutospacing="0" w:after="0" w:afterAutospacing="0" w:line="719" w:lineRule="atLeast"/>
        <w:ind w:left="419" w:leftChars="0" w:right="344" w:rightChars="0"/>
        <w:jc w:val="center"/>
        <w:outlineLvl w:val="0"/>
        <w:rPr>
          <w:b/>
          <w:vanish w:val="0"/>
          <w:kern w:val="36"/>
          <w:sz w:val="48"/>
        </w:rPr>
      </w:pPr>
      <w:bookmarkStart w:id="23" w:name="_Toc8973"/>
      <w:bookmarkEnd w:id="23"/>
      <w:r>
        <w:rPr>
          <w:rStyle w:val="25"/>
          <w:rFonts w:hint="eastAsia" w:ascii="宋体" w:eastAsia="宋体"/>
          <w:b/>
          <w:vanish w:val="0"/>
          <w:color w:val="auto"/>
          <w:kern w:val="36"/>
          <w:sz w:val="32"/>
          <w:szCs w:val="32"/>
          <w:vertAlign w:val="baseline"/>
        </w:rPr>
        <w:t>第八章</w:t>
      </w:r>
      <w:r>
        <w:rPr>
          <w:rStyle w:val="25"/>
          <w:b/>
          <w:vanish w:val="0"/>
          <w:kern w:val="36"/>
          <w:sz w:val="48"/>
        </w:rPr>
        <w:t> </w:t>
      </w:r>
      <w:r>
        <w:rPr>
          <w:rStyle w:val="25"/>
          <w:rFonts w:hint="eastAsia" w:ascii="宋体" w:eastAsia="宋体"/>
          <w:b/>
          <w:vanish w:val="0"/>
          <w:color w:val="auto"/>
          <w:kern w:val="36"/>
          <w:sz w:val="32"/>
          <w:szCs w:val="32"/>
          <w:vertAlign w:val="baseline"/>
        </w:rPr>
        <w:t>地块管控规划</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第三十一条</w:t>
      </w:r>
      <w:r>
        <w:rPr>
          <w:rStyle w:val="25"/>
          <w:b/>
          <w:vanish w:val="0"/>
        </w:rPr>
        <w:t> </w:t>
      </w:r>
      <w:r>
        <w:rPr>
          <w:rStyle w:val="25"/>
          <w:rFonts w:hint="eastAsia" w:ascii="宋体" w:eastAsia="宋体"/>
          <w:b/>
          <w:vanish w:val="0"/>
          <w:color w:val="auto"/>
          <w:sz w:val="29"/>
          <w:szCs w:val="29"/>
          <w:vertAlign w:val="baseline"/>
        </w:rPr>
        <w:t>地块划分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规划区分为两个地块。依次编号为A-1-1、A-1-2。</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第三十二条</w:t>
      </w:r>
      <w:r>
        <w:rPr>
          <w:rStyle w:val="25"/>
          <w:b/>
          <w:vanish w:val="0"/>
        </w:rPr>
        <w:t> </w:t>
      </w:r>
      <w:r>
        <w:rPr>
          <w:rStyle w:val="25"/>
          <w:rFonts w:hint="eastAsia" w:ascii="宋体" w:eastAsia="宋体"/>
          <w:b/>
          <w:vanish w:val="0"/>
          <w:color w:val="auto"/>
          <w:sz w:val="29"/>
          <w:szCs w:val="29"/>
          <w:vertAlign w:val="baseline"/>
        </w:rPr>
        <w:t>土地使用强度控制指标</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规划对用地范围内的各个地块进行开发强度控制，控制指标分为约束性指标和指导性指标两类。</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w:t>
      </w:r>
      <w:r>
        <w:rPr>
          <w:rFonts w:ascii="Calibri" w:hAnsi="Calibri"/>
          <w:vanish w:val="0"/>
          <w:color w:val="auto"/>
          <w:sz w:val="29"/>
          <w:szCs w:val="29"/>
          <w:vertAlign w:val="baseline"/>
        </w:rPr>
        <w:t>1</w:t>
      </w:r>
      <w:r>
        <w:rPr>
          <w:rFonts w:hint="eastAsia" w:ascii="宋体" w:eastAsia="宋体"/>
          <w:vanish w:val="0"/>
          <w:color w:val="auto"/>
          <w:sz w:val="29"/>
          <w:szCs w:val="29"/>
          <w:vertAlign w:val="baseline"/>
        </w:rPr>
        <w:t>）约束性指标：包括用地性质、容积率、建筑密度、绿地率、建筑限高、交通出入口方位、建筑退距等，此类指标须按规定执行。</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w:t>
      </w:r>
      <w:r>
        <w:rPr>
          <w:rFonts w:ascii="Calibri" w:hAnsi="Calibri"/>
          <w:vanish w:val="0"/>
          <w:color w:val="auto"/>
          <w:sz w:val="29"/>
          <w:szCs w:val="29"/>
          <w:vertAlign w:val="baseline"/>
        </w:rPr>
        <w:t>2</w:t>
      </w:r>
      <w:r>
        <w:rPr>
          <w:rFonts w:hint="eastAsia" w:ascii="宋体" w:eastAsia="宋体"/>
          <w:vanish w:val="0"/>
          <w:color w:val="auto"/>
          <w:sz w:val="29"/>
          <w:szCs w:val="29"/>
          <w:vertAlign w:val="baseline"/>
        </w:rPr>
        <w:t>）指导性指标：包括非机动车停车泊位、建筑形式、体量、风格要求、建筑色彩等。</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第三十三条</w:t>
      </w:r>
      <w:r>
        <w:rPr>
          <w:rStyle w:val="25"/>
          <w:b/>
          <w:vanish w:val="0"/>
        </w:rPr>
        <w:t> </w:t>
      </w:r>
      <w:r>
        <w:rPr>
          <w:rStyle w:val="25"/>
          <w:rFonts w:hint="eastAsia" w:ascii="宋体" w:eastAsia="宋体"/>
          <w:b/>
          <w:vanish w:val="0"/>
          <w:color w:val="auto"/>
          <w:sz w:val="29"/>
          <w:szCs w:val="29"/>
          <w:vertAlign w:val="baseline"/>
        </w:rPr>
        <w:t>建筑容量控制</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rPr>
        <w:t>1、</w:t>
      </w:r>
      <w:r>
        <w:rPr>
          <w:rFonts w:hint="eastAsia" w:ascii="宋体" w:eastAsia="宋体"/>
          <w:vanish w:val="0"/>
          <w:color w:val="auto"/>
          <w:sz w:val="29"/>
          <w:szCs w:val="29"/>
          <w:vertAlign w:val="baseline"/>
        </w:rPr>
        <w:t>公用设施营业网点用地</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554"/>
        <w:rPr>
          <w:vanish w:val="0"/>
        </w:rPr>
      </w:pPr>
      <w:r>
        <w:rPr>
          <w:rFonts w:hint="eastAsia" w:ascii="宋体" w:eastAsia="宋体"/>
          <w:vanish w:val="0"/>
          <w:color w:val="auto"/>
          <w:sz w:val="29"/>
          <w:szCs w:val="29"/>
          <w:vertAlign w:val="baseline"/>
        </w:rPr>
        <w:t>本规划公用设施营业网点用地主要建设零售加油站营业网点，容积率控制≤0.6，建筑密度控制≤40%。</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2、二类城镇住宅用地</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本规划二类城镇住宅用地内主要规划以多层（4～6层）住宅建筑为主，结合城镇天际线考虑，容积率控制≤2.0，建筑密度控制≤35%。</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第三十四条</w:t>
      </w:r>
      <w:r>
        <w:rPr>
          <w:rStyle w:val="25"/>
          <w:b/>
          <w:vanish w:val="0"/>
        </w:rPr>
        <w:t> </w:t>
      </w:r>
      <w:r>
        <w:rPr>
          <w:rStyle w:val="25"/>
          <w:rFonts w:hint="eastAsia" w:ascii="宋体" w:eastAsia="宋体"/>
          <w:b/>
          <w:vanish w:val="0"/>
          <w:color w:val="auto"/>
          <w:sz w:val="29"/>
          <w:szCs w:val="29"/>
          <w:vertAlign w:val="baseline"/>
        </w:rPr>
        <w:t>绿地率控制</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1、公用设施营业网点用地</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加油站绿地结合项目用地自身使用要求进行建设，但站内不应种植油性植物，且不应种植树木和易造成可燃物堆积的植物。</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2、二类城镇住宅用地</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本规划二类城镇住宅用地内的绿地率控制≥30%。</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第三十五条</w:t>
      </w:r>
      <w:r>
        <w:rPr>
          <w:rStyle w:val="25"/>
          <w:b/>
          <w:vanish w:val="0"/>
        </w:rPr>
        <w:t> </w:t>
      </w:r>
      <w:r>
        <w:rPr>
          <w:rStyle w:val="25"/>
          <w:rFonts w:hint="eastAsia" w:ascii="宋体" w:eastAsia="宋体"/>
          <w:b/>
          <w:vanish w:val="0"/>
          <w:color w:val="auto"/>
          <w:sz w:val="29"/>
          <w:szCs w:val="29"/>
          <w:vertAlign w:val="baseline"/>
        </w:rPr>
        <w:t>建筑高度控制</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1、高度控制在≤24m，适用于二类城镇住宅用地内的多层（4～6层）住宅建筑。</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2、高度控制在≤10m，适用于规划区内的公建及居住配套服务设施（主要包括加油站营业网点、商业网点、幼托等）。</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第三十六条</w:t>
      </w:r>
      <w:r>
        <w:rPr>
          <w:rStyle w:val="25"/>
          <w:b/>
          <w:vanish w:val="0"/>
        </w:rPr>
        <w:t> </w:t>
      </w:r>
      <w:r>
        <w:rPr>
          <w:rStyle w:val="25"/>
          <w:rFonts w:hint="eastAsia" w:ascii="宋体" w:eastAsia="宋体"/>
          <w:b/>
          <w:vanish w:val="0"/>
          <w:color w:val="auto"/>
          <w:sz w:val="29"/>
          <w:szCs w:val="29"/>
          <w:vertAlign w:val="baseline"/>
        </w:rPr>
        <w:t>建筑间距规定</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1、规划范围内的城镇住宅用地以多层住宅建筑为主，同时配套建设便民服务设施用房，建筑类别均为二级，防火间距≥6m。</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2、规划范围内的公用设施营业网点用地主要建设三级加油站和配套设施用房，除应符合现行建筑设计防火规范外，同时应符合《汽车加油加气加氢站技术标准》（GB50156-2021）第4.0.4条的规定。</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第三十七条</w:t>
      </w:r>
      <w:r>
        <w:rPr>
          <w:rStyle w:val="25"/>
          <w:b/>
          <w:vanish w:val="0"/>
        </w:rPr>
        <w:t> </w:t>
      </w:r>
      <w:r>
        <w:rPr>
          <w:rStyle w:val="25"/>
          <w:rFonts w:hint="eastAsia" w:ascii="宋体" w:eastAsia="宋体"/>
          <w:b/>
          <w:vanish w:val="0"/>
          <w:color w:val="auto"/>
          <w:sz w:val="29"/>
          <w:szCs w:val="29"/>
          <w:vertAlign w:val="baseline"/>
        </w:rPr>
        <w:t>建筑后退规定</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1、规划区内新建、扩建或改建的建（构）筑物后退主干道-人民北路6米；</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2、规划区内新建、扩建或改建的建（构）筑物后退巷路-河堤路、城西一街和沿江路3米；</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119" w:right="344" w:firstLine="554"/>
        <w:rPr>
          <w:vanish w:val="0"/>
        </w:rPr>
      </w:pPr>
      <w:r>
        <w:rPr>
          <w:rFonts w:hint="eastAsia" w:ascii="宋体" w:eastAsia="宋体"/>
          <w:vanish w:val="0"/>
          <w:color w:val="auto"/>
          <w:sz w:val="29"/>
          <w:szCs w:val="29"/>
          <w:vertAlign w:val="baseline"/>
        </w:rPr>
        <w:t>3、现状已建项目的建（构）筑物与道路后退距离按照小董镇的建设管理要求进行管控，但建（构）筑物建筑退距、间距需同时满足消防、日照、卫生、安全等国家、自治区、钦州市相关规范的要求，对不符合要求的项目通过详细规划的设计改造方案作调整，协调好与规划项目的衔接关系。</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第三十八条</w:t>
      </w:r>
      <w:r>
        <w:rPr>
          <w:rStyle w:val="25"/>
          <w:b/>
          <w:vanish w:val="0"/>
        </w:rPr>
        <w:t> </w:t>
      </w:r>
      <w:r>
        <w:rPr>
          <w:rStyle w:val="25"/>
          <w:rFonts w:hint="eastAsia" w:ascii="宋体" w:eastAsia="宋体"/>
          <w:b/>
          <w:vanish w:val="0"/>
          <w:color w:val="auto"/>
          <w:sz w:val="29"/>
          <w:szCs w:val="29"/>
          <w:vertAlign w:val="baseline"/>
        </w:rPr>
        <w:t>地块控制指标表</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479"/>
        <w:jc w:val="center"/>
        <w:rPr>
          <w:vanish w:val="0"/>
        </w:rPr>
      </w:pPr>
      <w:bookmarkStart w:id="24" w:name="_Toc118881282"/>
      <w:bookmarkEnd w:id="24"/>
      <w:bookmarkStart w:id="25" w:name="_Toc114195919"/>
      <w:bookmarkEnd w:id="25"/>
      <w:r>
        <w:rPr>
          <w:rFonts w:hint="eastAsia" w:ascii="宋体" w:eastAsia="宋体"/>
          <w:vanish w:val="0"/>
          <w:color w:val="auto"/>
          <w:sz w:val="24"/>
          <w:szCs w:val="24"/>
          <w:vertAlign w:val="baseline"/>
        </w:rPr>
        <w:t>地块控制指标一览表</w:t>
      </w:r>
    </w:p>
    <w:tbl>
      <w:tblPr>
        <w:tblStyle w:val="23"/>
        <w:tblW w:w="8326"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
      <w:tblGrid>
        <w:gridCol w:w="766"/>
        <w:gridCol w:w="975"/>
        <w:gridCol w:w="1114"/>
        <w:gridCol w:w="1183"/>
        <w:gridCol w:w="933"/>
        <w:gridCol w:w="1002"/>
        <w:gridCol w:w="947"/>
        <w:gridCol w:w="849"/>
        <w:gridCol w:w="55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079" w:hRule="atLeast"/>
          <w:hidden/>
        </w:trPr>
        <w:tc>
          <w:tcPr>
            <w:tcW w:w="766" w:type="dxa"/>
            <w:tcBorders>
              <w:top w:val="single" w:color="auto" w:sz="8" w:space="0"/>
              <w:left w:val="single" w:color="auto" w:sz="8" w:space="0"/>
              <w:bottom w:val="single" w:color="auto" w:sz="8" w:space="0"/>
              <w:right w:val="single" w:color="auto" w:sz="8" w:space="0"/>
              <w:tl2br w:val="nil"/>
              <w:tr2bl w:val="nil"/>
            </w:tcBorders>
            <w:shd w:val="clear" w:color="auto" w:fill="D9D9D9"/>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地块编号</w:t>
            </w:r>
          </w:p>
        </w:tc>
        <w:tc>
          <w:tcPr>
            <w:tcW w:w="975" w:type="dxa"/>
            <w:tcBorders>
              <w:top w:val="single" w:color="auto" w:sz="8" w:space="0"/>
              <w:left w:val="single" w:color="auto" w:sz="8" w:space="0"/>
              <w:bottom w:val="single" w:color="auto" w:sz="8" w:space="0"/>
              <w:right w:val="single" w:color="auto" w:sz="8" w:space="0"/>
              <w:tl2br w:val="nil"/>
              <w:tr2bl w:val="nil"/>
            </w:tcBorders>
            <w:shd w:val="clear" w:color="auto" w:fill="D9D9D9"/>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用地</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代号</w:t>
            </w:r>
          </w:p>
        </w:tc>
        <w:tc>
          <w:tcPr>
            <w:tcW w:w="1114" w:type="dxa"/>
            <w:tcBorders>
              <w:top w:val="single" w:color="auto" w:sz="8" w:space="0"/>
              <w:left w:val="single" w:color="auto" w:sz="8" w:space="0"/>
              <w:bottom w:val="single" w:color="auto" w:sz="8" w:space="0"/>
              <w:right w:val="single" w:color="auto" w:sz="8" w:space="0"/>
              <w:tl2br w:val="nil"/>
              <w:tr2bl w:val="nil"/>
            </w:tcBorders>
            <w:shd w:val="clear" w:color="auto" w:fill="D9D9D9"/>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用地性质</w:t>
            </w:r>
          </w:p>
        </w:tc>
        <w:tc>
          <w:tcPr>
            <w:tcW w:w="1183" w:type="dxa"/>
            <w:tcBorders>
              <w:top w:val="single" w:color="auto" w:sz="6" w:space="0"/>
              <w:left w:val="nil"/>
              <w:bottom w:val="single" w:color="auto" w:sz="6" w:space="0"/>
              <w:right w:val="single" w:color="auto" w:sz="6" w:space="0"/>
              <w:tl2br w:val="nil"/>
              <w:tr2bl w:val="nil"/>
            </w:tcBorders>
            <w:shd w:val="clear" w:color="auto" w:fill="D9D9D9"/>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用地面积</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(m</w:t>
            </w:r>
            <w:r>
              <w:rPr>
                <w:rFonts w:hint="eastAsia" w:ascii="宋体" w:eastAsia="宋体"/>
                <w:vanish w:val="0"/>
                <w:color w:val="auto"/>
                <w:sz w:val="24"/>
                <w:szCs w:val="24"/>
                <w:vertAlign w:val="baseline"/>
              </w:rPr>
              <w:t>²</w:t>
            </w:r>
            <w:r>
              <w:rPr>
                <w:rFonts w:ascii="Calibri" w:hAnsi="Calibri"/>
                <w:vanish w:val="0"/>
                <w:color w:val="auto"/>
                <w:sz w:val="24"/>
                <w:szCs w:val="24"/>
                <w:vertAlign w:val="baseline"/>
              </w:rPr>
              <w:t>)</w:t>
            </w:r>
          </w:p>
        </w:tc>
        <w:tc>
          <w:tcPr>
            <w:tcW w:w="933" w:type="dxa"/>
            <w:tcBorders>
              <w:top w:val="single" w:color="auto" w:sz="8" w:space="0"/>
              <w:left w:val="single" w:color="auto" w:sz="8" w:space="0"/>
              <w:bottom w:val="single" w:color="auto" w:sz="8" w:space="0"/>
              <w:right w:val="single" w:color="auto" w:sz="8" w:space="0"/>
              <w:tl2br w:val="nil"/>
              <w:tr2bl w:val="nil"/>
            </w:tcBorders>
            <w:shd w:val="clear" w:color="auto" w:fill="D9D9D9"/>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容积率</w:t>
            </w:r>
          </w:p>
        </w:tc>
        <w:tc>
          <w:tcPr>
            <w:tcW w:w="1002" w:type="dxa"/>
            <w:tcBorders>
              <w:top w:val="single" w:color="auto" w:sz="8" w:space="0"/>
              <w:left w:val="single" w:color="auto" w:sz="8" w:space="0"/>
              <w:bottom w:val="single" w:color="auto" w:sz="8" w:space="0"/>
              <w:right w:val="single" w:color="auto" w:sz="8" w:space="0"/>
              <w:tl2br w:val="nil"/>
              <w:tr2bl w:val="nil"/>
            </w:tcBorders>
            <w:shd w:val="clear" w:color="auto" w:fill="D9D9D9"/>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建筑密度</w:t>
            </w:r>
            <w:r>
              <w:rPr>
                <w:rFonts w:ascii="Calibri" w:hAnsi="Calibri"/>
                <w:vanish w:val="0"/>
                <w:color w:val="auto"/>
                <w:sz w:val="24"/>
                <w:szCs w:val="24"/>
                <w:vertAlign w:val="baseline"/>
              </w:rPr>
              <w:t>(%)</w:t>
            </w:r>
          </w:p>
        </w:tc>
        <w:tc>
          <w:tcPr>
            <w:tcW w:w="947" w:type="dxa"/>
            <w:tcBorders>
              <w:top w:val="single" w:color="auto" w:sz="8" w:space="0"/>
              <w:left w:val="single" w:color="auto" w:sz="8" w:space="0"/>
              <w:bottom w:val="single" w:color="auto" w:sz="8" w:space="0"/>
              <w:right w:val="single" w:color="auto" w:sz="8" w:space="0"/>
              <w:tl2br w:val="nil"/>
              <w:tr2bl w:val="nil"/>
            </w:tcBorders>
            <w:shd w:val="clear" w:color="auto" w:fill="D9D9D9"/>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绿地率</w:t>
            </w:r>
            <w:r>
              <w:rPr>
                <w:rFonts w:ascii="Calibri" w:hAnsi="Calibri"/>
                <w:vanish w:val="0"/>
                <w:color w:val="auto"/>
                <w:sz w:val="24"/>
                <w:szCs w:val="24"/>
                <w:vertAlign w:val="baseline"/>
              </w:rPr>
              <w:t>(%)</w:t>
            </w:r>
          </w:p>
        </w:tc>
        <w:tc>
          <w:tcPr>
            <w:tcW w:w="849" w:type="dxa"/>
            <w:tcBorders>
              <w:top w:val="single" w:color="auto" w:sz="8" w:space="0"/>
              <w:left w:val="single" w:color="auto" w:sz="8" w:space="0"/>
              <w:bottom w:val="single" w:color="auto" w:sz="8" w:space="0"/>
              <w:right w:val="single" w:color="auto" w:sz="8" w:space="0"/>
              <w:tl2br w:val="nil"/>
              <w:tr2bl w:val="nil"/>
            </w:tcBorders>
            <w:shd w:val="clear" w:color="auto" w:fill="D9D9D9"/>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建筑限高</w:t>
            </w:r>
            <w:r>
              <w:rPr>
                <w:rFonts w:ascii="Calibri" w:hAnsi="Calibri"/>
                <w:vanish w:val="0"/>
                <w:color w:val="auto"/>
                <w:sz w:val="24"/>
                <w:szCs w:val="24"/>
                <w:vertAlign w:val="baseline"/>
              </w:rPr>
              <w:t>(m)</w:t>
            </w:r>
          </w:p>
        </w:tc>
        <w:tc>
          <w:tcPr>
            <w:tcW w:w="557" w:type="dxa"/>
            <w:tcBorders>
              <w:top w:val="single" w:color="auto" w:sz="8" w:space="0"/>
              <w:left w:val="single" w:color="auto" w:sz="8" w:space="0"/>
              <w:bottom w:val="single" w:color="auto" w:sz="8" w:space="0"/>
              <w:right w:val="single" w:color="auto" w:sz="8" w:space="0"/>
              <w:tl2br w:val="nil"/>
              <w:tr2bl w:val="nil"/>
            </w:tcBorders>
            <w:shd w:val="clear" w:color="auto" w:fill="D9D9D9"/>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备注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1319" w:hRule="atLeast"/>
          <w:hidden/>
        </w:trPr>
        <w:tc>
          <w:tcPr>
            <w:tcW w:w="766" w:type="dxa"/>
            <w:tcBorders>
              <w:top w:val="nil"/>
              <w:left w:val="single" w:color="auto" w:sz="6" w:space="0"/>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A-1-1</w:t>
            </w:r>
          </w:p>
        </w:tc>
        <w:tc>
          <w:tcPr>
            <w:tcW w:w="975"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 xml:space="preserve"> </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090105</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 xml:space="preserve"> </w:t>
            </w:r>
          </w:p>
        </w:tc>
        <w:tc>
          <w:tcPr>
            <w:tcW w:w="1114"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 xml:space="preserve"> </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公用设施营业网点用地</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 xml:space="preserve"> </w:t>
            </w:r>
          </w:p>
        </w:tc>
        <w:tc>
          <w:tcPr>
            <w:tcW w:w="1183" w:type="dxa"/>
            <w:tcBorders>
              <w:top w:val="single" w:color="auto" w:sz="6" w:space="0"/>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477.77</w:t>
            </w:r>
          </w:p>
        </w:tc>
        <w:tc>
          <w:tcPr>
            <w:tcW w:w="933" w:type="dxa"/>
            <w:tcBorders>
              <w:top w:val="single" w:color="auto" w:sz="6" w:space="0"/>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w:t>
            </w:r>
            <w:r>
              <w:rPr>
                <w:rFonts w:ascii="Calibri" w:hAnsi="Calibri"/>
                <w:vanish w:val="0"/>
                <w:color w:val="auto"/>
                <w:sz w:val="24"/>
                <w:szCs w:val="24"/>
                <w:vertAlign w:val="baseline"/>
              </w:rPr>
              <w:t>0.6</w:t>
            </w:r>
          </w:p>
        </w:tc>
        <w:tc>
          <w:tcPr>
            <w:tcW w:w="1002"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w:t>
            </w:r>
            <w:r>
              <w:rPr>
                <w:rFonts w:ascii="Calibri" w:hAnsi="Calibri"/>
                <w:vanish w:val="0"/>
                <w:color w:val="auto"/>
                <w:sz w:val="24"/>
                <w:szCs w:val="24"/>
                <w:vertAlign w:val="baseline"/>
              </w:rPr>
              <w:t>40</w:t>
            </w:r>
          </w:p>
        </w:tc>
        <w:tc>
          <w:tcPr>
            <w:tcW w:w="947"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w:t>
            </w:r>
          </w:p>
        </w:tc>
        <w:tc>
          <w:tcPr>
            <w:tcW w:w="849"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10</w:t>
            </w:r>
          </w:p>
        </w:tc>
        <w:tc>
          <w:tcPr>
            <w:tcW w:w="557"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加油站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trHeight w:val="674" w:hRule="atLeast"/>
          <w:hidden/>
        </w:trPr>
        <w:tc>
          <w:tcPr>
            <w:tcW w:w="766" w:type="dxa"/>
            <w:tcBorders>
              <w:top w:val="nil"/>
              <w:left w:val="single" w:color="auto" w:sz="6" w:space="0"/>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A-1-2</w:t>
            </w:r>
          </w:p>
        </w:tc>
        <w:tc>
          <w:tcPr>
            <w:tcW w:w="975"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 xml:space="preserve"> </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070102</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 xml:space="preserve"> </w:t>
            </w:r>
          </w:p>
        </w:tc>
        <w:tc>
          <w:tcPr>
            <w:tcW w:w="1114"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 xml:space="preserve"> </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二类城镇住宅用地</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 xml:space="preserve"> </w:t>
            </w:r>
          </w:p>
        </w:tc>
        <w:tc>
          <w:tcPr>
            <w:tcW w:w="1183"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15852.81</w:t>
            </w:r>
          </w:p>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 xml:space="preserve"> </w:t>
            </w:r>
          </w:p>
        </w:tc>
        <w:tc>
          <w:tcPr>
            <w:tcW w:w="933"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w:t>
            </w:r>
            <w:r>
              <w:rPr>
                <w:rFonts w:ascii="Calibri" w:hAnsi="Calibri"/>
                <w:vanish w:val="0"/>
                <w:color w:val="auto"/>
                <w:sz w:val="24"/>
                <w:szCs w:val="24"/>
                <w:vertAlign w:val="baseline"/>
              </w:rPr>
              <w:t>2.0</w:t>
            </w:r>
          </w:p>
        </w:tc>
        <w:tc>
          <w:tcPr>
            <w:tcW w:w="1002"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w:t>
            </w:r>
            <w:r>
              <w:rPr>
                <w:rFonts w:ascii="Calibri" w:hAnsi="Calibri"/>
                <w:vanish w:val="0"/>
                <w:color w:val="auto"/>
                <w:sz w:val="24"/>
                <w:szCs w:val="24"/>
                <w:vertAlign w:val="baseline"/>
              </w:rPr>
              <w:t>35</w:t>
            </w:r>
          </w:p>
        </w:tc>
        <w:tc>
          <w:tcPr>
            <w:tcW w:w="947"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hint="eastAsia" w:ascii="宋体" w:eastAsia="宋体"/>
                <w:vanish w:val="0"/>
                <w:color w:val="auto"/>
                <w:sz w:val="24"/>
                <w:szCs w:val="24"/>
                <w:vertAlign w:val="baseline"/>
              </w:rPr>
              <w:t>≥</w:t>
            </w:r>
            <w:r>
              <w:rPr>
                <w:rFonts w:ascii="Calibri" w:hAnsi="Calibri"/>
                <w:vanish w:val="0"/>
                <w:color w:val="auto"/>
                <w:sz w:val="24"/>
                <w:szCs w:val="24"/>
                <w:vertAlign w:val="baseline"/>
              </w:rPr>
              <w:t>30</w:t>
            </w:r>
          </w:p>
        </w:tc>
        <w:tc>
          <w:tcPr>
            <w:tcW w:w="849" w:type="dxa"/>
            <w:tcBorders>
              <w:top w:val="nil"/>
              <w:left w:val="nil"/>
              <w:bottom w:val="single" w:color="auto" w:sz="6" w:space="0"/>
              <w:right w:val="single" w:color="auto" w:sz="6" w:space="0"/>
              <w:tl2br w:val="nil"/>
              <w:tr2bl w:val="nil"/>
            </w:tcBorders>
            <w:vAlign w:val="center"/>
          </w:tcPr>
          <w:p>
            <w:pPr>
              <w:pStyle w:val="21"/>
              <w:pBdr>
                <w:top w:val="none" w:color="auto" w:sz="0" w:space="0"/>
                <w:left w:val="none" w:color="auto" w:sz="0" w:space="0"/>
                <w:bottom w:val="none" w:color="auto" w:sz="0" w:space="0"/>
                <w:right w:val="none" w:color="auto" w:sz="0" w:space="0"/>
              </w:pBdr>
              <w:wordWrap w:val="0"/>
              <w:bidi w:val="0"/>
              <w:spacing w:before="0" w:beforeAutospacing="0" w:after="0" w:afterAutospacing="0" w:line="240" w:lineRule="auto"/>
              <w:ind w:left="0" w:right="0" w:firstLine="0"/>
              <w:jc w:val="center"/>
              <w:rPr>
                <w:vanish w:val="0"/>
              </w:rPr>
            </w:pPr>
            <w:r>
              <w:rPr>
                <w:rFonts w:ascii="Calibri" w:hAnsi="Calibri"/>
                <w:vanish w:val="0"/>
                <w:color w:val="auto"/>
                <w:sz w:val="24"/>
                <w:szCs w:val="24"/>
                <w:vertAlign w:val="baseline"/>
              </w:rPr>
              <w:t>24</w:t>
            </w:r>
          </w:p>
        </w:tc>
        <w:tc>
          <w:tcPr>
            <w:tcW w:w="557" w:type="dxa"/>
            <w:tcBorders>
              <w:top w:val="nil"/>
              <w:left w:val="nil"/>
              <w:bottom w:val="single" w:color="auto" w:sz="6" w:space="0"/>
              <w:right w:val="single" w:color="auto" w:sz="6" w:space="0"/>
              <w:tl2br w:val="nil"/>
              <w:tr2bl w:val="nil"/>
            </w:tcBorders>
            <w:vAlign w:val="center"/>
          </w:tcPr>
          <w:p>
            <w:pPr>
              <w:wordWrap w:val="0"/>
              <w:spacing w:after="149" w:afterAutospacing="0"/>
              <w:ind w:left="0" w:right="0"/>
              <w:rPr>
                <w:vanish w:val="0"/>
              </w:rPr>
            </w:pPr>
          </w:p>
        </w:tc>
      </w:tr>
    </w:tbl>
    <w:p/>
    <w:p>
      <w:pPr>
        <w:pStyle w:val="21"/>
        <w:pBdr>
          <w:top w:val="none" w:color="auto" w:sz="0" w:space="0"/>
          <w:left w:val="none" w:color="auto" w:sz="0" w:space="0"/>
          <w:bottom w:val="none" w:color="auto" w:sz="0" w:space="0"/>
          <w:right w:val="none" w:color="auto" w:sz="0" w:space="0"/>
        </w:pBdr>
        <w:bidi w:val="0"/>
        <w:spacing w:before="0" w:beforeAutospacing="0" w:after="0" w:afterAutospacing="0" w:line="359" w:lineRule="atLeast"/>
        <w:ind w:left="0" w:right="344" w:firstLine="0"/>
        <w:rPr>
          <w:vanish w:val="0"/>
        </w:rPr>
      </w:pPr>
      <w:r>
        <w:rPr>
          <w:rFonts w:ascii="Calibri" w:hAnsi="Calibri"/>
          <w:vanish w:val="0"/>
          <w:color w:val="auto"/>
          <w:sz w:val="21"/>
          <w:szCs w:val="21"/>
          <w:vertAlign w:val="baseline"/>
        </w:rPr>
        <w:t xml:space="preserve"> </w:t>
      </w:r>
    </w:p>
    <w:p>
      <w:pPr>
        <w:pStyle w:val="2"/>
        <w:numPr>
          <w:numId w:val="0"/>
        </w:numPr>
        <w:pBdr>
          <w:top w:val="none" w:color="auto" w:sz="0" w:space="0"/>
          <w:left w:val="none" w:color="auto" w:sz="0" w:space="0"/>
          <w:bottom w:val="none" w:color="auto" w:sz="0" w:space="0"/>
          <w:right w:val="none" w:color="auto" w:sz="0" w:space="0"/>
        </w:pBdr>
        <w:bidi w:val="0"/>
        <w:spacing w:before="254" w:beforeAutospacing="0" w:after="0" w:afterAutospacing="0" w:line="719" w:lineRule="atLeast"/>
        <w:ind w:left="419" w:leftChars="0" w:right="0" w:rightChars="0"/>
        <w:jc w:val="center"/>
        <w:outlineLvl w:val="0"/>
        <w:rPr>
          <w:b/>
          <w:vanish w:val="0"/>
          <w:kern w:val="36"/>
          <w:sz w:val="48"/>
        </w:rPr>
      </w:pPr>
      <w:bookmarkStart w:id="26" w:name="_Toc19556"/>
      <w:bookmarkEnd w:id="26"/>
      <w:bookmarkStart w:id="27" w:name="_Toc11234"/>
      <w:bookmarkEnd w:id="27"/>
      <w:bookmarkStart w:id="28" w:name="_Toc21433"/>
      <w:bookmarkEnd w:id="28"/>
      <w:bookmarkStart w:id="29" w:name="_Toc31194"/>
      <w:bookmarkEnd w:id="29"/>
      <w:bookmarkStart w:id="30" w:name="_Toc19250"/>
      <w:bookmarkEnd w:id="30"/>
      <w:r>
        <w:rPr>
          <w:rStyle w:val="25"/>
          <w:rFonts w:hint="eastAsia" w:ascii="宋体" w:eastAsia="宋体"/>
          <w:b/>
          <w:vanish w:val="0"/>
          <w:color w:val="auto"/>
          <w:kern w:val="36"/>
          <w:sz w:val="32"/>
          <w:szCs w:val="32"/>
          <w:vertAlign w:val="baseline"/>
        </w:rPr>
        <w:t>第九章</w:t>
      </w:r>
      <w:r>
        <w:rPr>
          <w:rStyle w:val="25"/>
          <w:b/>
          <w:vanish w:val="0"/>
          <w:kern w:val="36"/>
          <w:sz w:val="48"/>
        </w:rPr>
        <w:t> </w:t>
      </w:r>
      <w:r>
        <w:rPr>
          <w:rStyle w:val="25"/>
          <w:rFonts w:hint="eastAsia" w:ascii="宋体" w:eastAsia="宋体"/>
          <w:b/>
          <w:vanish w:val="0"/>
          <w:color w:val="auto"/>
          <w:kern w:val="36"/>
          <w:sz w:val="32"/>
          <w:szCs w:val="32"/>
          <w:vertAlign w:val="baseline"/>
        </w:rPr>
        <w:t>规划实施与建议</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bookmarkStart w:id="31" w:name="_Toc1273"/>
      <w:bookmarkEnd w:id="31"/>
      <w:bookmarkStart w:id="32" w:name="_Toc539"/>
      <w:bookmarkEnd w:id="32"/>
      <w:bookmarkStart w:id="33" w:name="_Toc13421"/>
      <w:bookmarkEnd w:id="33"/>
      <w:bookmarkStart w:id="34" w:name="_Toc2377"/>
      <w:bookmarkEnd w:id="34"/>
      <w:r>
        <w:rPr>
          <w:rStyle w:val="25"/>
          <w:rFonts w:hint="eastAsia" w:ascii="宋体" w:eastAsia="宋体"/>
          <w:b/>
          <w:vanish w:val="0"/>
          <w:color w:val="auto"/>
          <w:sz w:val="29"/>
          <w:szCs w:val="29"/>
          <w:vertAlign w:val="baseline"/>
        </w:rPr>
        <w:t>第三十九条</w:t>
      </w:r>
      <w:r>
        <w:rPr>
          <w:rStyle w:val="25"/>
          <w:b/>
          <w:vanish w:val="0"/>
        </w:rPr>
        <w:t> </w:t>
      </w:r>
      <w:r>
        <w:rPr>
          <w:rStyle w:val="25"/>
          <w:rFonts w:hint="eastAsia" w:ascii="宋体" w:eastAsia="宋体"/>
          <w:b/>
          <w:vanish w:val="0"/>
          <w:color w:val="auto"/>
          <w:sz w:val="29"/>
          <w:szCs w:val="29"/>
          <w:vertAlign w:val="baseline"/>
        </w:rPr>
        <w:t>实施措施</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1、严格贯彻《中华人民共和国城乡规划法》，本规划经批准后，规划区内的土地利用和各项建设必须符合本规划控制要求，服从规划管理，保证本规划的落实。</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2、规划区范围内所有建设项目必须在地质详细勘察和环境影响评价的前提下，依据勘察资料、地质灾害评估报告及环评报告的建议和结果实施。</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3、规划区土地的统征及拆迁工作，应结合本地实际情况进行，妥善安置拆迁人口，解决好对象群众的居住和就业问题。</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4、加强规划管理队伍的建设，加强对规划管理队伍的领导，充分发挥规划管理部门的职能作用。明确各级政府部门实施规划的权利和义务，建立违法、违规、违章的责任追究机制，提高规划的权威性和严肃性。</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第四十条</w:t>
      </w:r>
      <w:r>
        <w:rPr>
          <w:rStyle w:val="25"/>
          <w:b/>
          <w:vanish w:val="0"/>
        </w:rPr>
        <w:t> </w:t>
      </w:r>
      <w:r>
        <w:rPr>
          <w:rStyle w:val="25"/>
          <w:rFonts w:hint="eastAsia" w:ascii="宋体" w:eastAsia="宋体"/>
          <w:b/>
          <w:vanish w:val="0"/>
          <w:color w:val="auto"/>
          <w:sz w:val="29"/>
          <w:szCs w:val="29"/>
          <w:vertAlign w:val="baseline"/>
        </w:rPr>
        <w:t>实施建议</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（1）大力宣传规划，提高公众对规划的参与意识和监督意识，增强民众支持规划、服从规划的自觉性。</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（2）地块开发应在本单元规划的指导下按市场化、社会化的要求操作，并建立有效的管理机构和制度，以加强区内的建设和管理。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（3）按照市场经济原则，以经济杠杆和改革调控来推动本规划区的开发建设和实施。多渠道筹集资金，探索产业化经营的途径，适应市场经济发展的要求。</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（4）后续与乡镇国土空间规划编制单位衔接，纳入空间规划一张图管理。</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479"/>
        <w:rPr>
          <w:vanish w:val="0"/>
        </w:rPr>
      </w:pPr>
      <w:r>
        <w:rPr>
          <w:rFonts w:hint="eastAsia" w:ascii="宋体" w:eastAsia="宋体"/>
          <w:vanish w:val="0"/>
          <w:color w:val="auto"/>
          <w:sz w:val="29"/>
          <w:szCs w:val="29"/>
          <w:vertAlign w:val="baseline"/>
        </w:rPr>
        <w:t>（5）本规划经钦北区人民政府批准后，自公布之日起施行，规划成果不得擅自随意更改。在规划实施过程中，如有确实需要修改的内容，应按《中华人民共和国城乡规划法》第四章之规定执行。</w:t>
      </w:r>
    </w:p>
    <w:p>
      <w:pPr>
        <w:pStyle w:val="2"/>
        <w:numPr>
          <w:numId w:val="0"/>
        </w:numPr>
        <w:pBdr>
          <w:top w:val="none" w:color="auto" w:sz="0" w:space="0"/>
          <w:left w:val="none" w:color="auto" w:sz="0" w:space="0"/>
          <w:bottom w:val="none" w:color="auto" w:sz="0" w:space="0"/>
          <w:right w:val="none" w:color="auto" w:sz="0" w:space="0"/>
        </w:pBdr>
        <w:bidi w:val="0"/>
        <w:spacing w:before="254" w:beforeAutospacing="0" w:after="0" w:afterAutospacing="0" w:line="719" w:lineRule="atLeast"/>
        <w:ind w:left="419" w:leftChars="0" w:right="0" w:rightChars="0"/>
        <w:jc w:val="center"/>
        <w:outlineLvl w:val="0"/>
        <w:rPr>
          <w:b/>
          <w:vanish w:val="0"/>
          <w:kern w:val="36"/>
          <w:sz w:val="48"/>
        </w:rPr>
      </w:pPr>
      <w:bookmarkStart w:id="35" w:name="_Toc21479"/>
      <w:bookmarkEnd w:id="35"/>
      <w:r>
        <w:rPr>
          <w:rStyle w:val="25"/>
          <w:rFonts w:hint="eastAsia" w:ascii="宋体" w:eastAsia="宋体"/>
          <w:b/>
          <w:vanish w:val="0"/>
          <w:color w:val="auto"/>
          <w:kern w:val="36"/>
          <w:sz w:val="32"/>
          <w:szCs w:val="32"/>
          <w:vertAlign w:val="baseline"/>
        </w:rPr>
        <w:t>第十章 附则</w:t>
      </w:r>
      <w:bookmarkStart w:id="36" w:name="_GoBack"/>
      <w:bookmarkEnd w:id="36"/>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第四十一条  成果组成</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554"/>
        <w:rPr>
          <w:vanish w:val="0"/>
        </w:rPr>
      </w:pPr>
      <w:r>
        <w:rPr>
          <w:rFonts w:hint="eastAsia" w:ascii="宋体" w:eastAsia="宋体"/>
          <w:vanish w:val="0"/>
          <w:color w:val="auto"/>
          <w:sz w:val="29"/>
          <w:szCs w:val="29"/>
          <w:vertAlign w:val="baseline"/>
        </w:rPr>
        <w:t>本控规成果由文本、图件、附件及数据库组成。其中，图件包含图纸、图则；附件包含说明书、相关文件汇编等内容。文本和图则具有同等法律效力，两者同时使用，不可分割。</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第四十二条</w:t>
      </w:r>
      <w:r>
        <w:rPr>
          <w:rStyle w:val="25"/>
          <w:b/>
          <w:vanish w:val="0"/>
        </w:rPr>
        <w:t> </w:t>
      </w:r>
      <w:r>
        <w:rPr>
          <w:rStyle w:val="25"/>
          <w:rFonts w:hint="eastAsia" w:ascii="宋体" w:eastAsia="宋体"/>
          <w:b/>
          <w:vanish w:val="0"/>
          <w:color w:val="auto"/>
          <w:sz w:val="29"/>
          <w:szCs w:val="29"/>
          <w:vertAlign w:val="baseline"/>
        </w:rPr>
        <w:t>规划生效</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554"/>
        <w:rPr>
          <w:vanish w:val="0"/>
        </w:rPr>
      </w:pPr>
      <w:r>
        <w:rPr>
          <w:rFonts w:hint="eastAsia" w:ascii="宋体" w:eastAsia="宋体"/>
          <w:vanish w:val="0"/>
          <w:color w:val="auto"/>
          <w:sz w:val="29"/>
          <w:szCs w:val="29"/>
          <w:vertAlign w:val="baseline"/>
        </w:rPr>
        <w:t>本规划自批准之日起生效执行。</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419" w:lineRule="atLeast"/>
        <w:ind w:left="119" w:right="344" w:firstLine="554"/>
        <w:rPr>
          <w:vanish w:val="0"/>
        </w:rPr>
      </w:pPr>
      <w:r>
        <w:rPr>
          <w:rStyle w:val="25"/>
          <w:rFonts w:hint="eastAsia" w:ascii="宋体" w:eastAsia="宋体"/>
          <w:b/>
          <w:vanish w:val="0"/>
          <w:color w:val="auto"/>
          <w:sz w:val="29"/>
          <w:szCs w:val="29"/>
          <w:vertAlign w:val="baseline"/>
        </w:rPr>
        <w:t>第四十三条  规划修改</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554"/>
        <w:rPr>
          <w:vanish w:val="0"/>
        </w:rPr>
      </w:pPr>
      <w:r>
        <w:rPr>
          <w:rFonts w:hint="eastAsia" w:ascii="宋体" w:eastAsia="宋体"/>
          <w:vanish w:val="0"/>
          <w:color w:val="auto"/>
          <w:sz w:val="29"/>
          <w:szCs w:val="29"/>
          <w:vertAlign w:val="baseline"/>
        </w:rPr>
        <w:t>本规划的调整、修改，必须按《中华人民共和国城乡规划法》规定的有关程序进行。</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0"/>
        <w:rPr>
          <w:vanish w:val="0"/>
        </w:rPr>
      </w:pPr>
      <w:r>
        <w:rPr>
          <w:rFonts w:hint="eastAsia" w:ascii="宋体" w:eastAsia="宋体"/>
          <w:vanish w:val="0"/>
          <w:color w:val="auto"/>
          <w:sz w:val="24"/>
          <w:szCs w:val="24"/>
          <w:vertAlign w:val="baseline"/>
        </w:rPr>
        <w:t xml:space="preserve"> </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0"/>
        <w:rPr>
          <w:vanish w:val="0"/>
        </w:rPr>
      </w:pPr>
      <w:r>
        <w:rPr>
          <w:rFonts w:hint="eastAsia" w:ascii="宋体" w:eastAsia="宋体"/>
          <w:vanish w:val="0"/>
          <w:color w:val="auto"/>
          <w:sz w:val="24"/>
          <w:szCs w:val="24"/>
          <w:vertAlign w:val="baseline"/>
        </w:rPr>
        <w:t xml:space="preserve"> </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0"/>
        <w:rPr>
          <w:vanish w:val="0"/>
        </w:rPr>
      </w:pPr>
      <w:r>
        <w:rPr>
          <w:rFonts w:hint="eastAsia" w:ascii="宋体" w:eastAsia="宋体"/>
          <w:vanish w:val="0"/>
          <w:color w:val="auto"/>
          <w:sz w:val="24"/>
          <w:szCs w:val="24"/>
          <w:vertAlign w:val="baseline"/>
        </w:rPr>
        <w:t xml:space="preserve"> </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0"/>
        <w:rPr>
          <w:vanish w:val="0"/>
        </w:rPr>
      </w:pPr>
      <w:r>
        <w:rPr>
          <w:rFonts w:hint="eastAsia" w:ascii="宋体" w:eastAsia="宋体"/>
          <w:vanish w:val="0"/>
          <w:color w:val="auto"/>
          <w:sz w:val="24"/>
          <w:szCs w:val="24"/>
          <w:vertAlign w:val="baseline"/>
        </w:rPr>
        <w:t xml:space="preserve"> </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0"/>
        <w:rPr>
          <w:vanish w:val="0"/>
        </w:rPr>
      </w:pPr>
      <w:r>
        <w:rPr>
          <w:rFonts w:hint="eastAsia" w:ascii="宋体" w:eastAsia="宋体"/>
          <w:vanish w:val="0"/>
          <w:color w:val="auto"/>
          <w:sz w:val="24"/>
          <w:szCs w:val="24"/>
          <w:vertAlign w:val="baseline"/>
        </w:rPr>
        <w:t xml:space="preserve"> </w:t>
      </w:r>
    </w:p>
    <w:p>
      <w:pPr>
        <w:pStyle w:val="21"/>
        <w:pBdr>
          <w:top w:val="none" w:color="auto" w:sz="0" w:space="0"/>
          <w:left w:val="none" w:color="auto" w:sz="0" w:space="0"/>
          <w:bottom w:val="none" w:color="auto" w:sz="0" w:space="0"/>
          <w:right w:val="none" w:color="auto" w:sz="0" w:space="0"/>
        </w:pBdr>
        <w:bidi w:val="0"/>
        <w:spacing w:before="0" w:beforeAutospacing="0" w:after="0" w:afterAutospacing="0" w:line="240" w:lineRule="auto"/>
        <w:ind w:left="0" w:right="0" w:firstLine="0"/>
        <w:rPr>
          <w:vanish w:val="0"/>
        </w:rPr>
      </w:pPr>
      <w:r>
        <w:rPr>
          <w:rFonts w:hint="eastAsia" w:ascii="宋体" w:eastAsia="宋体"/>
          <w:vanish w:val="0"/>
          <w:color w:val="auto"/>
          <w:sz w:val="29"/>
          <w:szCs w:val="29"/>
          <w:vertAlign w:val="baseline"/>
        </w:rPr>
        <w:t xml:space="preserve"> </w:t>
      </w:r>
    </w:p>
    <w:p>
      <w:pPr>
        <w:pStyle w:val="14"/>
        <w:rPr>
          <w:rFonts w:hint="eastAsia" w:ascii="宋体" w:hAnsi="宋体" w:eastAsia="宋体" w:cs="宋体"/>
          <w:color w:val="auto"/>
          <w:kern w:val="0"/>
          <w:sz w:val="28"/>
          <w:szCs w:val="28"/>
          <w:lang w:eastAsia="zh-CN"/>
        </w:rPr>
      </w:pPr>
      <w:r>
        <w:rPr>
          <w:vanish w:val="0"/>
        </w:rPr>
        <w:br w:type="textWrapping"/>
      </w:r>
    </w:p>
    <w:sectPr>
      <w:footerReference r:id="rId5" w:type="default"/>
      <w:pgSz w:w="11906" w:h="16838"/>
      <w:pgMar w:top="1440" w:right="1800" w:bottom="1440" w:left="1800" w:header="851" w:footer="992" w:gutter="0"/>
      <w:pgNumType w:start="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auto"/>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mc:AlternateContent>
        <mc:Choice Requires="wps">
          <w:drawing>
            <wp:anchor distT="0" distB="0" distL="113665" distR="113665" simplePos="0" relativeHeight="1024" behindDoc="1" locked="0" layoutInCell="1" allowOverlap="1">
              <wp:simplePos x="0" y="0"/>
              <wp:positionH relativeFrom="page">
                <wp:posOffset>3695700</wp:posOffset>
              </wp:positionH>
              <wp:positionV relativeFrom="page">
                <wp:posOffset>9885045</wp:posOffset>
              </wp:positionV>
              <wp:extent cx="167005" cy="139700"/>
              <wp:effectExtent l="0" t="0" r="0" b="0"/>
              <wp:wrapNone/>
              <wp:docPr id="7" name="文本框 5"/>
              <wp:cNvGraphicFramePr/>
              <a:graphic xmlns:a="http://schemas.openxmlformats.org/drawingml/2006/main">
                <a:graphicData uri="http://schemas.microsoft.com/office/word/2010/wordprocessingShape">
                  <wps:wsp>
                    <wps:cNvSpPr/>
                    <wps:spPr>
                      <a:xfrm>
                        <a:off x="0" y="0"/>
                        <a:ext cx="167005" cy="139699"/>
                      </a:xfrm>
                      <a:prstGeom prst="rect">
                        <a:avLst/>
                      </a:prstGeom>
                      <a:noFill/>
                      <a:ln w="9525" cap="flat" cmpd="sng">
                        <a:noFill/>
                        <a:prstDash val="solid"/>
                        <a:round/>
                      </a:ln>
                    </wps:spPr>
                    <wps:txbx>
                      <w:txbxContent>
                        <w:p>
                          <w:pPr>
                            <w:spacing w:line="203" w:lineRule="exact"/>
                            <w:ind w:left="40"/>
                            <w:jc w:val="left"/>
                            <w:rPr>
                              <w:rFonts w:ascii="Calibri" w:hAnsi="Calibri"/>
                              <w:sz w:val="18"/>
                            </w:rPr>
                          </w:pPr>
                          <w:r>
                            <w:rPr>
                              <w:rFonts w:ascii="Calibri" w:hAnsi="Calibri"/>
                              <w:sz w:val="18"/>
                            </w:rPr>
                            <w:fldChar w:fldCharType="begin"/>
                          </w:r>
                          <w:r>
                            <w:rPr>
                              <w:rFonts w:ascii="Calibri" w:hAnsi="Calibri"/>
                              <w:sz w:val="18"/>
                            </w:rPr>
                            <w:instrText xml:space="preserve"> PAGE </w:instrText>
                          </w:r>
                          <w:r>
                            <w:fldChar w:fldCharType="separate"/>
                          </w:r>
                          <w:r>
                            <w:rPr>
                              <w:rFonts w:ascii="Calibri" w:hAnsi="Calibri"/>
                              <w:sz w:val="18"/>
                            </w:rPr>
                            <w:t>24</w:t>
                          </w:r>
                          <w:r>
                            <w:fldChar w:fldCharType="end"/>
                          </w:r>
                        </w:p>
                      </w:txbxContent>
                    </wps:txbx>
                    <wps:bodyPr vert="horz" wrap="square" lIns="0" tIns="0" rIns="0" bIns="0" anchor="t" anchorCtr="0" upright="1">
                      <a:noAutofit/>
                    </wps:bodyPr>
                  </wps:wsp>
                </a:graphicData>
              </a:graphic>
            </wp:anchor>
          </w:drawing>
        </mc:Choice>
        <mc:Fallback>
          <w:pict>
            <v:rect id="文本框 5" o:spid="_x0000_s1026" o:spt="1" style="position:absolute;left:0pt;margin-left:291pt;margin-top:778.35pt;height:11pt;width:13.15pt;mso-position-horizontal-relative:page;mso-position-vertical-relative:page;z-index:-503315456;mso-width-relative:page;mso-height-relative:page;" filled="f" stroked="f" coordsize="21600,21600" o:gfxdata="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O9F3PdAAAADQEAAA8AAAAAAAAAAQAgAAAAIgAAAGRycy9kb3ducmV2LnhtbFBLAQIUABQAAAAI&#10;AIdO4kB77egF6AEAAKgDAAAOAAAAAAAAAAEAIAAAACwBAABkcnMvZTJvRG9jLnhtbFBLBQYAAAAA&#10;BgAGAFkBAACGBQAAAAA=&#10;">
              <v:fill on="f" focussize="0,0"/>
              <v:stroke on="f" joinstyle="round"/>
              <v:imagedata o:title=""/>
              <o:lock v:ext="edit" aspectratio="f"/>
              <v:textbox inset="0mm,0mm,0mm,0mm">
                <w:txbxContent>
                  <w:p>
                    <w:pPr>
                      <w:spacing w:line="203" w:lineRule="exact"/>
                      <w:ind w:left="40"/>
                      <w:jc w:val="left"/>
                      <w:rPr>
                        <w:rFonts w:ascii="Calibri" w:hAnsi="Calibri"/>
                        <w:sz w:val="18"/>
                      </w:rPr>
                    </w:pPr>
                    <w:r>
                      <w:rPr>
                        <w:rFonts w:ascii="Calibri" w:hAnsi="Calibri"/>
                        <w:sz w:val="18"/>
                      </w:rPr>
                      <w:fldChar w:fldCharType="begin"/>
                    </w:r>
                    <w:r>
                      <w:rPr>
                        <w:rFonts w:ascii="Calibri" w:hAnsi="Calibri"/>
                        <w:sz w:val="18"/>
                      </w:rPr>
                      <w:instrText xml:space="preserve"> PAGE </w:instrText>
                    </w:r>
                    <w:r>
                      <w:fldChar w:fldCharType="separate"/>
                    </w:r>
                    <w:r>
                      <w:rPr>
                        <w:rFonts w:ascii="Calibri" w:hAnsi="Calibri"/>
                        <w:sz w:val="18"/>
                      </w:rPr>
                      <w:t>24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eastAsia="宋体"/>
        <w:lang w:val="en-US" w:eastAsia="zh-CN"/>
      </w:rPr>
    </w:pPr>
    <w:r>
      <w:rPr>
        <w:rFonts w:hint="eastAsia"/>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B24BBB"/>
    <w:multiLevelType w:val="multilevel"/>
    <w:tmpl w:val="B3B24BBB"/>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GIxOWNlZTBkZTU1Zjc0NjkxMjNmYmQ3NGVkZjdkOWQifQ=="/>
  </w:docVars>
  <w:rsids>
    <w:rsidRoot w:val="00000000"/>
    <w:rsid w:val="76A061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Arial"/>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Times New Roman" w:eastAsia="宋体" w:cs="Arial"/>
      <w:kern w:val="2"/>
      <w:sz w:val="21"/>
      <w:szCs w:val="24"/>
      <w:lang w:val="en-US" w:eastAsia="zh-CN" w:bidi="ar-SA"/>
    </w:rPr>
  </w:style>
  <w:style w:type="paragraph" w:styleId="2">
    <w:name w:val="heading 1"/>
    <w:basedOn w:val="1"/>
    <w:next w:val="1"/>
    <w:uiPriority w:val="0"/>
    <w:pPr>
      <w:keepNext/>
      <w:keepLines/>
      <w:widowControl w:val="0"/>
      <w:numPr>
        <w:ilvl w:val="0"/>
        <w:numId w:val="1"/>
      </w:numPr>
      <w:spacing w:line="576" w:lineRule="auto"/>
      <w:outlineLvl w:val="0"/>
    </w:pPr>
    <w:rPr>
      <w:b/>
      <w:kern w:val="44"/>
      <w:sz w:val="44"/>
    </w:rPr>
  </w:style>
  <w:style w:type="paragraph" w:styleId="3">
    <w:name w:val="heading 2"/>
    <w:basedOn w:val="1"/>
    <w:next w:val="1"/>
    <w:uiPriority w:val="0"/>
    <w:pPr>
      <w:keepNext/>
      <w:keepLines/>
      <w:widowControl w:val="0"/>
      <w:numPr>
        <w:ilvl w:val="1"/>
        <w:numId w:val="1"/>
      </w:numPr>
      <w:spacing w:line="413" w:lineRule="auto"/>
      <w:outlineLvl w:val="1"/>
    </w:pPr>
    <w:rPr>
      <w:rFonts w:ascii="Arial" w:hAnsi="Arial" w:eastAsia="黑体"/>
      <w:b/>
      <w:sz w:val="32"/>
    </w:rPr>
  </w:style>
  <w:style w:type="paragraph" w:styleId="4">
    <w:name w:val="heading 3"/>
    <w:basedOn w:val="1"/>
    <w:next w:val="1"/>
    <w:uiPriority w:val="0"/>
    <w:pPr>
      <w:keepNext/>
      <w:keepLines/>
      <w:widowControl w:val="0"/>
      <w:numPr>
        <w:ilvl w:val="2"/>
        <w:numId w:val="1"/>
      </w:numPr>
      <w:spacing w:line="413" w:lineRule="auto"/>
      <w:outlineLvl w:val="2"/>
    </w:pPr>
    <w:rPr>
      <w:b/>
      <w:sz w:val="32"/>
    </w:rPr>
  </w:style>
  <w:style w:type="paragraph" w:styleId="5">
    <w:name w:val="heading 4"/>
    <w:basedOn w:val="1"/>
    <w:next w:val="1"/>
    <w:uiPriority w:val="0"/>
    <w:pPr>
      <w:keepNext/>
      <w:keepLines/>
      <w:widowControl w:val="0"/>
      <w:numPr>
        <w:ilvl w:val="3"/>
        <w:numId w:val="1"/>
      </w:numPr>
      <w:spacing w:line="372" w:lineRule="auto"/>
      <w:outlineLvl w:val="3"/>
    </w:pPr>
    <w:rPr>
      <w:rFonts w:ascii="Arial" w:hAnsi="Arial" w:eastAsia="黑体"/>
      <w:b/>
      <w:sz w:val="28"/>
    </w:rPr>
  </w:style>
  <w:style w:type="paragraph" w:styleId="6">
    <w:name w:val="heading 5"/>
    <w:basedOn w:val="1"/>
    <w:next w:val="1"/>
    <w:uiPriority w:val="0"/>
    <w:pPr>
      <w:keepNext/>
      <w:keepLines/>
      <w:widowControl w:val="0"/>
      <w:numPr>
        <w:ilvl w:val="4"/>
        <w:numId w:val="1"/>
      </w:numPr>
      <w:spacing w:line="372" w:lineRule="auto"/>
      <w:outlineLvl w:val="4"/>
    </w:pPr>
    <w:rPr>
      <w:b/>
      <w:sz w:val="28"/>
    </w:rPr>
  </w:style>
  <w:style w:type="paragraph" w:styleId="7">
    <w:name w:val="heading 6"/>
    <w:basedOn w:val="1"/>
    <w:next w:val="1"/>
    <w:uiPriority w:val="0"/>
    <w:pPr>
      <w:keepNext/>
      <w:keepLines/>
      <w:widowControl w:val="0"/>
      <w:numPr>
        <w:ilvl w:val="5"/>
        <w:numId w:val="1"/>
      </w:numPr>
      <w:spacing w:line="317" w:lineRule="auto"/>
      <w:outlineLvl w:val="5"/>
    </w:pPr>
    <w:rPr>
      <w:rFonts w:ascii="Arial" w:hAnsi="Arial" w:eastAsia="黑体"/>
      <w:b/>
      <w:sz w:val="24"/>
    </w:rPr>
  </w:style>
  <w:style w:type="paragraph" w:styleId="8">
    <w:name w:val="heading 7"/>
    <w:basedOn w:val="1"/>
    <w:next w:val="1"/>
    <w:qFormat/>
    <w:uiPriority w:val="0"/>
    <w:pPr>
      <w:keepNext/>
      <w:keepLines/>
      <w:widowControl w:val="0"/>
      <w:numPr>
        <w:ilvl w:val="6"/>
        <w:numId w:val="1"/>
      </w:numPr>
      <w:spacing w:line="317" w:lineRule="auto"/>
      <w:outlineLvl w:val="6"/>
    </w:pPr>
    <w:rPr>
      <w:b/>
      <w:sz w:val="24"/>
    </w:rPr>
  </w:style>
  <w:style w:type="paragraph" w:styleId="9">
    <w:name w:val="heading 8"/>
    <w:basedOn w:val="1"/>
    <w:next w:val="1"/>
    <w:uiPriority w:val="0"/>
    <w:pPr>
      <w:keepNext/>
      <w:keepLines/>
      <w:widowControl w:val="0"/>
      <w:numPr>
        <w:ilvl w:val="7"/>
        <w:numId w:val="1"/>
      </w:numPr>
      <w:spacing w:line="317" w:lineRule="auto"/>
      <w:outlineLvl w:val="7"/>
    </w:pPr>
    <w:rPr>
      <w:rFonts w:ascii="Arial" w:hAnsi="Arial" w:eastAsia="黑体"/>
      <w:sz w:val="24"/>
    </w:rPr>
  </w:style>
  <w:style w:type="paragraph" w:styleId="10">
    <w:name w:val="heading 9"/>
    <w:basedOn w:val="1"/>
    <w:next w:val="1"/>
    <w:uiPriority w:val="0"/>
    <w:pPr>
      <w:keepNext/>
      <w:keepLines/>
      <w:widowControl w:val="0"/>
      <w:numPr>
        <w:ilvl w:val="8"/>
        <w:numId w:val="1"/>
      </w:numPr>
      <w:spacing w:line="317" w:lineRule="auto"/>
      <w:outlineLvl w:val="8"/>
    </w:pPr>
    <w:rPr>
      <w:rFonts w:ascii="Arial" w:hAnsi="Arial" w:eastAsia="黑体"/>
    </w:rPr>
  </w:style>
  <w:style w:type="character" w:default="1" w:styleId="24">
    <w:name w:val="Default Paragraph Font"/>
    <w:uiPriority w:val="0"/>
  </w:style>
  <w:style w:type="table" w:default="1" w:styleId="23">
    <w:name w:val="Normal Table"/>
    <w:semiHidden/>
    <w:uiPriority w:val="0"/>
    <w:tblPr>
      <w:tblLayout w:type="fixed"/>
      <w:tblCellMar>
        <w:top w:w="0" w:type="dxa"/>
        <w:left w:w="108" w:type="dxa"/>
        <w:bottom w:w="0" w:type="dxa"/>
        <w:right w:w="108" w:type="dxa"/>
      </w:tblCellMar>
    </w:tblPr>
  </w:style>
  <w:style w:type="paragraph" w:styleId="11">
    <w:name w:val="Normal Indent"/>
    <w:basedOn w:val="1"/>
    <w:qFormat/>
    <w:uiPriority w:val="0"/>
    <w:pPr>
      <w:ind w:firstLine="420"/>
    </w:pPr>
  </w:style>
  <w:style w:type="paragraph" w:styleId="12">
    <w:name w:val="Document Map"/>
    <w:basedOn w:val="1"/>
    <w:qFormat/>
    <w:uiPriority w:val="0"/>
    <w:rPr>
      <w:rFonts w:ascii="宋体" w:eastAsia="宋体"/>
      <w:sz w:val="18"/>
      <w:szCs w:val="18"/>
    </w:rPr>
  </w:style>
  <w:style w:type="paragraph" w:styleId="13">
    <w:name w:val="annotation text"/>
    <w:basedOn w:val="1"/>
    <w:uiPriority w:val="0"/>
    <w:pPr>
      <w:jc w:val="left"/>
    </w:pPr>
  </w:style>
  <w:style w:type="paragraph" w:styleId="14">
    <w:name w:val="Body Text"/>
    <w:basedOn w:val="1"/>
    <w:next w:val="1"/>
    <w:uiPriority w:val="0"/>
    <w:rPr>
      <w:rFonts w:ascii="宋体" w:hAnsi="宋体" w:eastAsia="宋体" w:cs="宋体"/>
      <w:sz w:val="24"/>
      <w:lang w:val="zh-CN" w:bidi="zh-CN"/>
    </w:rPr>
  </w:style>
  <w:style w:type="paragraph" w:styleId="15">
    <w:name w:val="Plain Text"/>
    <w:basedOn w:val="1"/>
    <w:uiPriority w:val="0"/>
    <w:rPr>
      <w:rFonts w:hAnsi="Courier New"/>
      <w:szCs w:val="20"/>
    </w:rPr>
  </w:style>
  <w:style w:type="paragraph" w:styleId="16">
    <w:name w:val="Balloon Text"/>
    <w:basedOn w:val="1"/>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pPr>
    <w:rPr>
      <w:sz w:val="18"/>
    </w:rPr>
  </w:style>
  <w:style w:type="paragraph" w:styleId="19">
    <w:name w:val="toc 1"/>
    <w:basedOn w:val="1"/>
    <w:next w:val="1"/>
    <w:qFormat/>
    <w:uiPriority w:val="0"/>
    <w:rPr>
      <w:rFonts w:ascii="Calibri" w:hAnsi="Calibri"/>
      <w:sz w:val="28"/>
    </w:rPr>
  </w:style>
  <w:style w:type="paragraph" w:styleId="20">
    <w:name w:val="toc 2"/>
    <w:basedOn w:val="1"/>
    <w:next w:val="1"/>
    <w:uiPriority w:val="0"/>
    <w:pPr>
      <w:ind w:left="200" w:leftChars="200"/>
    </w:pPr>
  </w:style>
  <w:style w:type="paragraph" w:styleId="21">
    <w:name w:val="Normal (Web)"/>
    <w:basedOn w:val="1"/>
    <w:next w:val="11"/>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bidi="ar-SA"/>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character" w:styleId="25">
    <w:name w:val="Strong"/>
    <w:qFormat/>
    <w:uiPriority w:val="0"/>
    <w:rPr>
      <w:b/>
      <w:bCs/>
    </w:rPr>
  </w:style>
  <w:style w:type="paragraph" w:customStyle="1" w:styleId="26">
    <w:name w:val="Default"/>
    <w:next w:val="1"/>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Table Paragraph"/>
    <w:basedOn w:val="1"/>
    <w:uiPriority w:val="0"/>
    <w:rPr>
      <w:lang w:val="zh-CN" w:bidi="zh-CN"/>
    </w:rPr>
  </w:style>
  <w:style w:type="paragraph" w:styleId="28">
    <w:name w:val="List Paragraph"/>
    <w:basedOn w:val="1"/>
    <w:uiPriority w:val="0"/>
    <w:pPr>
      <w:ind w:firstLine="200" w:firstLineChars="200"/>
    </w:pPr>
  </w:style>
  <w:style w:type="character" w:customStyle="1" w:styleId="29">
    <w:name w:val="font11"/>
    <w:basedOn w:val="24"/>
    <w:uiPriority w:val="0"/>
    <w:rPr>
      <w:rFonts w:ascii="宋体" w:hAnsi="宋体" w:eastAsia="宋体" w:cs="宋体"/>
      <w:color w:val="000000"/>
      <w:sz w:val="22"/>
      <w:szCs w:val="22"/>
      <w:u w:val="none"/>
      <w:vertAlign w:val="superscript"/>
    </w:rPr>
  </w:style>
  <w:style w:type="paragraph" w:customStyle="1" w:styleId="30">
    <w:name w:val="6其他格式"/>
    <w:basedOn w:val="1"/>
    <w:uiPriority w:val="0"/>
    <w:pPr>
      <w:adjustRightInd w:val="0"/>
      <w:snapToGrid w:val="0"/>
      <w:spacing w:after="156" w:line="360" w:lineRule="auto"/>
      <w:ind w:firstLine="200" w:firstLineChars="200"/>
    </w:pPr>
    <w:rPr>
      <w:rFonts w:ascii="Calibri" w:hAnsi="Calibri" w:eastAsia="仿宋_GB2312"/>
      <w:sz w:val="24"/>
      <w:szCs w:val="22"/>
    </w:rPr>
  </w:style>
  <w:style w:type="paragraph" w:customStyle="1" w:styleId="31">
    <w:name w:val="6正文文本"/>
    <w:basedOn w:val="14"/>
    <w:uiPriority w:val="0"/>
    <w:pPr>
      <w:adjustRightInd w:val="0"/>
      <w:snapToGrid w:val="0"/>
      <w:spacing w:line="360" w:lineRule="auto"/>
      <w:ind w:firstLine="200" w:firstLineChars="200"/>
      <w:jc w:val="both"/>
    </w:pPr>
    <w:rPr>
      <w:rFonts w:ascii="Times New Roman" w:hAnsi="Times New Roman" w:eastAsia="宋体"/>
      <w:sz w:val="21"/>
      <w:szCs w:val="22"/>
    </w:rPr>
  </w:style>
  <w:style w:type="paragraph" w:customStyle="1" w:styleId="32">
    <w:name w:val="6表格内容"/>
    <w:basedOn w:val="1"/>
    <w:uiPriority w:val="0"/>
    <w:pPr>
      <w:adjustRightInd w:val="0"/>
      <w:snapToGrid w:val="0"/>
    </w:pPr>
    <w:rPr>
      <w:rFonts w:eastAsia="仿宋_GB231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29</Pages>
  <Words>0</Words>
  <Characters>8099</Characters>
  <Lines>0</Lines>
  <Paragraphs>367</Paragraphs>
  <TotalTime>8</TotalTime>
  <ScaleCrop>false</ScaleCrop>
  <LinksUpToDate>false</LinksUpToDate>
  <CharactersWithSpaces>10799</CharactersWithSpaces>
  <Application>WPS Office_11.8.2.8696_F1E327BC-269C-435d-A152-05C5408002CA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2023-08-09T07:06:00Z</dcterms:created>
  <dc:creator>Administrator</dc:creator>
  <cp:lastModifiedBy>Administrator</cp:lastModifiedBy>
  <dcterms:modified xsi:type="dcterms:W3CDTF">2026-01-06T07:55:15Z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C284C7C90DDF477890D8ACD0E8DE8D4A_13</vt:lpwstr>
  </property>
  <property fmtid="{D5CDD505-2E9C-101B-9397-08002B2CF9AE}" pid="4" name="KSOTemplateDocerSaveRecord">
    <vt:lpwstr>eyJoZGlkIjoiZDc1OGQzY2ZmNTYwYjNiMzQzOTQzZWQ3ZTUzMGMyNTkiLCJ1c2VySWQiOiI5NTk0NzI4MTIifQ==</vt:lpwstr>
  </property>
</Properties>
</file>