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body>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ind w:firstLineChars="200" w:firstLine="720"/>
        <w:jc w:val="center"/>
        <w:rPr>
          <w:rFonts w:ascii="宋体" w:eastAsia="宋体" w:cs="宋体" w:hAnsi="宋体"/>
          <w:b/>
          <w:bCs/>
          <w:color w:val="auto"/>
          <w:kern w:val="0"/>
          <w:sz w:val="36"/>
          <w:szCs w:val="36"/>
        </w:rPr>
      </w:pPr>
    </w:p>
    <w:p>
      <w:pPr>
        <w:widowControl/>
        <w:jc w:val="center"/>
        <w:rPr>
          <w:rFonts w:ascii="宋体" w:eastAsia="宋体" w:cs="宋体" w:hAnsi="宋体" w:hint="eastAsia"/>
          <w:b/>
          <w:bCs/>
          <w:color w:val="auto"/>
          <w:kern w:val="0"/>
          <w:sz w:val="44"/>
          <w:szCs w:val="44"/>
          <w:lang w:eastAsia="zh-CN"/>
        </w:rPr>
      </w:pPr>
      <w:r>
        <w:rPr>
          <w:rFonts w:ascii="宋体" w:eastAsia="宋体" w:cs="宋体" w:hAnsi="宋体" w:hint="eastAsia"/>
          <w:b/>
          <w:bCs/>
          <w:color w:val="auto"/>
          <w:kern w:val="0"/>
          <w:sz w:val="44"/>
          <w:szCs w:val="44"/>
        </w:rPr>
        <w:t>钦州低风速二期分散式风电场工程项目</w:t>
      </w:r>
    </w:p>
    <w:p>
      <w:pPr>
        <w:widowControl/>
        <w:jc w:val="center"/>
        <w:rPr>
          <w:rFonts w:ascii="宋体" w:eastAsia="宋体" w:cs="宋体" w:hAnsi="宋体" w:hint="eastAsia"/>
          <w:b/>
          <w:bCs/>
          <w:color w:val="auto"/>
          <w:kern w:val="0"/>
          <w:sz w:val="44"/>
          <w:szCs w:val="44"/>
        </w:rPr>
      </w:pPr>
      <w:r>
        <w:rPr>
          <w:rFonts w:ascii="宋体" w:eastAsia="宋体" w:cs="宋体" w:hAnsi="宋体" w:hint="eastAsia"/>
          <w:b/>
          <w:bCs/>
          <w:color w:val="auto"/>
          <w:kern w:val="0"/>
          <w:sz w:val="44"/>
          <w:szCs w:val="44"/>
        </w:rPr>
        <w:t>独立地块控制性详细规划</w:t>
      </w:r>
    </w:p>
    <w:p>
      <w:pPr>
        <w:widowControl/>
        <w:jc w:val="center"/>
        <w:rPr>
          <w:rFonts w:ascii="宋体" w:eastAsia="宋体" w:cs="宋体" w:hAnsi="宋体" w:hint="eastAsia"/>
          <w:b/>
          <w:bCs/>
          <w:color w:val="auto"/>
          <w:kern w:val="0"/>
          <w:sz w:val="44"/>
          <w:szCs w:val="44"/>
        </w:rPr>
      </w:pPr>
    </w:p>
    <w:p>
      <w:pPr>
        <w:pStyle w:val="15"/>
        <w:rPr>
          <w:rFonts w:hint="eastAsia"/>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hint="eastAsia"/>
          <w:b/>
          <w:bCs/>
          <w:color w:val="auto"/>
          <w:kern w:val="0"/>
          <w:sz w:val="44"/>
          <w:szCs w:val="44"/>
        </w:rPr>
      </w:pPr>
    </w:p>
    <w:p>
      <w:pPr>
        <w:widowControl/>
        <w:jc w:val="center"/>
        <w:rPr>
          <w:rFonts w:ascii="宋体" w:eastAsia="宋体" w:cs="宋体" w:hAnsi="宋体"/>
          <w:b/>
          <w:bCs/>
          <w:color w:val="auto"/>
          <w:kern w:val="0"/>
          <w:sz w:val="36"/>
          <w:szCs w:val="36"/>
        </w:rPr>
      </w:pPr>
    </w:p>
    <w:p>
      <w:pPr>
        <w:pStyle w:val="15"/>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pStyle w:val="18"/>
        <w:rPr>
          <w:rFonts w:ascii="宋体" w:eastAsia="宋体" w:cs="宋体" w:hAnsi="宋体"/>
          <w:b/>
          <w:bCs/>
          <w:color w:val="auto"/>
          <w:kern w:val="0"/>
          <w:sz w:val="36"/>
          <w:szCs w:val="36"/>
        </w:rPr>
      </w:pPr>
    </w:p>
    <w:p>
      <w:pPr>
        <w:rPr>
          <w:rFonts w:ascii="宋体" w:eastAsia="宋体" w:cs="宋体" w:hAnsi="宋体"/>
          <w:b/>
          <w:bCs/>
          <w:color w:val="auto"/>
          <w:kern w:val="0"/>
          <w:sz w:val="36"/>
          <w:szCs w:val="36"/>
        </w:rPr>
      </w:pPr>
    </w:p>
    <w:p>
      <w:pPr>
        <w:pStyle w:val="18"/>
        <w:rPr>
          <w:rFonts w:ascii="宋体" w:eastAsia="宋体" w:cs="宋体" w:hAnsi="宋体"/>
          <w:b/>
          <w:bCs/>
          <w:color w:val="auto"/>
          <w:kern w:val="0"/>
          <w:sz w:val="36"/>
          <w:szCs w:val="36"/>
        </w:rPr>
      </w:pPr>
    </w:p>
    <w:p>
      <w:pPr>
        <w:rPr>
          <w:rFonts w:ascii="宋体" w:eastAsia="宋体" w:cs="宋体" w:hAnsi="宋体"/>
          <w:b/>
          <w:bCs/>
          <w:color w:val="auto"/>
          <w:kern w:val="0"/>
          <w:sz w:val="36"/>
          <w:szCs w:val="36"/>
        </w:rPr>
      </w:pPr>
    </w:p>
    <w:p>
      <w:pPr>
        <w:pStyle w:val="18"/>
        <w:rPr>
          <w:rFonts w:ascii="宋体" w:eastAsia="宋体" w:cs="宋体" w:hAnsi="宋体"/>
          <w:b/>
          <w:bCs/>
          <w:color w:val="auto"/>
          <w:kern w:val="0"/>
          <w:sz w:val="36"/>
          <w:szCs w:val="36"/>
        </w:rPr>
      </w:pPr>
    </w:p>
    <w:p>
      <w:pPr>
        <w:rPr>
          <w:color w:val="auto"/>
        </w:rPr>
      </w:pPr>
    </w:p>
    <w:p>
      <w:pPr>
        <w:rPr>
          <w:rFonts w:ascii="宋体" w:eastAsia="宋体" w:cs="宋体" w:hAnsi="宋体"/>
          <w:b/>
          <w:bCs/>
          <w:color w:val="auto"/>
          <w:kern w:val="0"/>
          <w:sz w:val="36"/>
          <w:szCs w:val="36"/>
        </w:rPr>
      </w:pPr>
    </w:p>
    <w:p>
      <w:pPr>
        <w:rPr>
          <w:color w:val="auto"/>
        </w:rPr>
      </w:pP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firstLineChars="300" w:firstLine="960"/>
        <w:jc w:val="left"/>
        <w:textAlignment w:val="auto"/>
        <w:rPr>
          <w:rFonts w:ascii="Times New Roman" w:eastAsia="黑体" w:hAnsi="Times New Roman" w:hint="eastAsia"/>
          <w:b/>
          <w:bCs/>
          <w:color w:val="auto"/>
          <w:sz w:val="32"/>
          <w:szCs w:val="32"/>
          <w:highlight w:val="auto"/>
        </w:rPr>
      </w:pPr>
      <w:r>
        <w:rPr>
          <w:rFonts w:ascii="Times New Roman" w:eastAsia="黑体" w:hAnsi="Times New Roman" w:hint="eastAsia"/>
          <w:b/>
          <w:bCs/>
          <w:color w:val="auto"/>
          <w:sz w:val="32"/>
          <w:szCs w:val="32"/>
          <w:highlight w:val="auto"/>
        </w:rPr>
        <w:t>委托单位：钦州市钦北区自然资源局</w:t>
      </w: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firstLineChars="300" w:firstLine="960"/>
        <w:jc w:val="left"/>
        <w:textAlignment w:val="auto"/>
        <w:rPr>
          <w:rFonts w:ascii="Times New Roman" w:eastAsia="黑体" w:hAnsi="Times New Roman" w:hint="eastAsia"/>
          <w:b/>
          <w:bCs/>
          <w:color w:val="auto"/>
          <w:sz w:val="32"/>
          <w:szCs w:val="32"/>
          <w:highlight w:val="auto"/>
        </w:rPr>
      </w:pPr>
      <w:r>
        <w:rPr>
          <w:rFonts w:ascii="Times New Roman" w:eastAsia="黑体" w:hAnsi="Times New Roman" w:hint="eastAsia"/>
          <w:b/>
          <w:bCs/>
          <w:color w:val="auto"/>
          <w:sz w:val="32"/>
          <w:szCs w:val="32"/>
          <w:highlight w:val="auto"/>
        </w:rPr>
        <w:t>编制单位：广西众诚汇金工程技术有限公司</w:t>
      </w:r>
    </w:p>
    <w:p>
      <w:pPr>
        <w:pStyle w:val="31"/>
        <w:keepNext w:val="0"/>
        <w:keepLines w:val="0"/>
        <w:pageBreakBefore w:val="0"/>
        <w:widowControl w:val="0"/>
        <w:kinsoku/>
        <w:wordWrap/>
        <w:overflowPunct/>
        <w:topLinePunct w:val="0"/>
        <w:autoSpaceDE/>
        <w:autoSpaceDN/>
        <w:bidi w:val="0"/>
        <w:adjustRightInd w:val="0"/>
        <w:snapToGrid w:val="0"/>
        <w:spacing w:beforeLines="150" w:before="360" w:line="240" w:lineRule="auto"/>
        <w:ind w:firstLineChars="300" w:firstLine="960"/>
        <w:jc w:val="left"/>
        <w:textAlignment w:val="auto"/>
        <w:rPr>
          <w:rFonts w:hint="eastAsia"/>
          <w:b/>
          <w:bCs/>
          <w:color w:val="auto"/>
          <w:sz w:val="28"/>
          <w:szCs w:val="28"/>
          <w:lang w:eastAsia="zh-CN"/>
        </w:rPr>
      </w:pPr>
      <w:r>
        <w:rPr>
          <w:rFonts w:ascii="Times New Roman" w:eastAsia="黑体" w:hAnsi="Times New Roman" w:hint="eastAsia"/>
          <w:b/>
          <w:bCs/>
          <w:color w:val="auto"/>
          <w:sz w:val="32"/>
          <w:szCs w:val="32"/>
          <w:highlight w:val="auto"/>
        </w:rPr>
        <w:t>编制日期：二〇二五年八</w:t>
      </w:r>
      <w:r>
        <w:rPr>
          <w:rFonts w:ascii="Times New Roman" w:eastAsia="黑体" w:hAnsi="Times New Roman"/>
          <w:b/>
          <w:bCs/>
          <w:color w:val="auto"/>
          <w:sz w:val="32"/>
          <w:szCs w:val="32"/>
          <w:highlight w:val="auto"/>
        </w:rPr>
        <w:t>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eastAsia="zh-CN"/>
        </w:rPr>
      </w:pPr>
      <w:r>
        <w:rPr>
          <w:rFonts w:hint="eastAsia"/>
          <w:b/>
          <w:bCs/>
          <w:color w:val="auto"/>
          <w:sz w:val="28"/>
          <w:szCs w:val="28"/>
          <w:lang w:eastAsia="zh-CN"/>
        </w:rPr>
        <w:t>项目名称：钦州低风速二期分散式风电场工程项目独立地块</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500" w:firstLine="1400"/>
        <w:jc w:val="both"/>
        <w:textAlignment w:val="auto"/>
        <w:rPr>
          <w:rFonts w:hint="eastAsia"/>
          <w:b/>
          <w:bCs/>
          <w:color w:val="auto"/>
          <w:sz w:val="28"/>
          <w:szCs w:val="28"/>
          <w:lang w:eastAsia="zh-CN"/>
        </w:rPr>
      </w:pPr>
      <w:r>
        <w:rPr>
          <w:rFonts w:hint="eastAsia"/>
          <w:b/>
          <w:bCs/>
          <w:color w:val="auto"/>
          <w:sz w:val="28"/>
          <w:szCs w:val="28"/>
          <w:lang w:eastAsia="zh-CN"/>
        </w:rPr>
        <w:t>控制性详细规划</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编制单位：广西众诚汇金工程技术有限公司</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资质等级：土地规划乙级</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证书编号：201810</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项目负责人：   杨开福（工程师）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审    定：     陈志忠（高级规划师）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审    核：     覃荣旺（工程师）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校    对：     杨开福（工程师）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主要编制人员： 邹长慧（工程师）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蒋积全（工程师）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韦道虎（工程师）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张  鹏（工程师）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bCs/>
          <w:color w:val="auto"/>
          <w:sz w:val="28"/>
          <w:szCs w:val="28"/>
          <w:lang w:val="en-US" w:eastAsia="zh-CN"/>
        </w:rPr>
      </w:pPr>
      <w:r>
        <w:rPr>
          <w:rFonts w:hint="eastAsia"/>
          <w:b/>
          <w:bCs/>
          <w:color w:val="auto"/>
          <w:sz w:val="28"/>
          <w:szCs w:val="28"/>
          <w:lang w:val="en-US" w:eastAsia="zh-CN"/>
        </w:rPr>
        <w:t>委托单位：钦州市钦北区自然资源局</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主要编制人员： 玉  益（工程师）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潘沿晓（工程师）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750" w:firstLine="2100"/>
        <w:jc w:val="both"/>
        <w:textAlignment w:val="auto"/>
        <w:rPr>
          <w:rFonts w:hint="eastAsia"/>
          <w:b w:val="0"/>
          <w:bCs w:val="0"/>
          <w:color w:val="auto"/>
          <w:sz w:val="28"/>
          <w:szCs w:val="28"/>
          <w:lang w:val="en-US" w:eastAsia="zh-CN"/>
        </w:rPr>
      </w:pPr>
      <w:r>
        <w:rPr>
          <w:rFonts w:hint="eastAsia"/>
          <w:b w:val="0"/>
          <w:bCs w:val="0"/>
          <w:color w:val="auto"/>
          <w:sz w:val="28"/>
          <w:szCs w:val="28"/>
          <w:lang w:val="en-US" w:eastAsia="zh-CN"/>
        </w:rPr>
        <w:t>韦永姣（工程师）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eastAsia="宋体" w:hint="eastAsia"/>
          <w:color w:val="auto"/>
          <w:lang w:eastAsia="zh-CN"/>
        </w:rPr>
        <w:sectPr>
          <w:pgSz w:w="11906" w:h="16838"/>
          <w:pgMar w:top="1418" w:right="1701" w:bottom="1418" w:left="1587" w:header="851" w:footer="992" w:gutter="0"/>
          <w:pgNumType w:start="1"/>
          <w:docGrid w:linePitch="312" w:charSpace="0"/>
        </w:sectPr>
      </w:pPr>
      <w:r>
        <w:rPr>
          <w:rFonts w:hint="eastAsia"/>
          <w:b w:val="0"/>
          <w:bCs w:val="0"/>
          <w:color w:val="auto"/>
          <w:sz w:val="28"/>
          <w:szCs w:val="28"/>
          <w:lang w:val="en-US" w:eastAsia="zh-CN"/>
        </w:rPr>
        <w:t xml:space="preserve">           邓诗琴（助理工程师）</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left"/>
        <w:textAlignment w:val="auto"/>
        <w:rPr>
          <w:color w:val="auto"/>
        </w:rPr>
      </w:pPr>
      <w:bookmarkStart w:id="0" w:name="bookmark6"/>
      <w:bookmarkStart w:id="1" w:name="bookmark5"/>
      <w:bookmarkStart w:id="2" w:name="bookmark7"/>
      <w:r>
        <w:rPr>
          <w:rFonts w:ascii="黑体" w:eastAsia="黑体" w:hAnsi="宋体" w:hint="eastAsia"/>
          <w:color w:val="auto"/>
          <w:sz w:val="28"/>
          <w:szCs w:val="28"/>
          <w:highlight w:val="auto"/>
        </w:rPr>
        <w:drawing>
          <wp:anchor distT="0" distB="0" distL="114300" distR="114300" simplePos="0" relativeHeight="90" behindDoc="0" locked="0" layoutInCell="1" hidden="0" allowOverlap="1">
            <wp:simplePos x="0" y="0"/>
            <wp:positionH relativeFrom="column">
              <wp:posOffset>-2171700</wp:posOffset>
            </wp:positionH>
            <wp:positionV relativeFrom="paragraph">
              <wp:posOffset>1329690</wp:posOffset>
            </wp:positionV>
            <wp:extent cx="9362440" cy="6517005"/>
            <wp:effectExtent l="0" t="0" r="0" b="0"/>
            <wp:wrapNone/>
            <wp:docPr id="1" name="图片 1" descr="E:/00王麒麟项目/王麒麟钦州低风速二期分散式风电场工程项目独立地块控制性详细规划2025.04/低风速营业执照和规划资质/832f10e964d8a4e946d97375f89c63e5.JPG832f10e964d8a4e946d97375f89c63e5"/>
            <wp:cNvGraphicFramePr>
              <a:graphicFrameLocks noChangeAspect="1"/>
            </wp:cNvGraphicFramePr>
            <a:graphic>
              <a:graphicData uri="http://schemas.openxmlformats.org/drawingml/2006/picture">
                <pic:pic>
                  <pic:nvPicPr>
                    <pic:cNvPr id="3" name="图片 1 3"/>
                    <pic:cNvPicPr/>
                  </pic:nvPicPr>
                  <pic:blipFill>
                    <a:blip r:embed="rId3"/>
                    <a:srcRect t="2136" b="2136"/>
                    <a:stretch>
                      <a:fillRect/>
                    </a:stretch>
                  </pic:blipFill>
                  <pic:spPr>
                    <a:xfrm rot="16200000">
                      <a:off x="0" y="0"/>
                      <a:ext cx="9362440" cy="6517005"/>
                    </a:xfrm>
                    <a:prstGeom prst="rect"/>
                    <a:noFill/>
                    <a:ln w="9525" cmpd="sng" cap="flat">
                      <a:noFill/>
                      <a:prstDash val="solid"/>
                      <a:round/>
                    </a:ln>
                  </pic:spPr>
                </pic:pic>
              </a:graphicData>
            </a:graphic>
          </wp:anchor>
        </w:drawing>
      </w:r>
      <w:bookmarkEnd w:id="0"/>
      <w:bookmarkEnd w:id="1"/>
      <w:bookmarkEnd w:id="2"/>
    </w:p>
    <w:p>
      <w:pPr>
        <w:widowControl/>
        <w:jc w:val="left"/>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widowControl/>
        <w:jc w:val="center"/>
        <w:rPr>
          <w:rFonts w:ascii="宋体" w:eastAsia="宋体" w:cs="宋体" w:hAnsi="宋体"/>
          <w:b/>
          <w:bCs/>
          <w:color w:val="auto"/>
          <w:kern w:val="0"/>
          <w:sz w:val="36"/>
          <w:szCs w:val="36"/>
        </w:rPr>
      </w:pPr>
    </w:p>
    <w:p>
      <w:pPr>
        <w:rPr>
          <w:color w:val="auto"/>
        </w:rPr>
      </w:pPr>
      <w:r>
        <w:rPr>
          <w:color w:val="auto"/>
        </w:rPr>
        <w:br w:type="page"/>
      </w:r>
    </w:p>
    <w:p>
      <w:pPr>
        <w:pStyle w:val="23"/>
        <w:tabs>
          <w:tab w:val="right" w:leader="dot" w:pos="8306"/>
        </w:tabs>
        <w:spacing w:beforeLines="121" w:before="378" w:beforeAutospacing="0"/>
        <w:ind w:left="0"/>
        <w:jc w:val="left"/>
        <w:rPr>
          <w:color w:val="auto"/>
        </w:rPr>
      </w:pPr>
      <w:r>
        <w:rPr>
          <w:rFonts w:hint="eastAsia"/>
          <w:color w:val="auto"/>
          <w:highlight w:val="auto"/>
        </w:rPr>
        <w:drawing>
          <wp:anchor distT="0" distB="0" distL="114935" distR="114935" simplePos="0" relativeHeight="88" behindDoc="0" locked="0" layoutInCell="1" hidden="0" allowOverlap="1">
            <wp:simplePos x="0" y="0"/>
            <wp:positionH relativeFrom="column">
              <wp:posOffset>-1146175</wp:posOffset>
            </wp:positionH>
            <wp:positionV relativeFrom="paragraph">
              <wp:posOffset>1522730</wp:posOffset>
            </wp:positionV>
            <wp:extent cx="7879081" cy="5625465"/>
            <wp:effectExtent l="0" t="0" r="0" b="0"/>
            <wp:wrapNone/>
            <wp:docPr id="4" name="图片 2" descr="E:/00王麒麟项目/王麒麟钦州低风速二期分散式风电场工程项目独立地块控制性详细规划2025.04/低风速营业执照和规划资质/c03f6b595b601286ade355aaf0cc373a.JPGc03f6b595b601286ade355aaf0cc373a"/>
            <wp:cNvGraphicFramePr>
              <a:graphicFrameLocks noChangeAspect="1"/>
            </wp:cNvGraphicFramePr>
            <a:graphic>
              <a:graphicData uri="http://schemas.openxmlformats.org/drawingml/2006/picture">
                <pic:pic>
                  <pic:nvPicPr>
                    <pic:cNvPr id="6" name="图片 2 6"/>
                    <pic:cNvPicPr/>
                  </pic:nvPicPr>
                  <pic:blipFill>
                    <a:blip r:embed="rId4"/>
                    <a:srcRect l="705" r="705"/>
                    <a:stretch>
                      <a:fillRect/>
                    </a:stretch>
                  </pic:blipFill>
                  <pic:spPr>
                    <a:xfrm rot="16200000">
                      <a:off x="0" y="0"/>
                      <a:ext cx="7879081" cy="5625465"/>
                    </a:xfrm>
                    <a:prstGeom prst="rect"/>
                    <a:noFill/>
                    <a:ln w="9525" cmpd="sng" cap="flat">
                      <a:noFill/>
                      <a:prstDash val="solid"/>
                      <a:round/>
                    </a:ln>
                  </pic:spPr>
                </pic:pic>
              </a:graphicData>
            </a:graphic>
          </wp:anchor>
        </w:drawing>
      </w: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pStyle w:val="23"/>
        <w:tabs>
          <w:tab w:val="right" w:leader="dot" w:pos="8306"/>
        </w:tabs>
        <w:spacing w:beforeLines="121" w:before="378" w:beforeAutospacing="0"/>
        <w:ind w:left="0"/>
        <w:jc w:val="center"/>
        <w:rPr>
          <w:color w:val="auto"/>
        </w:rPr>
      </w:pPr>
    </w:p>
    <w:p>
      <w:pPr>
        <w:rPr>
          <w:color w:val="auto"/>
        </w:rPr>
      </w:pPr>
    </w:p>
    <w:p>
      <w:pPr>
        <w:pStyle w:val="15"/>
        <w:rPr>
          <w:color w:val="auto"/>
        </w:rPr>
      </w:pPr>
    </w:p>
    <w:p>
      <w:pPr>
        <w:rPr>
          <w:color w:val="auto"/>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center"/>
        <w:textAlignment w:val="auto"/>
        <w:rPr>
          <w:rFonts w:hint="eastAsia"/>
          <w:b/>
          <w:bCs/>
          <w:color w:val="auto"/>
          <w:sz w:val="36"/>
          <w:szCs w:val="32"/>
          <w:lang w:eastAsia="zh-CN"/>
        </w:rPr>
      </w:pPr>
      <w:r>
        <w:rPr>
          <w:rFonts w:hint="eastAsia"/>
          <w:b/>
          <w:bCs/>
          <w:color w:val="auto"/>
          <w:sz w:val="36"/>
          <w:szCs w:val="32"/>
          <w:lang w:eastAsia="zh-CN"/>
        </w:rPr>
        <w:t>钦州低风速二期分散式风电场工程项目</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0" w:firstLineChars="0" w:firstLine="0"/>
        <w:jc w:val="center"/>
        <w:textAlignment w:val="auto"/>
        <w:rPr>
          <w:rFonts w:hint="eastAsia"/>
          <w:b/>
          <w:bCs/>
          <w:color w:val="auto"/>
          <w:sz w:val="36"/>
          <w:szCs w:val="32"/>
          <w:lang w:eastAsia="zh-CN"/>
        </w:rPr>
      </w:pPr>
      <w:r>
        <w:rPr>
          <w:rFonts w:hint="eastAsia"/>
          <w:b/>
          <w:bCs/>
          <w:color w:val="auto"/>
          <w:sz w:val="36"/>
          <w:szCs w:val="32"/>
          <w:lang w:eastAsia="zh-CN"/>
        </w:rPr>
        <w:t>独立地块控制性详细规划</w:t>
      </w:r>
    </w:p>
    <w:p>
      <w:pPr>
        <w:rPr>
          <w:color w:val="auto"/>
        </w:rPr>
      </w:pPr>
    </w:p>
    <w:p>
      <w:pPr>
        <w:pStyle w:val="15"/>
      </w:pPr>
    </w:p>
    <w:p>
      <w:pPr>
        <w:pStyle w:val="18"/>
        <w:rPr>
          <w:color w:val="auto"/>
        </w:rPr>
      </w:pPr>
    </w:p>
    <w:p>
      <w:pPr>
        <w:pStyle w:val="23"/>
        <w:tabs>
          <w:tab w:val="right" w:leader="dot" w:pos="8306"/>
        </w:tabs>
        <w:spacing w:beforeLines="121" w:before="378" w:beforeAutospacing="0"/>
        <w:jc w:val="center"/>
        <w:rPr>
          <w:rFonts w:ascii="黑体" w:eastAsia="黑体" w:cs="黑体" w:hAnsi="黑体" w:hint="eastAsia"/>
          <w:b/>
          <w:bCs/>
          <w:color w:val="auto"/>
          <w:sz w:val="36"/>
          <w:szCs w:val="36"/>
          <w:lang w:eastAsia="zh-CN"/>
        </w:rPr>
      </w:pPr>
      <w:r>
        <w:rPr>
          <w:rFonts w:ascii="黑体" w:eastAsia="黑体" w:cs="黑体" w:hAnsi="黑体" w:hint="eastAsia"/>
          <w:b/>
          <w:bCs/>
          <w:color w:val="auto"/>
          <w:sz w:val="36"/>
          <w:szCs w:val="36"/>
          <w:lang w:val="en-US" w:eastAsia="zh-CN"/>
        </w:rPr>
        <w:t xml:space="preserve"> </w:t>
      </w:r>
      <w:r>
        <w:rPr>
          <w:rFonts w:ascii="黑体" w:eastAsia="黑体" w:cs="黑体" w:hAnsi="黑体" w:hint="eastAsia"/>
          <w:b/>
          <w:bCs/>
          <w:color w:val="auto"/>
          <w:sz w:val="36"/>
          <w:szCs w:val="36"/>
          <w:lang w:eastAsia="zh-CN"/>
        </w:rPr>
        <w:t>规划说明</w:t>
      </w:r>
    </w:p>
    <w:p>
      <w:pPr>
        <w:pStyle w:val="23"/>
        <w:tabs>
          <w:tab w:val="right" w:leader="dot" w:pos="8306"/>
        </w:tabs>
        <w:spacing w:beforeLines="121" w:before="378" w:beforeAutospacing="0"/>
        <w:ind w:left="0"/>
        <w:jc w:val="center"/>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pStyle w:val="15"/>
        <w:rPr>
          <w:color w:val="auto"/>
        </w:rPr>
      </w:pPr>
    </w:p>
    <w:p>
      <w:pPr>
        <w:rPr>
          <w:color w:val="auto"/>
        </w:rPr>
      </w:pPr>
    </w:p>
    <w:p>
      <w:pPr>
        <w:pStyle w:val="23"/>
        <w:tabs>
          <w:tab w:val="right" w:leader="dot" w:pos="8306"/>
        </w:tabs>
        <w:spacing w:beforeLines="121" w:before="378" w:beforeAutospacing="0"/>
        <w:ind w:left="0"/>
        <w:jc w:val="center"/>
        <w:rPr>
          <w:b/>
          <w:bCs/>
          <w:color w:val="auto"/>
          <w:sz w:val="36"/>
          <w:szCs w:val="36"/>
        </w:rPr>
      </w:pPr>
      <w:r>
        <w:rPr>
          <w:rFonts w:hint="eastAsia"/>
          <w:b/>
          <w:bCs/>
          <w:color w:val="auto"/>
          <w:sz w:val="36"/>
          <w:szCs w:val="36"/>
        </w:rPr>
        <w:t>目</w:t>
      </w:r>
      <w:r>
        <w:rPr>
          <w:rFonts w:hint="eastAsia"/>
          <w:b/>
          <w:bCs/>
          <w:color w:val="auto"/>
          <w:sz w:val="36"/>
          <w:szCs w:val="36"/>
          <w:lang w:val="en-US" w:eastAsia="zh-CN"/>
        </w:rPr>
        <w:t xml:space="preserve"> </w:t>
      </w:r>
      <w:r>
        <w:rPr>
          <w:rFonts w:hint="eastAsia"/>
          <w:b/>
          <w:bCs/>
          <w:color w:val="auto"/>
          <w:sz w:val="36"/>
          <w:szCs w:val="36"/>
        </w:rPr>
        <w:t>录</w:t>
      </w:r>
    </w:p>
    <w:p>
      <w:pPr>
        <w:pStyle w:val="23"/>
        <w:tabs>
          <w:tab w:val="right" w:leader="dot" w:pos="8306"/>
        </w:tabs>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r>
        <w:rPr>
          <w:szCs w:val="28"/>
        </w:rPr>
        <w:fldChar w:fldCharType="begin"/>
      </w:r>
      <w:r>
        <w:rPr>
          <w:szCs w:val="28"/>
        </w:rPr>
        <w:instrText xml:space="preserve"> HYPERLINK \l _Toc1705 </w:instrText>
      </w:r>
      <w:r>
        <w:rPr>
          <w:szCs w:val="28"/>
        </w:rPr>
        <w:fldChar w:fldCharType="separate"/>
      </w:r>
      <w:r>
        <w:rPr>
          <w:rFonts w:ascii="宋体" w:eastAsia="宋体" w:cs="宋体" w:hAnsi="宋体" w:hint="eastAsia"/>
          <w:bCs/>
          <w:szCs w:val="32"/>
          <w:lang w:eastAsia="zh-CN"/>
        </w:rPr>
        <w:t>第一章 规划综述</w:t>
      </w:r>
      <w:r>
        <w:tab/>
      </w:r>
      <w:r>
        <w:fldChar w:fldCharType="begin"/>
      </w:r>
      <w:r>
        <w:instrText xml:space="preserve"> PAGEREF _Toc1705 \h </w:instrText>
      </w:r>
      <w:r>
        <w:fldChar w:fldCharType="separate"/>
      </w:r>
      <w:r>
        <w:t>1</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_Toc556 </w:instrText>
      </w:r>
      <w:r>
        <w:rPr>
          <w:szCs w:val="28"/>
        </w:rPr>
        <w:fldChar w:fldCharType="separate"/>
      </w:r>
      <w:r>
        <w:rPr>
          <w:rFonts w:ascii="宋体" w:eastAsia="宋体" w:cs="宋体" w:hAnsi="宋体" w:hint="eastAsia"/>
          <w:bCs/>
          <w:szCs w:val="32"/>
          <w:lang w:val="en-US" w:eastAsia="zh-CN"/>
        </w:rPr>
        <w:t>1.1</w:t>
      </w:r>
      <w:r>
        <w:rPr>
          <w:rFonts w:ascii="宋体" w:eastAsia="宋体" w:cs="宋体" w:hAnsi="宋体" w:hint="eastAsia"/>
          <w:bCs/>
          <w:szCs w:val="32"/>
          <w:lang w:eastAsia="zh-CN"/>
        </w:rPr>
        <w:t>规划背景</w:t>
      </w:r>
      <w:r>
        <w:tab/>
      </w:r>
      <w:r>
        <w:fldChar w:fldCharType="begin"/>
      </w:r>
      <w:r>
        <w:instrText xml:space="preserve"> PAGEREF _Toc556 \h </w:instrText>
      </w:r>
      <w:r>
        <w:fldChar w:fldCharType="separate"/>
      </w:r>
      <w:r>
        <w:t>1</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_Toc27409 </w:instrText>
      </w:r>
      <w:r>
        <w:rPr>
          <w:szCs w:val="28"/>
        </w:rPr>
        <w:fldChar w:fldCharType="separate"/>
      </w:r>
      <w:r>
        <w:rPr>
          <w:rFonts w:ascii="宋体" w:eastAsia="宋体" w:cs="宋体" w:hAnsi="宋体" w:hint="eastAsia"/>
          <w:bCs/>
          <w:szCs w:val="32"/>
          <w:lang w:val="en-US" w:eastAsia="zh-CN"/>
        </w:rPr>
        <w:t>1.2</w:t>
      </w:r>
      <w:r>
        <w:rPr>
          <w:rFonts w:ascii="宋体" w:eastAsia="宋体" w:cs="宋体" w:hAnsi="宋体" w:hint="eastAsia"/>
          <w:bCs/>
          <w:szCs w:val="32"/>
          <w:lang w:eastAsia="zh-CN"/>
        </w:rPr>
        <w:t>项目建设内容和规模</w:t>
      </w:r>
      <w:r>
        <w:tab/>
      </w:r>
      <w:r>
        <w:fldChar w:fldCharType="begin"/>
      </w:r>
      <w:r>
        <w:instrText xml:space="preserve"> PAGEREF _Toc27409 \h </w:instrText>
      </w:r>
      <w:r>
        <w:fldChar w:fldCharType="separate"/>
      </w:r>
      <w:r>
        <w:t>2</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_Toc13379 </w:instrText>
      </w:r>
      <w:r>
        <w:rPr>
          <w:szCs w:val="28"/>
        </w:rPr>
        <w:fldChar w:fldCharType="separate"/>
      </w:r>
      <w:r>
        <w:rPr>
          <w:rFonts w:ascii="宋体" w:eastAsia="宋体" w:cs="宋体" w:hAnsi="宋体" w:hint="eastAsia"/>
          <w:bCs/>
          <w:szCs w:val="32"/>
          <w:lang w:val="en-US" w:eastAsia="zh-CN"/>
        </w:rPr>
        <w:t>1.3</w:t>
      </w:r>
      <w:r>
        <w:rPr>
          <w:rFonts w:ascii="宋体" w:eastAsia="宋体" w:cs="宋体" w:hAnsi="宋体" w:hint="eastAsia"/>
          <w:bCs/>
          <w:szCs w:val="32"/>
          <w:lang w:eastAsia="zh-CN"/>
        </w:rPr>
        <w:t>规划范围</w:t>
      </w:r>
      <w:r>
        <w:tab/>
      </w:r>
      <w:r>
        <w:fldChar w:fldCharType="begin"/>
      </w:r>
      <w:r>
        <w:instrText xml:space="preserve"> PAGEREF _Toc13379 \h </w:instrText>
      </w:r>
      <w:r>
        <w:fldChar w:fldCharType="separate"/>
      </w:r>
      <w:r>
        <w:t>4</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_Toc19067 </w:instrText>
      </w:r>
      <w:r>
        <w:rPr>
          <w:szCs w:val="28"/>
        </w:rPr>
        <w:fldChar w:fldCharType="separate"/>
      </w:r>
      <w:r>
        <w:rPr>
          <w:rFonts w:ascii="宋体" w:eastAsia="宋体" w:cs="宋体" w:hAnsi="宋体" w:hint="eastAsia"/>
          <w:bCs/>
          <w:szCs w:val="32"/>
          <w:lang w:val="en-US" w:eastAsia="zh-CN"/>
        </w:rPr>
        <w:t>1.4</w:t>
      </w:r>
      <w:r>
        <w:rPr>
          <w:rFonts w:ascii="宋体" w:eastAsia="宋体" w:cs="宋体" w:hAnsi="宋体" w:hint="eastAsia"/>
          <w:bCs/>
          <w:szCs w:val="32"/>
          <w:lang w:eastAsia="zh-CN"/>
        </w:rPr>
        <w:t>数据基础</w:t>
      </w:r>
      <w:r>
        <w:tab/>
      </w:r>
      <w:r>
        <w:fldChar w:fldCharType="begin"/>
      </w:r>
      <w:r>
        <w:instrText xml:space="preserve"> PAGEREF _Toc19067 \h </w:instrText>
      </w:r>
      <w:r>
        <w:fldChar w:fldCharType="separate"/>
      </w:r>
      <w:r>
        <w:t>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_Toc31256 </w:instrText>
      </w:r>
      <w:r>
        <w:rPr>
          <w:szCs w:val="28"/>
        </w:rPr>
        <w:fldChar w:fldCharType="separate"/>
      </w:r>
      <w:r>
        <w:rPr>
          <w:rFonts w:ascii="宋体" w:eastAsia="宋体" w:cs="宋体" w:hAnsi="宋体" w:hint="eastAsia"/>
          <w:bCs/>
          <w:szCs w:val="32"/>
          <w:lang w:val="en-US" w:eastAsia="zh-CN"/>
        </w:rPr>
        <w:t>1.5</w:t>
      </w:r>
      <w:r>
        <w:rPr>
          <w:rFonts w:ascii="宋体" w:eastAsia="宋体" w:cs="宋体" w:hAnsi="宋体" w:hint="eastAsia"/>
          <w:bCs/>
          <w:szCs w:val="32"/>
          <w:lang w:eastAsia="zh-CN"/>
        </w:rPr>
        <w:t>规划依据</w:t>
      </w:r>
      <w:r>
        <w:tab/>
      </w:r>
      <w:r>
        <w:fldChar w:fldCharType="begin"/>
      </w:r>
      <w:r>
        <w:instrText xml:space="preserve"> PAGEREF _Toc31256 \h </w:instrText>
      </w:r>
      <w:r>
        <w:fldChar w:fldCharType="separate"/>
      </w:r>
      <w:r>
        <w:t>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_Toc32099 </w:instrText>
      </w:r>
      <w:r>
        <w:rPr>
          <w:szCs w:val="28"/>
        </w:rPr>
        <w:fldChar w:fldCharType="separate"/>
      </w:r>
      <w:r>
        <w:rPr>
          <w:rFonts w:ascii="宋体" w:eastAsia="宋体" w:cs="宋体" w:hAnsi="宋体" w:hint="eastAsia"/>
          <w:bCs/>
          <w:szCs w:val="32"/>
          <w:lang w:val="en-US" w:eastAsia="zh-CN"/>
        </w:rPr>
        <w:t>1.6</w:t>
      </w:r>
      <w:r>
        <w:rPr>
          <w:rFonts w:ascii="宋体" w:eastAsia="宋体" w:cs="宋体" w:hAnsi="宋体" w:hint="eastAsia"/>
          <w:bCs/>
          <w:szCs w:val="32"/>
          <w:lang w:eastAsia="zh-CN"/>
        </w:rPr>
        <w:t>项目建设的必要性</w:t>
      </w:r>
      <w:r>
        <w:tab/>
      </w:r>
      <w:r>
        <w:fldChar w:fldCharType="begin"/>
      </w:r>
      <w:r>
        <w:instrText xml:space="preserve"> PAGEREF _Toc32099 \h </w:instrText>
      </w:r>
      <w:r>
        <w:fldChar w:fldCharType="separate"/>
      </w:r>
      <w:r>
        <w:t>8</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_Toc16978 </w:instrText>
      </w:r>
      <w:r>
        <w:rPr>
          <w:szCs w:val="28"/>
        </w:rPr>
        <w:fldChar w:fldCharType="separate"/>
      </w:r>
      <w:r>
        <w:rPr>
          <w:rFonts w:ascii="宋体" w:eastAsia="宋体" w:cs="宋体" w:hAnsi="宋体" w:hint="eastAsia"/>
          <w:bCs/>
          <w:szCs w:val="32"/>
          <w:lang w:val="en-US" w:eastAsia="zh-CN"/>
        </w:rPr>
        <w:t>1.7上位</w:t>
      </w:r>
      <w:r>
        <w:rPr>
          <w:rFonts w:ascii="宋体" w:eastAsia="宋体" w:cs="宋体" w:hAnsi="宋体" w:hint="eastAsia"/>
          <w:bCs/>
          <w:szCs w:val="32"/>
          <w:lang w:eastAsia="zh-CN"/>
        </w:rPr>
        <w:t>规划及相关规划情况</w:t>
      </w:r>
      <w:r>
        <w:tab/>
      </w:r>
      <w:r>
        <w:fldChar w:fldCharType="begin"/>
      </w:r>
      <w:r>
        <w:instrText xml:space="preserve"> PAGEREF _Toc16978 \h </w:instrText>
      </w:r>
      <w:r>
        <w:fldChar w:fldCharType="separate"/>
      </w:r>
      <w:r>
        <w:t>10</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_Toc14209 </w:instrText>
      </w:r>
      <w:r>
        <w:rPr>
          <w:szCs w:val="28"/>
        </w:rPr>
        <w:fldChar w:fldCharType="separate"/>
      </w:r>
      <w:r>
        <w:rPr>
          <w:rFonts w:ascii="宋体" w:eastAsia="宋体" w:cs="宋体" w:hAnsi="宋体" w:hint="eastAsia"/>
          <w:bCs/>
          <w:szCs w:val="32"/>
          <w:lang w:eastAsia="zh-CN"/>
        </w:rPr>
        <w:t>第二章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现状</w:t>
      </w:r>
      <w:r>
        <w:rPr>
          <w:rFonts w:ascii="宋体" w:eastAsia="宋体" w:cs="宋体" w:hAnsi="宋体" w:hint="eastAsia"/>
          <w:bCs/>
          <w:szCs w:val="32"/>
        </w:rPr>
        <w:t>概况</w:t>
      </w:r>
      <w:r>
        <w:tab/>
      </w:r>
      <w:r>
        <w:fldChar w:fldCharType="begin"/>
      </w:r>
      <w:r>
        <w:instrText xml:space="preserve"> PAGEREF _Toc14209 \h </w:instrText>
      </w:r>
      <w:r>
        <w:fldChar w:fldCharType="separate"/>
      </w:r>
      <w:r>
        <w:t>12</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_Toc15025 </w:instrText>
      </w:r>
      <w:r>
        <w:rPr>
          <w:szCs w:val="28"/>
        </w:rPr>
        <w:fldChar w:fldCharType="separate"/>
      </w:r>
      <w:r>
        <w:rPr>
          <w:rFonts w:ascii="宋体" w:eastAsia="宋体" w:cs="宋体" w:hAnsi="宋体" w:hint="eastAsia"/>
          <w:bCs/>
          <w:szCs w:val="32"/>
          <w:lang w:val="en-US" w:eastAsia="zh-CN"/>
        </w:rPr>
        <w:t>2.1区位情况</w:t>
      </w:r>
      <w:r>
        <w:tab/>
      </w:r>
      <w:r>
        <w:fldChar w:fldCharType="begin"/>
      </w:r>
      <w:r>
        <w:instrText xml:space="preserve"> PAGEREF _Toc15025 \h </w:instrText>
      </w:r>
      <w:r>
        <w:fldChar w:fldCharType="separate"/>
      </w:r>
      <w:r>
        <w:t>12</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_Toc15579 </w:instrText>
      </w:r>
      <w:r>
        <w:rPr>
          <w:szCs w:val="28"/>
        </w:rPr>
        <w:fldChar w:fldCharType="separate"/>
      </w:r>
      <w:r>
        <w:rPr>
          <w:rFonts w:ascii="宋体" w:eastAsia="宋体" w:cs="宋体" w:hAnsi="宋体" w:hint="eastAsia"/>
          <w:bCs/>
          <w:szCs w:val="32"/>
          <w:lang w:val="en-US" w:eastAsia="zh-CN"/>
        </w:rPr>
        <w:t>2.2现状概况</w:t>
      </w:r>
      <w:r>
        <w:tab/>
      </w:r>
      <w:r>
        <w:fldChar w:fldCharType="begin"/>
      </w:r>
      <w:r>
        <w:instrText xml:space="preserve"> PAGEREF _Toc15579 \h </w:instrText>
      </w:r>
      <w:r>
        <w:fldChar w:fldCharType="separate"/>
      </w:r>
      <w:r>
        <w:t>13</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_Toc14170 </w:instrText>
      </w:r>
      <w:r>
        <w:rPr>
          <w:szCs w:val="28"/>
        </w:rPr>
        <w:fldChar w:fldCharType="separate"/>
      </w:r>
      <w:r>
        <w:rPr>
          <w:rFonts w:ascii="宋体" w:eastAsia="宋体" w:cs="宋体" w:hAnsi="宋体" w:hint="eastAsia"/>
          <w:bCs/>
          <w:szCs w:val="32"/>
          <w:lang w:val="en-US" w:eastAsia="zh-CN"/>
        </w:rPr>
        <w:t>2.3土地利用现状</w:t>
      </w:r>
      <w:r>
        <w:tab/>
      </w:r>
      <w:r>
        <w:fldChar w:fldCharType="begin"/>
      </w:r>
      <w:r>
        <w:instrText xml:space="preserve"> PAGEREF _Toc14170 \h </w:instrText>
      </w:r>
      <w:r>
        <w:fldChar w:fldCharType="separate"/>
      </w:r>
      <w:r>
        <w:t>15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_Toc6228 </w:instrText>
      </w:r>
      <w:r>
        <w:rPr>
          <w:szCs w:val="28"/>
        </w:rPr>
        <w:fldChar w:fldCharType="separate"/>
      </w:r>
      <w:r>
        <w:rPr>
          <w:rFonts w:ascii="宋体" w:eastAsia="宋体" w:cs="宋体" w:hAnsi="宋体" w:hint="eastAsia"/>
          <w:bCs/>
          <w:szCs w:val="32"/>
          <w:lang w:val="en-US" w:eastAsia="zh-CN"/>
        </w:rPr>
        <w:t>2.4周边区域情况</w:t>
      </w:r>
      <w:r>
        <w:tab/>
      </w:r>
      <w:r>
        <w:fldChar w:fldCharType="begin"/>
      </w:r>
      <w:r>
        <w:instrText xml:space="preserve"> PAGEREF _Toc6228 \h </w:instrText>
      </w:r>
      <w:r>
        <w:fldChar w:fldCharType="separate"/>
      </w:r>
      <w:r>
        <w:t>18</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_Toc18868 </w:instrText>
      </w:r>
      <w:r>
        <w:rPr>
          <w:szCs w:val="28"/>
        </w:rPr>
        <w:fldChar w:fldCharType="separate"/>
      </w:r>
      <w:r>
        <w:rPr>
          <w:rFonts w:ascii="宋体" w:eastAsia="宋体" w:cs="宋体" w:hAnsi="宋体" w:hint="eastAsia"/>
          <w:bCs/>
          <w:szCs w:val="32"/>
          <w:lang w:eastAsia="zh-CN"/>
        </w:rPr>
        <w:t>第三章</w:t>
      </w:r>
      <w:r>
        <w:rPr>
          <w:rFonts w:ascii="宋体" w:eastAsia="宋体" w:cs="宋体" w:hAnsi="宋体" w:hint="eastAsia"/>
          <w:bCs/>
          <w:szCs w:val="32"/>
          <w:lang w:val="en-US" w:eastAsia="zh-CN"/>
        </w:rPr>
        <w:t xml:space="preserve"> </w:t>
      </w:r>
      <w:r>
        <w:rPr>
          <w:rFonts w:ascii="宋体" w:eastAsia="宋体" w:cs="宋体" w:hAnsi="宋体" w:hint="eastAsia"/>
          <w:bCs/>
          <w:szCs w:val="32"/>
        </w:rPr>
        <w:t>用地布局规划</w:t>
      </w:r>
      <w:r>
        <w:tab/>
      </w:r>
      <w:r>
        <w:fldChar w:fldCharType="begin"/>
      </w:r>
      <w:r>
        <w:instrText xml:space="preserve"> PAGEREF _Toc18868 \h </w:instrText>
      </w:r>
      <w:r>
        <w:fldChar w:fldCharType="separate"/>
      </w:r>
      <w:r>
        <w:t>19</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_Toc10136 </w:instrText>
      </w:r>
      <w:r>
        <w:rPr>
          <w:szCs w:val="28"/>
        </w:rPr>
        <w:fldChar w:fldCharType="separate"/>
      </w:r>
      <w:r>
        <w:rPr>
          <w:rFonts w:ascii="宋体" w:eastAsia="宋体" w:cs="宋体" w:hAnsi="宋体" w:hint="eastAsia"/>
          <w:bCs/>
          <w:szCs w:val="32"/>
          <w:lang w:val="en-US" w:eastAsia="zh-CN"/>
        </w:rPr>
        <w:t>3.1规划依据</w:t>
      </w:r>
      <w:r>
        <w:tab/>
      </w:r>
      <w:r>
        <w:fldChar w:fldCharType="begin"/>
      </w:r>
      <w:r>
        <w:instrText xml:space="preserve"> PAGEREF _Toc10136 \h </w:instrText>
      </w:r>
      <w:r>
        <w:fldChar w:fldCharType="separate"/>
      </w:r>
      <w:r>
        <w:t>19</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_Toc11027 </w:instrText>
      </w:r>
      <w:r>
        <w:rPr>
          <w:szCs w:val="28"/>
        </w:rPr>
        <w:fldChar w:fldCharType="separate"/>
      </w:r>
      <w:r>
        <w:rPr>
          <w:rFonts w:ascii="宋体" w:eastAsia="宋体" w:cs="宋体" w:hAnsi="宋体" w:hint="eastAsia"/>
          <w:bCs/>
          <w:szCs w:val="32"/>
          <w:lang w:val="en-US" w:eastAsia="zh-CN"/>
        </w:rPr>
        <w:t>3.2规划原则</w:t>
      </w:r>
      <w:r>
        <w:tab/>
      </w:r>
      <w:r>
        <w:fldChar w:fldCharType="begin"/>
      </w:r>
      <w:r>
        <w:instrText xml:space="preserve"> PAGEREF _Toc11027 \h </w:instrText>
      </w:r>
      <w:r>
        <w:fldChar w:fldCharType="separate"/>
      </w:r>
      <w:r>
        <w:t>20</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_Toc12190 </w:instrText>
      </w:r>
      <w:r>
        <w:rPr>
          <w:szCs w:val="28"/>
        </w:rPr>
        <w:fldChar w:fldCharType="separate"/>
      </w:r>
      <w:r>
        <w:rPr>
          <w:rFonts w:ascii="宋体" w:eastAsia="宋体" w:cs="宋体" w:hAnsi="宋体" w:hint="eastAsia"/>
          <w:bCs/>
          <w:szCs w:val="32"/>
          <w:lang w:val="en-US" w:eastAsia="zh-CN"/>
        </w:rPr>
        <w:t>3.3土地利用规划</w:t>
      </w:r>
      <w:r>
        <w:tab/>
      </w:r>
      <w:r>
        <w:fldChar w:fldCharType="begin"/>
      </w:r>
      <w:r>
        <w:instrText xml:space="preserve"> PAGEREF _Toc12190 \h </w:instrText>
      </w:r>
      <w:r>
        <w:fldChar w:fldCharType="separate"/>
      </w:r>
      <w:r>
        <w:t>20</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_Toc443 </w:instrText>
      </w:r>
      <w:r>
        <w:rPr>
          <w:szCs w:val="28"/>
        </w:rPr>
        <w:fldChar w:fldCharType="separate"/>
      </w:r>
      <w:r>
        <w:rPr>
          <w:rFonts w:ascii="宋体" w:eastAsia="宋体" w:cs="宋体" w:hAnsi="宋体" w:hint="eastAsia"/>
          <w:bCs/>
          <w:szCs w:val="32"/>
          <w:lang w:val="en-US" w:eastAsia="zh-CN"/>
        </w:rPr>
        <w:t>3.4用地规划与相邻区域关系</w:t>
      </w:r>
      <w:r>
        <w:tab/>
      </w:r>
      <w:r>
        <w:fldChar w:fldCharType="begin"/>
      </w:r>
      <w:r>
        <w:instrText xml:space="preserve"> PAGEREF _Toc443 \h </w:instrText>
      </w:r>
      <w:r>
        <w:fldChar w:fldCharType="separate"/>
      </w:r>
      <w:r>
        <w:t>25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_Toc1563 </w:instrText>
      </w:r>
      <w:r>
        <w:rPr>
          <w:szCs w:val="28"/>
        </w:rPr>
        <w:fldChar w:fldCharType="separate"/>
      </w:r>
      <w:r>
        <w:rPr>
          <w:rFonts w:ascii="宋体" w:eastAsia="宋体" w:cs="宋体" w:hAnsi="宋体" w:hint="eastAsia"/>
          <w:bCs/>
          <w:szCs w:val="32"/>
          <w:lang w:eastAsia="zh-CN"/>
        </w:rPr>
        <w:t>第四章</w:t>
      </w:r>
      <w:r>
        <w:rPr>
          <w:rFonts w:ascii="宋体" w:eastAsia="宋体" w:cs="宋体" w:hAnsi="宋体" w:hint="eastAsia"/>
          <w:bCs/>
          <w:szCs w:val="32"/>
          <w:lang w:val="en-US" w:eastAsia="zh-CN"/>
        </w:rPr>
        <w:t xml:space="preserve"> </w:t>
      </w:r>
      <w:r>
        <w:rPr>
          <w:rFonts w:ascii="宋体" w:eastAsia="宋体" w:cs="宋体" w:hAnsi="宋体" w:hint="eastAsia"/>
          <w:bCs/>
          <w:szCs w:val="32"/>
        </w:rPr>
        <w:t>综合交通及竖向规划</w:t>
      </w:r>
      <w:r>
        <w:tab/>
      </w:r>
      <w:r>
        <w:fldChar w:fldCharType="begin"/>
      </w:r>
      <w:r>
        <w:instrText xml:space="preserve"> PAGEREF _Toc1563 \h </w:instrText>
      </w:r>
      <w:r>
        <w:fldChar w:fldCharType="separate"/>
      </w:r>
      <w:r>
        <w:t>27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_Toc31493 </w:instrText>
      </w:r>
      <w:r>
        <w:rPr>
          <w:szCs w:val="28"/>
        </w:rPr>
        <w:fldChar w:fldCharType="separate"/>
      </w:r>
      <w:r>
        <w:rPr>
          <w:rFonts w:ascii="宋体" w:eastAsia="宋体" w:cs="宋体" w:hAnsi="宋体" w:hint="eastAsia"/>
          <w:bCs/>
          <w:szCs w:val="32"/>
          <w:lang w:val="en-US" w:eastAsia="zh-CN"/>
        </w:rPr>
        <w:t>4.1综合交通规划</w:t>
      </w:r>
      <w:r>
        <w:tab/>
      </w:r>
      <w:r>
        <w:fldChar w:fldCharType="begin"/>
      </w:r>
      <w:r>
        <w:instrText xml:space="preserve"> PAGEREF _Toc31493 \h </w:instrText>
      </w:r>
      <w:r>
        <w:fldChar w:fldCharType="separate"/>
      </w:r>
      <w:r>
        <w:t>27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_Toc32660 </w:instrText>
      </w:r>
      <w:r>
        <w:rPr>
          <w:szCs w:val="28"/>
        </w:rPr>
        <w:fldChar w:fldCharType="separate"/>
      </w:r>
      <w:r>
        <w:rPr>
          <w:rFonts w:ascii="宋体" w:eastAsia="宋体" w:cs="宋体" w:hAnsi="宋体" w:hint="eastAsia"/>
          <w:bCs/>
          <w:szCs w:val="32"/>
          <w:lang w:val="en-US" w:eastAsia="zh-CN"/>
        </w:rPr>
        <w:t>4.2竖向规划</w:t>
      </w:r>
      <w:r>
        <w:tab/>
      </w:r>
      <w:r>
        <w:fldChar w:fldCharType="begin"/>
      </w:r>
      <w:r>
        <w:instrText xml:space="preserve"> PAGEREF _Toc32660 \h </w:instrText>
      </w:r>
      <w:r>
        <w:fldChar w:fldCharType="separate"/>
      </w:r>
      <w:r>
        <w:t>29</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_Toc19377 </w:instrText>
      </w:r>
      <w:r>
        <w:rPr>
          <w:szCs w:val="28"/>
        </w:rPr>
        <w:fldChar w:fldCharType="separate"/>
      </w:r>
      <w:r>
        <w:rPr>
          <w:rFonts w:ascii="宋体" w:eastAsia="宋体" w:cs="宋体" w:hAnsi="宋体" w:hint="eastAsia"/>
          <w:bCs/>
          <w:szCs w:val="32"/>
          <w:lang w:eastAsia="zh-CN"/>
        </w:rPr>
        <w:t>第五章</w:t>
      </w:r>
      <w:r>
        <w:rPr>
          <w:rFonts w:ascii="宋体" w:eastAsia="宋体" w:cs="宋体" w:hAnsi="宋体" w:hint="eastAsia"/>
          <w:bCs/>
          <w:szCs w:val="32"/>
          <w:lang w:val="en-US" w:eastAsia="zh-CN"/>
        </w:rPr>
        <w:t xml:space="preserve"> </w:t>
      </w:r>
      <w:r>
        <w:rPr>
          <w:rFonts w:ascii="宋体" w:eastAsia="宋体" w:cs="宋体" w:hAnsi="宋体" w:hint="eastAsia"/>
          <w:bCs/>
          <w:szCs w:val="32"/>
        </w:rPr>
        <w:t>市政工程规划</w:t>
      </w:r>
      <w:r>
        <w:tab/>
      </w:r>
      <w:r>
        <w:fldChar w:fldCharType="begin"/>
      </w:r>
      <w:r>
        <w:instrText xml:space="preserve"> PAGEREF _Toc19377 \h </w:instrText>
      </w:r>
      <w:r>
        <w:fldChar w:fldCharType="separate"/>
      </w:r>
      <w:r>
        <w:t>29</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_Toc3824 </w:instrText>
      </w:r>
      <w:r>
        <w:rPr>
          <w:szCs w:val="28"/>
        </w:rPr>
        <w:fldChar w:fldCharType="separate"/>
      </w:r>
      <w:r>
        <w:rPr>
          <w:rFonts w:ascii="宋体" w:eastAsia="宋体" w:cs="宋体" w:hAnsi="宋体" w:hint="eastAsia"/>
          <w:bCs/>
          <w:szCs w:val="32"/>
          <w:lang w:val="en-US" w:eastAsia="zh-CN"/>
        </w:rPr>
        <w:t>5.1给水工程规划</w:t>
      </w:r>
      <w:r>
        <w:tab/>
      </w:r>
      <w:r>
        <w:fldChar w:fldCharType="begin"/>
      </w:r>
      <w:r>
        <w:instrText xml:space="preserve"> PAGEREF _Toc3824 \h </w:instrText>
      </w:r>
      <w:r>
        <w:fldChar w:fldCharType="separate"/>
      </w:r>
      <w:r>
        <w:t>29</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_Toc28574 </w:instrText>
      </w:r>
      <w:r>
        <w:rPr>
          <w:szCs w:val="28"/>
        </w:rPr>
        <w:fldChar w:fldCharType="separate"/>
      </w:r>
      <w:r>
        <w:rPr>
          <w:rFonts w:ascii="宋体" w:eastAsia="宋体" w:cs="宋体" w:hAnsi="宋体" w:hint="eastAsia"/>
          <w:bCs/>
          <w:szCs w:val="32"/>
          <w:lang w:val="en-US" w:eastAsia="zh-CN"/>
        </w:rPr>
        <w:t>5.2排水工程规划</w:t>
      </w:r>
      <w:r>
        <w:tab/>
      </w:r>
      <w:r>
        <w:fldChar w:fldCharType="begin"/>
      </w:r>
      <w:r>
        <w:instrText xml:space="preserve"> PAGEREF _Toc28574 \h </w:instrText>
      </w:r>
      <w:r>
        <w:fldChar w:fldCharType="separate"/>
      </w:r>
      <w:r>
        <w:t>31</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_Toc10944 </w:instrText>
      </w:r>
      <w:r>
        <w:rPr>
          <w:szCs w:val="28"/>
        </w:rPr>
        <w:fldChar w:fldCharType="separate"/>
      </w:r>
      <w:r>
        <w:rPr>
          <w:rFonts w:ascii="宋体" w:eastAsia="宋体" w:cs="宋体" w:hAnsi="宋体" w:hint="eastAsia"/>
          <w:bCs/>
          <w:szCs w:val="32"/>
          <w:lang w:val="en-US" w:eastAsia="zh-CN"/>
        </w:rPr>
        <w:t xml:space="preserve">5.3 </w:t>
      </w:r>
      <w:r>
        <w:rPr>
          <w:rFonts w:ascii="宋体" w:eastAsia="宋体" w:cs="宋体" w:hAnsi="宋体" w:hint="eastAsia"/>
          <w:bCs/>
          <w:szCs w:val="32"/>
        </w:rPr>
        <w:t>电力工程规划</w:t>
      </w:r>
      <w:r>
        <w:tab/>
      </w:r>
      <w:r>
        <w:fldChar w:fldCharType="begin"/>
      </w:r>
      <w:r>
        <w:instrText xml:space="preserve"> PAGEREF _Toc10944 \h </w:instrText>
      </w:r>
      <w:r>
        <w:fldChar w:fldCharType="separate"/>
      </w:r>
      <w:r>
        <w:t>32</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_Toc3209 </w:instrText>
      </w:r>
      <w:r>
        <w:rPr>
          <w:szCs w:val="28"/>
        </w:rPr>
        <w:fldChar w:fldCharType="separate"/>
      </w:r>
      <w:r>
        <w:rPr>
          <w:rFonts w:ascii="宋体" w:eastAsia="宋体" w:cs="宋体" w:hAnsi="宋体" w:hint="eastAsia"/>
          <w:bCs/>
          <w:szCs w:val="32"/>
          <w:lang w:val="en-US" w:eastAsia="zh-CN"/>
        </w:rPr>
        <w:t>5.4通信工程规划</w:t>
      </w:r>
      <w:r>
        <w:tab/>
      </w:r>
      <w:r>
        <w:fldChar w:fldCharType="begin"/>
      </w:r>
      <w:r>
        <w:instrText xml:space="preserve"> PAGEREF _Toc3209 \h </w:instrText>
      </w:r>
      <w:r>
        <w:fldChar w:fldCharType="separate"/>
      </w:r>
      <w:r>
        <w:t>35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_Toc28049 </w:instrText>
      </w:r>
      <w:r>
        <w:rPr>
          <w:szCs w:val="28"/>
        </w:rPr>
        <w:fldChar w:fldCharType="separate"/>
      </w:r>
      <w:r>
        <w:rPr>
          <w:rFonts w:ascii="宋体" w:eastAsia="宋体" w:cs="宋体" w:hAnsi="宋体" w:hint="eastAsia"/>
          <w:bCs/>
          <w:szCs w:val="32"/>
          <w:lang w:val="en-US" w:eastAsia="zh-CN"/>
        </w:rPr>
        <w:t>5.5环卫设施规划</w:t>
      </w:r>
      <w:r>
        <w:tab/>
      </w:r>
      <w:r>
        <w:fldChar w:fldCharType="begin"/>
      </w:r>
      <w:r>
        <w:instrText xml:space="preserve"> PAGEREF _Toc28049 \h </w:instrText>
      </w:r>
      <w:r>
        <w:fldChar w:fldCharType="separate"/>
      </w:r>
      <w:r>
        <w:t>36</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_Toc14210 </w:instrText>
      </w:r>
      <w:r>
        <w:rPr>
          <w:szCs w:val="28"/>
        </w:rPr>
        <w:fldChar w:fldCharType="separate"/>
      </w:r>
      <w:r>
        <w:rPr>
          <w:rFonts w:ascii="宋体" w:eastAsia="宋体" w:cs="宋体" w:hAnsi="宋体" w:hint="eastAsia"/>
          <w:bCs/>
          <w:szCs w:val="32"/>
          <w:lang w:eastAsia="zh-CN"/>
        </w:rPr>
        <w:t>第六章</w:t>
      </w:r>
      <w:r>
        <w:rPr>
          <w:rFonts w:ascii="宋体" w:eastAsia="宋体" w:cs="宋体" w:hAnsi="宋体" w:hint="eastAsia"/>
          <w:bCs/>
          <w:szCs w:val="32"/>
          <w:lang w:val="en-US" w:eastAsia="zh-CN"/>
        </w:rPr>
        <w:t xml:space="preserve"> </w:t>
      </w:r>
      <w:r>
        <w:rPr>
          <w:rFonts w:ascii="宋体" w:eastAsia="宋体" w:cs="宋体" w:hAnsi="宋体" w:hint="eastAsia"/>
          <w:bCs/>
          <w:szCs w:val="32"/>
        </w:rPr>
        <w:t>综合防灾规划</w:t>
      </w:r>
      <w:r>
        <w:tab/>
      </w:r>
      <w:r>
        <w:fldChar w:fldCharType="begin"/>
      </w:r>
      <w:r>
        <w:instrText xml:space="preserve"> PAGEREF _Toc14210 \h </w:instrText>
      </w:r>
      <w:r>
        <w:fldChar w:fldCharType="separate"/>
      </w:r>
      <w:r>
        <w:t>37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_Toc20996 </w:instrText>
      </w:r>
      <w:r>
        <w:rPr>
          <w:szCs w:val="28"/>
        </w:rPr>
        <w:fldChar w:fldCharType="separate"/>
      </w:r>
      <w:r>
        <w:rPr>
          <w:rFonts w:ascii="宋体" w:eastAsia="宋体" w:cs="宋体" w:hAnsi="宋体" w:hint="eastAsia"/>
          <w:bCs/>
          <w:szCs w:val="32"/>
          <w:lang w:val="en-US" w:eastAsia="zh-CN"/>
        </w:rPr>
        <w:t>6.1消防规划</w:t>
      </w:r>
      <w:r>
        <w:tab/>
      </w:r>
      <w:r>
        <w:fldChar w:fldCharType="begin"/>
      </w:r>
      <w:r>
        <w:instrText xml:space="preserve"> PAGEREF _Toc20996 \h </w:instrText>
      </w:r>
      <w:r>
        <w:fldChar w:fldCharType="separate"/>
      </w:r>
      <w:r>
        <w:t>37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_Toc6959 </w:instrText>
      </w:r>
      <w:r>
        <w:rPr>
          <w:szCs w:val="28"/>
        </w:rPr>
        <w:fldChar w:fldCharType="separate"/>
      </w:r>
      <w:r>
        <w:rPr>
          <w:rFonts w:ascii="宋体" w:eastAsia="宋体" w:cs="宋体" w:hAnsi="宋体" w:hint="eastAsia"/>
          <w:bCs/>
          <w:szCs w:val="32"/>
          <w:lang w:val="en-US" w:eastAsia="zh-CN"/>
        </w:rPr>
        <w:t>6.2抗震防灾规划</w:t>
      </w:r>
      <w:r>
        <w:tab/>
      </w:r>
      <w:r>
        <w:fldChar w:fldCharType="begin"/>
      </w:r>
      <w:r>
        <w:instrText xml:space="preserve"> PAGEREF _Toc6959 \h </w:instrText>
      </w:r>
      <w:r>
        <w:fldChar w:fldCharType="separate"/>
      </w:r>
      <w:r>
        <w:t>41</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_Toc12423 </w:instrText>
      </w:r>
      <w:r>
        <w:rPr>
          <w:szCs w:val="28"/>
        </w:rPr>
        <w:fldChar w:fldCharType="separate"/>
      </w:r>
      <w:r>
        <w:rPr>
          <w:rFonts w:ascii="宋体" w:eastAsia="宋体" w:cs="宋体" w:hAnsi="宋体" w:hint="eastAsia"/>
          <w:bCs/>
          <w:szCs w:val="32"/>
          <w:lang w:val="en-US" w:eastAsia="zh-CN"/>
        </w:rPr>
        <w:t>6.3防洪排涝</w:t>
      </w:r>
      <w:r>
        <w:tab/>
      </w:r>
      <w:r>
        <w:fldChar w:fldCharType="begin"/>
      </w:r>
      <w:r>
        <w:instrText xml:space="preserve"> PAGEREF _Toc12423 \h </w:instrText>
      </w:r>
      <w:r>
        <w:fldChar w:fldCharType="separate"/>
      </w:r>
      <w:r>
        <w:t>43</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_Toc11554 </w:instrText>
      </w:r>
      <w:r>
        <w:rPr>
          <w:szCs w:val="28"/>
        </w:rPr>
        <w:fldChar w:fldCharType="separate"/>
      </w:r>
      <w:r>
        <w:rPr>
          <w:rFonts w:ascii="宋体" w:eastAsia="宋体" w:cs="宋体" w:hAnsi="宋体" w:hint="eastAsia"/>
          <w:bCs/>
          <w:szCs w:val="32"/>
          <w:lang w:val="en-US" w:eastAsia="zh-CN"/>
        </w:rPr>
        <w:t>6.4地质灾害防治规划</w:t>
      </w:r>
      <w:r>
        <w:tab/>
      </w:r>
      <w:r>
        <w:fldChar w:fldCharType="begin"/>
      </w:r>
      <w:r>
        <w:instrText xml:space="preserve"> PAGEREF _Toc11554 \h </w:instrText>
      </w:r>
      <w:r>
        <w:fldChar w:fldCharType="separate"/>
      </w:r>
      <w:r>
        <w:t>45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_Toc5084 </w:instrText>
      </w:r>
      <w:r>
        <w:rPr>
          <w:szCs w:val="28"/>
        </w:rPr>
        <w:fldChar w:fldCharType="separate"/>
      </w:r>
      <w:r>
        <w:rPr>
          <w:rFonts w:ascii="宋体" w:eastAsia="宋体" w:cs="宋体" w:hAnsi="宋体" w:hint="eastAsia"/>
          <w:bCs/>
          <w:szCs w:val="32"/>
          <w:lang w:eastAsia="zh-CN"/>
        </w:rPr>
        <w:t>第七章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地块管控</w:t>
      </w:r>
      <w:r>
        <w:rPr>
          <w:rFonts w:ascii="宋体" w:eastAsia="宋体" w:cs="宋体" w:hAnsi="宋体" w:hint="eastAsia"/>
          <w:bCs/>
          <w:szCs w:val="32"/>
        </w:rPr>
        <w:t>规划</w:t>
      </w:r>
      <w:r>
        <w:tab/>
      </w:r>
      <w:r>
        <w:fldChar w:fldCharType="begin"/>
      </w:r>
      <w:r>
        <w:instrText xml:space="preserve"> PAGEREF _Toc5084 \h </w:instrText>
      </w:r>
      <w:r>
        <w:fldChar w:fldCharType="separate"/>
      </w:r>
      <w:r>
        <w:t>46</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_Toc21183 </w:instrText>
      </w:r>
      <w:r>
        <w:rPr>
          <w:szCs w:val="28"/>
        </w:rPr>
        <w:fldChar w:fldCharType="separate"/>
      </w:r>
      <w:r>
        <w:rPr>
          <w:rFonts w:ascii="宋体" w:eastAsia="宋体" w:cs="宋体" w:hAnsi="宋体" w:hint="eastAsia"/>
          <w:bCs/>
          <w:szCs w:val="32"/>
          <w:lang w:val="en-US" w:eastAsia="zh-CN"/>
        </w:rPr>
        <w:t>7.1地块控制内容</w:t>
      </w:r>
      <w:r>
        <w:tab/>
      </w:r>
      <w:r>
        <w:fldChar w:fldCharType="begin"/>
      </w:r>
      <w:r>
        <w:instrText xml:space="preserve"> PAGEREF _Toc21183 \h </w:instrText>
      </w:r>
      <w:r>
        <w:fldChar w:fldCharType="separate"/>
      </w:r>
      <w:r>
        <w:t>46</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_Toc25298 </w:instrText>
      </w:r>
      <w:r>
        <w:rPr>
          <w:szCs w:val="28"/>
        </w:rPr>
        <w:fldChar w:fldCharType="separate"/>
      </w:r>
      <w:r>
        <w:rPr>
          <w:rFonts w:ascii="宋体" w:eastAsia="宋体" w:cs="宋体" w:hAnsi="宋体" w:hint="eastAsia"/>
          <w:bCs/>
          <w:szCs w:val="32"/>
          <w:lang w:val="en-US" w:eastAsia="zh-CN"/>
        </w:rPr>
        <w:t>7.2地块控制指标表</w:t>
      </w:r>
      <w:r>
        <w:tab/>
      </w:r>
      <w:r>
        <w:fldChar w:fldCharType="begin"/>
      </w:r>
      <w:r>
        <w:instrText xml:space="preserve"> PAGEREF _Toc25298 \h </w:instrText>
      </w:r>
      <w:r>
        <w:fldChar w:fldCharType="separate"/>
      </w:r>
      <w:r>
        <w:t>54</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_Toc6800 </w:instrText>
      </w:r>
      <w:r>
        <w:rPr>
          <w:szCs w:val="28"/>
        </w:rPr>
        <w:fldChar w:fldCharType="separate"/>
      </w:r>
      <w:r>
        <w:rPr>
          <w:rFonts w:ascii="宋体" w:eastAsia="宋体" w:cs="宋体" w:hAnsi="宋体" w:hint="eastAsia"/>
          <w:bCs/>
          <w:szCs w:val="32"/>
          <w:lang w:eastAsia="zh-CN"/>
        </w:rPr>
        <w:t>第八章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环境保护</w:t>
      </w:r>
      <w:r>
        <w:rPr>
          <w:rFonts w:ascii="宋体" w:eastAsia="宋体" w:cs="宋体" w:hAnsi="宋体" w:hint="eastAsia"/>
          <w:bCs/>
          <w:szCs w:val="32"/>
        </w:rPr>
        <w:t>规划</w:t>
      </w:r>
      <w:r>
        <w:tab/>
      </w:r>
      <w:r>
        <w:fldChar w:fldCharType="begin"/>
      </w:r>
      <w:r>
        <w:instrText xml:space="preserve"> PAGEREF _Toc6800 \h </w:instrText>
      </w:r>
      <w:r>
        <w:fldChar w:fldCharType="separate"/>
      </w:r>
      <w:r>
        <w:t>57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_Toc4323 </w:instrText>
      </w:r>
      <w:r>
        <w:rPr>
          <w:szCs w:val="28"/>
        </w:rPr>
        <w:fldChar w:fldCharType="separate"/>
      </w:r>
      <w:r>
        <w:rPr>
          <w:rFonts w:ascii="宋体" w:eastAsia="宋体" w:cs="宋体" w:hAnsi="宋体" w:hint="eastAsia"/>
          <w:bCs/>
          <w:szCs w:val="32"/>
          <w:lang w:val="en-US" w:eastAsia="zh-CN"/>
        </w:rPr>
        <w:t>8.1规划依据</w:t>
      </w:r>
      <w:r>
        <w:tab/>
      </w:r>
      <w:r>
        <w:fldChar w:fldCharType="begin"/>
      </w:r>
      <w:r>
        <w:instrText xml:space="preserve"> PAGEREF _Toc4323 \h </w:instrText>
      </w:r>
      <w:r>
        <w:fldChar w:fldCharType="separate"/>
      </w:r>
      <w:r>
        <w:t>57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_Toc5366 </w:instrText>
      </w:r>
      <w:r>
        <w:rPr>
          <w:szCs w:val="28"/>
        </w:rPr>
        <w:fldChar w:fldCharType="separate"/>
      </w:r>
      <w:r>
        <w:rPr>
          <w:rFonts w:ascii="宋体" w:eastAsia="宋体" w:cs="宋体" w:hAnsi="宋体" w:hint="eastAsia"/>
          <w:bCs/>
          <w:szCs w:val="32"/>
          <w:lang w:val="en-US" w:eastAsia="zh-CN"/>
        </w:rPr>
        <w:t>8.2环境保护措施</w:t>
      </w:r>
      <w:r>
        <w:tab/>
      </w:r>
      <w:r>
        <w:fldChar w:fldCharType="begin"/>
      </w:r>
      <w:r>
        <w:instrText xml:space="preserve"> PAGEREF _Toc5366 \h </w:instrText>
      </w:r>
      <w:r>
        <w:fldChar w:fldCharType="separate"/>
      </w:r>
      <w:r>
        <w:t>57</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_Toc21643 </w:instrText>
      </w:r>
      <w:r>
        <w:rPr>
          <w:szCs w:val="28"/>
        </w:rPr>
        <w:fldChar w:fldCharType="separate"/>
      </w:r>
      <w:r>
        <w:rPr>
          <w:rFonts w:ascii="宋体" w:eastAsia="宋体" w:cs="宋体" w:hAnsi="宋体" w:hint="eastAsia"/>
          <w:bCs/>
          <w:szCs w:val="32"/>
          <w:lang w:eastAsia="zh-CN"/>
        </w:rPr>
        <w:t>第九章</w:t>
      </w:r>
      <w:r>
        <w:rPr>
          <w:rFonts w:ascii="宋体" w:eastAsia="宋体" w:cs="宋体" w:hAnsi="宋体" w:hint="eastAsia"/>
          <w:bCs/>
          <w:szCs w:val="32"/>
          <w:lang w:val="en-US" w:eastAsia="zh-CN"/>
        </w:rPr>
        <w:t xml:space="preserve"> </w:t>
      </w:r>
      <w:r>
        <w:rPr>
          <w:rFonts w:ascii="宋体" w:eastAsia="宋体" w:cs="宋体" w:hAnsi="宋体" w:hint="eastAsia"/>
          <w:bCs/>
          <w:szCs w:val="32"/>
          <w:lang w:eastAsia="zh-CN"/>
        </w:rPr>
        <w:t>附则</w:t>
      </w:r>
      <w:r>
        <w:tab/>
      </w:r>
      <w:r>
        <w:fldChar w:fldCharType="begin"/>
      </w:r>
      <w:r>
        <w:instrText xml:space="preserve"> PAGEREF _Toc21643 \h </w:instrText>
      </w:r>
      <w:r>
        <w:fldChar w:fldCharType="separate"/>
      </w:r>
      <w:r>
        <w:t>65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_Toc28562 </w:instrText>
      </w:r>
      <w:r>
        <w:rPr>
          <w:szCs w:val="28"/>
        </w:rPr>
        <w:fldChar w:fldCharType="separate"/>
      </w:r>
      <w:r>
        <w:rPr>
          <w:rFonts w:ascii="宋体" w:eastAsia="宋体" w:cs="宋体" w:hAnsi="宋体" w:hint="eastAsia"/>
          <w:bCs/>
          <w:szCs w:val="32"/>
          <w:lang w:val="en-US" w:eastAsia="zh-CN"/>
        </w:rPr>
        <w:t>9.1规划成果构成</w:t>
      </w:r>
      <w:r>
        <w:tab/>
      </w:r>
      <w:r>
        <w:fldChar w:fldCharType="begin"/>
      </w:r>
      <w:r>
        <w:instrText xml:space="preserve"> PAGEREF _Toc28562 \h </w:instrText>
      </w:r>
      <w:r>
        <w:fldChar w:fldCharType="separate"/>
      </w:r>
      <w:r>
        <w:t>65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_Toc6553 </w:instrText>
      </w:r>
      <w:r>
        <w:rPr>
          <w:szCs w:val="28"/>
        </w:rPr>
        <w:fldChar w:fldCharType="separate"/>
      </w:r>
      <w:r>
        <w:rPr>
          <w:rFonts w:ascii="宋体" w:eastAsia="宋体" w:cs="宋体" w:hAnsi="宋体" w:hint="eastAsia"/>
          <w:bCs/>
          <w:szCs w:val="32"/>
          <w:lang w:val="en-US" w:eastAsia="zh-CN"/>
        </w:rPr>
        <w:t>9.2规划控制指标</w:t>
      </w:r>
      <w:r>
        <w:tab/>
      </w:r>
      <w:r>
        <w:fldChar w:fldCharType="begin"/>
      </w:r>
      <w:r>
        <w:instrText xml:space="preserve"> PAGEREF _Toc6553 \h </w:instrText>
      </w:r>
      <w:r>
        <w:fldChar w:fldCharType="separate"/>
      </w:r>
      <w:r>
        <w:t>65</w:t>
      </w:r>
      <w:r>
        <w:fldChar w:fldCharType="end"/>
      </w:r>
      <w:r>
        <w:rPr>
          <w:color w:val="auto"/>
          <w:szCs w:val="28"/>
        </w:rPr>
        <w:fldChar w:fldCharType="end"/>
      </w:r>
    </w:p>
    <w:p>
      <w:pPr>
        <w:pStyle w:val="23"/>
        <w:tabs>
          <w:tab w:val="right" w:leader="dot" w:pos="8306"/>
        </w:tabs>
      </w:pPr>
      <w:r>
        <w:rPr>
          <w:szCs w:val="28"/>
        </w:rPr>
        <w:fldChar w:fldCharType="begin"/>
      </w:r>
      <w:r>
        <w:rPr>
          <w:szCs w:val="28"/>
        </w:rPr>
        <w:instrText xml:space="preserve"> HYPERLINK \l _Toc20710 </w:instrText>
      </w:r>
      <w:r>
        <w:rPr>
          <w:szCs w:val="28"/>
        </w:rPr>
        <w:fldChar w:fldCharType="separate"/>
      </w:r>
      <w:r>
        <w:rPr>
          <w:rFonts w:ascii="宋体" w:eastAsia="宋体" w:cs="宋体" w:hAnsi="宋体" w:hint="eastAsia"/>
          <w:bCs/>
          <w:szCs w:val="32"/>
          <w:lang w:val="en-US" w:eastAsia="zh-CN"/>
        </w:rPr>
        <w:t>9.3规划实施保障措施</w:t>
      </w:r>
      <w:r>
        <w:tab/>
      </w:r>
      <w:r>
        <w:fldChar w:fldCharType="begin"/>
      </w:r>
      <w:r>
        <w:instrText xml:space="preserve"> PAGEREF _Toc20710 \h </w:instrText>
      </w:r>
      <w:r>
        <w:fldChar w:fldCharType="separate"/>
      </w:r>
      <w:r>
        <w:t>65</w:t>
      </w:r>
      <w:r>
        <w:fldChar w:fldCharType="end"/>
      </w:r>
      <w:r>
        <w:rPr>
          <w:color w:val="auto"/>
          <w:szCs w:val="28"/>
        </w:rPr>
        <w:fldChar w:fldCharType="end"/>
      </w:r>
    </w:p>
    <w:p>
      <w:pPr>
        <w:spacing w:line="440" w:lineRule="exact"/>
        <w:rPr>
          <w:b/>
          <w:bCs/>
          <w:color w:val="auto"/>
          <w:sz w:val="30"/>
          <w:szCs w:val="30"/>
        </w:rPr>
        <w:sectPr>
          <w:footerReference w:type="default" r:id="rId2"/>
          <w:pgSz w:w="11906" w:h="16838"/>
          <w:pgMar w:top="1440" w:right="1800" w:bottom="1440" w:left="1800" w:header="851" w:footer="992" w:gutter="0"/>
          <w:docGrid w:type="lines" w:linePitch="312" w:charSpace="0"/>
        </w:sectPr>
      </w:pPr>
      <w:r>
        <w:rPr>
          <w:color w:val="auto"/>
          <w:szCs w:val="28"/>
        </w:rPr>
        <w:fldChar w:fldCharType="end"/>
      </w:r>
      <w:bookmarkStart w:id="3" w:name="_Toc18067"/>
      <w:bookmarkStart w:id="4" w:name="_Toc28413"/>
    </w:p>
    <w:p>
      <w:pPr>
        <w:pStyle w:val="1"/>
        <w:numPr>
          <w:ilvl w:val="0"/>
          <w:numId w:val="1"/>
        </w:numPr>
        <w:spacing w:before="260" w:line="360" w:lineRule="auto"/>
        <w:ind w:left="420"/>
        <w:jc w:val="center"/>
        <w:rPr>
          <w:rFonts w:ascii="宋体" w:eastAsia="宋体" w:cs="宋体" w:hAnsi="宋体" w:hint="eastAsia"/>
          <w:bCs/>
          <w:color w:val="auto"/>
          <w:sz w:val="32"/>
          <w:szCs w:val="32"/>
          <w:lang w:eastAsia="zh-CN"/>
        </w:rPr>
      </w:pPr>
      <w:bookmarkStart w:id="5" w:name="_Toc1705"/>
      <w:bookmarkStart w:id="6" w:name="_Toc20049"/>
      <w:bookmarkStart w:id="7" w:name="_Toc12534"/>
      <w:bookmarkStart w:id="8" w:name="_Toc307"/>
      <w:bookmarkStart w:id="9" w:name="_Toc6350"/>
      <w:bookmarkStart w:id="10" w:name="_Toc20414"/>
      <w:bookmarkStart w:id="11" w:name="_Toc27536"/>
      <w:bookmarkStart w:id="12" w:name="_Toc7237"/>
      <w:bookmarkStart w:id="13" w:name="_Toc23810"/>
      <w:bookmarkStart w:id="14" w:name="_Toc9811"/>
      <w:bookmarkEnd w:id="3"/>
      <w:bookmarkEnd w:id="4"/>
      <w:r>
        <w:rPr>
          <w:rFonts w:ascii="宋体" w:eastAsia="宋体" w:cs="宋体" w:hAnsi="宋体" w:hint="eastAsia"/>
          <w:bCs/>
          <w:color w:val="auto"/>
          <w:sz w:val="32"/>
          <w:szCs w:val="32"/>
          <w:lang w:eastAsia="zh-CN"/>
        </w:rPr>
        <w:t>规划综述</w:t>
      </w:r>
      <w:bookmarkEnd w:id="5"/>
    </w:p>
    <w:p>
      <w:pPr>
        <w:pStyle w:val="1"/>
        <w:numPr>
          <w:ilvl w:val="0"/>
          <w:numId w:val="0"/>
        </w:numPr>
        <w:spacing w:before="260" w:line="360" w:lineRule="auto"/>
        <w:ind w:left="420"/>
        <w:rPr>
          <w:rFonts w:ascii="宋体" w:eastAsia="宋体" w:cs="宋体" w:hAnsi="宋体"/>
          <w:bCs/>
          <w:color w:val="auto"/>
          <w:sz w:val="32"/>
          <w:szCs w:val="32"/>
        </w:rPr>
      </w:pPr>
      <w:bookmarkStart w:id="15" w:name="_Toc556"/>
      <w:r>
        <w:rPr>
          <w:rFonts w:ascii="宋体" w:eastAsia="宋体" w:cs="宋体" w:hAnsi="宋体" w:hint="eastAsia"/>
          <w:bCs/>
          <w:color w:val="auto"/>
          <w:sz w:val="32"/>
          <w:szCs w:val="32"/>
          <w:lang w:val="en-US" w:eastAsia="zh-CN"/>
        </w:rPr>
        <w:t>1.1</w:t>
      </w:r>
      <w:r>
        <w:rPr>
          <w:rFonts w:ascii="宋体" w:eastAsia="宋体" w:cs="宋体" w:hAnsi="宋体" w:hint="eastAsia"/>
          <w:bCs/>
          <w:color w:val="auto"/>
          <w:sz w:val="32"/>
          <w:szCs w:val="32"/>
          <w:lang w:eastAsia="zh-CN"/>
        </w:rPr>
        <w:t>规划背景</w:t>
      </w:r>
      <w:bookmarkEnd w:id="15"/>
    </w:p>
    <w:p>
      <w:pPr>
        <w:rPr>
          <w:color w:val="auto"/>
        </w:rPr>
      </w:pP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随着经济的快速发展，人类正以前所未有的速度消耗着地球上极为有限的化石能源资源。为减少对一次能源的依赖，保护人类的生存环境，我国研究、制定和执行经济、社会和资源相互协调的21 世纪可持续发展战略。根据“十四五”规划和2035年远景目标纲要，风能作为清洁、绿色、低碳的能源，将在构建新型电力系统中发挥不可或缺的作用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广西属能源缺乏省份之一，在一次能源中，广西煤、气、油等资源匮乏，然而，钦州市风能资源丰富，主要分布在海拔相对较高的山脊、丘陵区域，开发风电场符合我国能源产业发展战略和方向</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钦州低风速二期分散式风电场工程项目</w:t>
      </w:r>
      <w:r>
        <w:rPr>
          <w:rFonts w:ascii="宋体" w:eastAsia="宋体" w:cs="宋体" w:hAnsi="宋体" w:hint="eastAsia"/>
          <w:color w:val="auto"/>
          <w:kern w:val="0"/>
          <w:sz w:val="28"/>
          <w:szCs w:val="28"/>
          <w:lang w:eastAsia="zh-CN"/>
        </w:rPr>
        <w:t>属自治区核准项目，为了</w:t>
      </w:r>
      <w:r>
        <w:rPr>
          <w:rFonts w:ascii="宋体" w:eastAsia="宋体" w:cs="宋体" w:hAnsi="宋体" w:hint="eastAsia"/>
          <w:color w:val="auto"/>
          <w:kern w:val="0"/>
          <w:sz w:val="28"/>
          <w:szCs w:val="28"/>
        </w:rPr>
        <w:t>加快自治区</w:t>
      </w:r>
      <w:r>
        <w:rPr>
          <w:rFonts w:ascii="宋体" w:eastAsia="宋体" w:cs="宋体" w:hAnsi="宋体" w:hint="eastAsia"/>
          <w:color w:val="auto"/>
          <w:kern w:val="0"/>
          <w:sz w:val="28"/>
          <w:szCs w:val="28"/>
          <w:lang w:eastAsia="zh-CN"/>
        </w:rPr>
        <w:t>及钦州</w:t>
      </w:r>
      <w:r>
        <w:rPr>
          <w:rFonts w:ascii="宋体" w:eastAsia="宋体" w:cs="宋体" w:hAnsi="宋体" w:hint="eastAsia"/>
          <w:color w:val="auto"/>
          <w:kern w:val="0"/>
          <w:sz w:val="28"/>
          <w:szCs w:val="28"/>
        </w:rPr>
        <w:t>风能资源的开发</w:t>
      </w:r>
      <w:r>
        <w:rPr>
          <w:rFonts w:ascii="宋体" w:eastAsia="宋体" w:cs="宋体" w:hAnsi="宋体" w:hint="eastAsia"/>
          <w:color w:val="auto"/>
          <w:kern w:val="0"/>
          <w:sz w:val="28"/>
          <w:szCs w:val="28"/>
          <w:lang w:eastAsia="zh-CN"/>
        </w:rPr>
        <w:t>，广西能投新能源有限公司作为投资建设主体向规划主管部门提出该</w:t>
      </w:r>
      <w:r>
        <w:rPr>
          <w:rFonts w:ascii="宋体" w:eastAsia="宋体" w:cs="宋体" w:hAnsi="宋体" w:hint="eastAsia"/>
          <w:color w:val="auto"/>
          <w:kern w:val="0"/>
          <w:sz w:val="28"/>
          <w:szCs w:val="28"/>
        </w:rPr>
        <w:t>项目</w:t>
      </w:r>
      <w:r>
        <w:rPr>
          <w:rFonts w:ascii="宋体" w:eastAsia="宋体" w:cs="宋体" w:hAnsi="宋体" w:hint="eastAsia"/>
          <w:color w:val="auto"/>
          <w:kern w:val="0"/>
          <w:sz w:val="28"/>
          <w:szCs w:val="28"/>
          <w:lang w:eastAsia="zh-CN"/>
        </w:rPr>
        <w:t>规划建设用地申请。目前已经取得自治区能源局、</w:t>
      </w:r>
      <w:r>
        <w:rPr>
          <w:rFonts w:ascii="宋体" w:eastAsia="宋体" w:cs="宋体" w:hAnsi="宋体"/>
          <w:color w:val="auto"/>
          <w:kern w:val="0"/>
          <w:sz w:val="28"/>
          <w:szCs w:val="28"/>
          <w:lang w:eastAsia="zh-CN"/>
        </w:rPr>
        <w:t>自治</w:t>
      </w:r>
      <w:r>
        <w:rPr>
          <w:rFonts w:ascii="宋体" w:eastAsia="宋体" w:cs="宋体" w:hAnsi="宋体" w:hint="eastAsia"/>
          <w:color w:val="auto"/>
          <w:kern w:val="0"/>
          <w:sz w:val="28"/>
          <w:szCs w:val="28"/>
          <w:lang w:eastAsia="zh-CN"/>
        </w:rPr>
        <w:t>区</w:t>
      </w:r>
      <w:r>
        <w:rPr>
          <w:rFonts w:ascii="宋体" w:eastAsia="宋体" w:cs="宋体" w:hAnsi="宋体"/>
          <w:color w:val="auto"/>
          <w:kern w:val="0"/>
          <w:sz w:val="28"/>
          <w:szCs w:val="28"/>
          <w:lang w:eastAsia="zh-CN"/>
        </w:rPr>
        <w:t>发展改革委</w:t>
      </w:r>
      <w:r>
        <w:rPr>
          <w:rFonts w:ascii="宋体" w:eastAsia="宋体" w:cs="宋体" w:hAnsi="宋体" w:hint="eastAsia"/>
          <w:color w:val="auto"/>
          <w:kern w:val="0"/>
          <w:sz w:val="28"/>
          <w:szCs w:val="28"/>
          <w:lang w:eastAsia="zh-CN"/>
        </w:rPr>
        <w:t>项目核准、</w:t>
      </w:r>
      <w:r>
        <w:rPr>
          <w:rFonts w:ascii="宋体" w:eastAsia="宋体" w:cs="宋体" w:hAnsi="宋体"/>
          <w:color w:val="auto"/>
          <w:kern w:val="0"/>
          <w:sz w:val="28"/>
          <w:szCs w:val="28"/>
          <w:lang w:eastAsia="zh-CN"/>
        </w:rPr>
        <w:t>自治</w:t>
      </w:r>
      <w:r>
        <w:rPr>
          <w:rFonts w:ascii="宋体" w:eastAsia="宋体" w:cs="宋体" w:hAnsi="宋体" w:hint="eastAsia"/>
          <w:color w:val="auto"/>
          <w:kern w:val="0"/>
          <w:sz w:val="28"/>
          <w:szCs w:val="28"/>
          <w:lang w:eastAsia="zh-CN"/>
        </w:rPr>
        <w:t>区自然资源厅用地预审和</w:t>
      </w:r>
      <w:r>
        <w:rPr>
          <w:rFonts w:ascii="宋体" w:eastAsia="宋体" w:cs="宋体" w:hAnsi="宋体"/>
          <w:color w:val="auto"/>
          <w:kern w:val="0"/>
          <w:sz w:val="28"/>
          <w:szCs w:val="28"/>
          <w:lang w:eastAsia="zh-CN"/>
        </w:rPr>
        <w:t>钦北</w:t>
      </w:r>
      <w:r>
        <w:rPr>
          <w:rFonts w:ascii="宋体" w:eastAsia="宋体" w:cs="宋体" w:hAnsi="宋体" w:hint="eastAsia"/>
          <w:color w:val="auto"/>
          <w:kern w:val="0"/>
          <w:sz w:val="28"/>
          <w:szCs w:val="28"/>
          <w:lang w:eastAsia="zh-CN"/>
        </w:rPr>
        <w:t>区</w:t>
      </w:r>
      <w:r>
        <w:rPr>
          <w:rFonts w:ascii="宋体" w:eastAsia="宋体" w:cs="宋体" w:hAnsi="宋体"/>
          <w:color w:val="auto"/>
          <w:kern w:val="0"/>
          <w:sz w:val="28"/>
          <w:szCs w:val="28"/>
          <w:lang w:eastAsia="zh-CN"/>
        </w:rPr>
        <w:t>人民</w:t>
      </w:r>
      <w:r>
        <w:rPr>
          <w:rFonts w:ascii="宋体" w:eastAsia="宋体" w:cs="宋体" w:hAnsi="宋体" w:hint="eastAsia"/>
          <w:color w:val="auto"/>
          <w:kern w:val="0"/>
          <w:sz w:val="28"/>
          <w:szCs w:val="28"/>
          <w:lang w:eastAsia="zh-CN"/>
        </w:rPr>
        <w:t>政府建设用地等方面的批复。</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color w:val="auto"/>
          <w:kern w:val="0"/>
          <w:sz w:val="28"/>
          <w:szCs w:val="28"/>
        </w:rPr>
        <w:t>2024年10月，</w:t>
      </w:r>
      <w:r>
        <w:rPr>
          <w:rFonts w:ascii="宋体" w:eastAsia="宋体" w:cs="宋体" w:hAnsi="宋体" w:hint="eastAsia"/>
          <w:color w:val="auto"/>
          <w:kern w:val="0"/>
          <w:sz w:val="28"/>
          <w:szCs w:val="28"/>
        </w:rPr>
        <w:t>自治区自然资源厅印发《广西壮族自治区独立地块详细规划编制要点（试行）》的通知（桂自然资办〔</w:t>
      </w:r>
      <w:r>
        <w:rPr>
          <w:rFonts w:ascii="宋体" w:eastAsia="宋体" w:cs="宋体" w:hAnsi="宋体"/>
          <w:color w:val="auto"/>
          <w:kern w:val="0"/>
          <w:sz w:val="28"/>
          <w:szCs w:val="28"/>
        </w:rPr>
        <w:t>2024〕197号</w:t>
      </w:r>
      <w:r>
        <w:rPr>
          <w:rFonts w:ascii="宋体" w:eastAsia="宋体" w:cs="宋体" w:hAnsi="宋体" w:hint="eastAsia"/>
          <w:color w:val="auto"/>
          <w:kern w:val="0"/>
          <w:sz w:val="28"/>
          <w:szCs w:val="28"/>
        </w:rPr>
        <w:t>），提出独立地块可以编制独立地块详细规划作为简易型的国土空间详细规划</w:t>
      </w:r>
      <w:r>
        <w:rPr>
          <w:rFonts w:ascii="宋体" w:eastAsia="宋体" w:cs="宋体" w:hAnsi="宋体" w:hint="eastAsia"/>
          <w:color w:val="auto"/>
          <w:kern w:val="0"/>
          <w:sz w:val="28"/>
          <w:szCs w:val="28"/>
          <w:lang w:eastAsia="zh-CN"/>
        </w:rPr>
        <w:t>。</w:t>
      </w:r>
    </w:p>
    <w:p>
      <w:pPr>
        <w:widowControl/>
        <w:spacing w:before="4"/>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目前，</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各乡镇</w:t>
      </w:r>
      <w:r>
        <w:rPr>
          <w:rFonts w:ascii="宋体" w:eastAsia="宋体" w:cs="宋体" w:hAnsi="宋体" w:hint="eastAsia"/>
          <w:color w:val="auto"/>
          <w:kern w:val="0"/>
          <w:sz w:val="28"/>
          <w:szCs w:val="28"/>
        </w:rPr>
        <w:t>国土空间规划</w:t>
      </w:r>
      <w:r>
        <w:rPr>
          <w:rFonts w:ascii="宋体" w:eastAsia="宋体" w:cs="宋体" w:hAnsi="宋体" w:hint="eastAsia"/>
          <w:color w:val="auto"/>
          <w:kern w:val="0"/>
          <w:sz w:val="28"/>
          <w:szCs w:val="28"/>
          <w:lang w:eastAsia="zh-CN"/>
        </w:rPr>
        <w:t>还在编制阶段</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项目场址位于钦北区大垌镇及那蒙镇交界区域，用地位置在城镇开发边界外</w:t>
      </w:r>
      <w:r>
        <w:rPr>
          <w:rFonts w:hint="eastAsia"/>
          <w:color w:val="auto"/>
          <w:kern w:val="0"/>
          <w:sz w:val="28"/>
          <w:szCs w:val="28"/>
          <w:lang w:val="en-US" w:eastAsia="zh-CN"/>
        </w:rPr>
        <w:t>，</w:t>
      </w:r>
      <w:r>
        <w:rPr>
          <w:rFonts w:ascii="宋体" w:eastAsia="宋体" w:cs="宋体" w:hAnsi="宋体" w:hint="eastAsia"/>
          <w:color w:val="auto"/>
          <w:kern w:val="0"/>
          <w:sz w:val="28"/>
          <w:szCs w:val="28"/>
          <w:lang w:eastAsia="zh-CN"/>
        </w:rPr>
        <w:t>适用于</w:t>
      </w:r>
      <w:r>
        <w:rPr>
          <w:rFonts w:ascii="宋体" w:eastAsia="宋体" w:cs="宋体" w:hAnsi="宋体" w:hint="eastAsia"/>
          <w:color w:val="auto"/>
          <w:kern w:val="0"/>
          <w:sz w:val="28"/>
          <w:szCs w:val="28"/>
        </w:rPr>
        <w:t>《广西壮族自治区独立地块详细规划编制要点（试行）》</w:t>
      </w:r>
      <w:r>
        <w:rPr>
          <w:rFonts w:ascii="宋体" w:eastAsia="宋体" w:cs="宋体" w:hAnsi="宋体" w:hint="eastAsia"/>
          <w:color w:val="auto"/>
          <w:kern w:val="0"/>
          <w:sz w:val="28"/>
          <w:szCs w:val="28"/>
          <w:lang w:eastAsia="zh-CN"/>
        </w:rPr>
        <w:t>“符合单独选址条件、有地上建筑物且根据用途管制要求需编制详细规划的项目用地”的范围内。</w:t>
      </w:r>
      <w:r>
        <w:rPr>
          <w:rFonts w:ascii="宋体" w:eastAsia="宋体" w:cs="宋体" w:hAnsi="宋体" w:hint="eastAsia"/>
          <w:color w:val="auto"/>
          <w:kern w:val="0"/>
          <w:sz w:val="28"/>
          <w:szCs w:val="28"/>
        </w:rPr>
        <w:t>因此，为</w:t>
      </w:r>
      <w:r>
        <w:rPr>
          <w:rFonts w:ascii="宋体" w:eastAsia="宋体" w:cs="宋体" w:hAnsi="宋体" w:hint="eastAsia"/>
          <w:color w:val="auto"/>
          <w:kern w:val="0"/>
          <w:sz w:val="28"/>
          <w:szCs w:val="28"/>
          <w:lang w:eastAsia="zh-CN"/>
        </w:rPr>
        <w:t>高效地推进钦州市的风电事业发展</w:t>
      </w:r>
      <w:r>
        <w:rPr>
          <w:rFonts w:ascii="宋体" w:eastAsia="宋体" w:cs="宋体" w:hAnsi="宋体" w:hint="eastAsia"/>
          <w:color w:val="auto"/>
          <w:kern w:val="0"/>
          <w:sz w:val="28"/>
          <w:szCs w:val="28"/>
        </w:rPr>
        <w:t>，科学地出具规划设计条件</w:t>
      </w:r>
      <w:r>
        <w:rPr>
          <w:rFonts w:ascii="宋体" w:eastAsia="宋体" w:cs="宋体" w:hAnsi="宋体" w:hint="eastAsia"/>
          <w:color w:val="auto"/>
          <w:kern w:val="0"/>
          <w:sz w:val="28"/>
          <w:szCs w:val="28"/>
          <w:lang w:eastAsia="zh-CN"/>
        </w:rPr>
        <w:t>并</w:t>
      </w:r>
      <w:r>
        <w:rPr>
          <w:rFonts w:ascii="宋体" w:eastAsia="宋体" w:cs="宋体" w:hAnsi="宋体" w:hint="eastAsia"/>
          <w:color w:val="auto"/>
          <w:kern w:val="0"/>
          <w:sz w:val="28"/>
          <w:szCs w:val="28"/>
        </w:rPr>
        <w:t>更好地推进项目落地，编制钦州低风速二期分散式风电场工程项目独立地块</w:t>
      </w:r>
      <w:r>
        <w:rPr>
          <w:rFonts w:ascii="宋体" w:eastAsia="宋体" w:cs="宋体" w:hAnsi="宋体" w:hint="eastAsia"/>
          <w:color w:val="auto"/>
          <w:kern w:val="0"/>
          <w:sz w:val="28"/>
          <w:szCs w:val="28"/>
          <w:lang w:eastAsia="zh-CN"/>
        </w:rPr>
        <w:t>控制性</w:t>
      </w:r>
      <w:r>
        <w:rPr>
          <w:rFonts w:ascii="宋体" w:eastAsia="宋体" w:cs="宋体" w:hAnsi="宋体" w:hint="eastAsia"/>
          <w:color w:val="auto"/>
          <w:kern w:val="0"/>
          <w:sz w:val="28"/>
          <w:szCs w:val="28"/>
        </w:rPr>
        <w:t>详细规划</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6" w:name="_Toc27409"/>
      <w:bookmarkStart w:id="17" w:name="_Toc16682"/>
      <w:r>
        <w:rPr>
          <w:rFonts w:ascii="宋体" w:eastAsia="宋体" w:cs="宋体" w:hAnsi="宋体" w:hint="eastAsia"/>
          <w:bCs/>
          <w:color w:val="auto"/>
          <w:sz w:val="32"/>
          <w:szCs w:val="32"/>
          <w:lang w:val="en-US" w:eastAsia="zh-CN"/>
        </w:rPr>
        <w:t>1.2</w:t>
      </w:r>
      <w:r>
        <w:rPr>
          <w:rFonts w:ascii="宋体" w:eastAsia="宋体" w:cs="宋体" w:hAnsi="宋体" w:hint="eastAsia"/>
          <w:bCs/>
          <w:color w:val="auto"/>
          <w:sz w:val="32"/>
          <w:szCs w:val="32"/>
          <w:lang w:eastAsia="zh-CN"/>
        </w:rPr>
        <w:t>项目建设内容和规模</w:t>
      </w:r>
      <w:bookmarkEnd w:id="16"/>
      <w:bookmarkEnd w:id="17"/>
    </w:p>
    <w:p>
      <w:pPr>
        <w:rPr>
          <w:color w:val="auto"/>
        </w:rPr>
      </w:pPr>
    </w:p>
    <w:p>
      <w:pPr>
        <w:widowControl/>
        <w:spacing w:before="4"/>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共计</w:t>
      </w:r>
      <w:r>
        <w:rPr>
          <w:rFonts w:ascii="宋体" w:eastAsia="宋体" w:cs="宋体" w:hAnsi="宋体" w:hint="eastAsia"/>
          <w:color w:val="auto"/>
          <w:kern w:val="0"/>
          <w:sz w:val="28"/>
          <w:szCs w:val="28"/>
        </w:rPr>
        <w:t>划安装</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组</w:t>
      </w:r>
      <w:r>
        <w:rPr>
          <w:rFonts w:ascii="宋体" w:eastAsia="宋体" w:cs="宋体" w:hAnsi="宋体" w:hint="eastAsia"/>
          <w:color w:val="auto"/>
          <w:kern w:val="0"/>
          <w:sz w:val="28"/>
          <w:szCs w:val="28"/>
        </w:rPr>
        <w:t>单机容量为3000kW风电机组，</w:t>
      </w:r>
      <w:r>
        <w:rPr>
          <w:rFonts w:ascii="宋体" w:eastAsia="宋体" w:cs="宋体" w:hAnsi="宋体" w:hint="eastAsia"/>
          <w:color w:val="auto"/>
          <w:kern w:val="0"/>
          <w:sz w:val="28"/>
          <w:szCs w:val="28"/>
          <w:lang w:eastAsia="zh-CN"/>
        </w:rPr>
        <w:t>总</w:t>
      </w:r>
      <w:r>
        <w:rPr>
          <w:rFonts w:ascii="宋体" w:eastAsia="宋体" w:cs="宋体" w:hAnsi="宋体" w:hint="eastAsia"/>
          <w:color w:val="auto"/>
          <w:kern w:val="0"/>
          <w:sz w:val="28"/>
          <w:szCs w:val="28"/>
        </w:rPr>
        <w:t>装机容量为</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0MW，</w:t>
      </w:r>
      <w:r>
        <w:rPr>
          <w:rFonts w:ascii="宋体" w:eastAsia="宋体" w:cs="宋体" w:hAnsi="宋体" w:hint="eastAsia"/>
          <w:color w:val="auto"/>
          <w:kern w:val="0"/>
          <w:sz w:val="28"/>
          <w:szCs w:val="28"/>
          <w:lang w:eastAsia="zh-CN"/>
        </w:rPr>
        <w:t>同时</w:t>
      </w:r>
      <w:r>
        <w:rPr>
          <w:rFonts w:ascii="宋体" w:eastAsia="宋体" w:cs="宋体" w:hAnsi="宋体" w:hint="eastAsia"/>
          <w:color w:val="auto"/>
          <w:kern w:val="0"/>
          <w:sz w:val="28"/>
          <w:szCs w:val="28"/>
        </w:rPr>
        <w:t>在场址范围内</w:t>
      </w:r>
      <w:r>
        <w:rPr>
          <w:rFonts w:ascii="宋体" w:eastAsia="宋体" w:cs="宋体" w:hAnsi="宋体" w:hint="eastAsia"/>
          <w:color w:val="auto"/>
          <w:kern w:val="0"/>
          <w:sz w:val="28"/>
          <w:szCs w:val="28"/>
          <w:lang w:eastAsia="zh-CN"/>
        </w:rPr>
        <w:t>配套建设</w:t>
      </w:r>
      <w:r>
        <w:rPr>
          <w:rFonts w:ascii="宋体" w:eastAsia="宋体" w:cs="宋体" w:hAnsi="宋体" w:hint="eastAsia"/>
          <w:color w:val="auto"/>
          <w:kern w:val="0"/>
          <w:sz w:val="28"/>
          <w:szCs w:val="28"/>
        </w:rPr>
        <w:t>一座</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开关站、一座储能站、场内道路以及集电线路等设施。</w:t>
      </w:r>
    </w:p>
    <w:p>
      <w:pPr>
        <w:widowControl/>
        <w:spacing w:before="4"/>
        <w:ind w:right="351" w:firstLineChars="200" w:firstLine="560"/>
        <w:jc w:val="left"/>
        <w:rPr>
          <w:rFonts w:hint="eastAsia"/>
          <w:color w:val="auto"/>
          <w:sz w:val="28"/>
          <w:szCs w:val="28"/>
          <w:lang w:val="en-US" w:eastAsia="zh-CN"/>
        </w:rPr>
      </w:pPr>
      <w:r>
        <w:rPr>
          <w:rFonts w:ascii="宋体" w:eastAsia="宋体" w:cs="宋体" w:hAnsi="宋体" w:hint="eastAsia"/>
          <w:color w:val="auto"/>
          <w:kern w:val="0"/>
          <w:sz w:val="28"/>
          <w:szCs w:val="28"/>
          <w:lang w:val="en-US" w:eastAsia="zh-CN"/>
        </w:rPr>
        <w:t>每组风电机组</w:t>
      </w:r>
      <w:r>
        <w:rPr>
          <w:rFonts w:ascii="宋体" w:eastAsia="宋体" w:cs="宋体" w:hAnsi="宋体" w:hint="eastAsia"/>
          <w:color w:val="auto"/>
          <w:kern w:val="0"/>
          <w:sz w:val="28"/>
          <w:szCs w:val="28"/>
          <w:lang w:eastAsia="zh-CN"/>
        </w:rPr>
        <w:t>地块内主要布置</w:t>
      </w:r>
      <w:r>
        <w:rPr>
          <w:rFonts w:ascii="宋体" w:eastAsia="宋体" w:cs="宋体" w:hAnsi="宋体" w:hint="eastAsia"/>
          <w:color w:val="auto"/>
          <w:kern w:val="0"/>
          <w:sz w:val="28"/>
          <w:szCs w:val="28"/>
          <w:lang w:val="en-US" w:eastAsia="zh-CN"/>
        </w:rPr>
        <w:t>1个</w:t>
      </w:r>
      <w:r>
        <w:rPr>
          <w:rFonts w:ascii="宋体" w:eastAsia="宋体" w:cs="宋体" w:hAnsi="宋体" w:hint="eastAsia"/>
          <w:color w:val="auto"/>
          <w:kern w:val="0"/>
          <w:sz w:val="28"/>
          <w:szCs w:val="28"/>
          <w:lang w:eastAsia="zh-CN"/>
        </w:rPr>
        <w:t>风机和</w:t>
      </w:r>
      <w:r>
        <w:rPr>
          <w:rFonts w:ascii="宋体" w:eastAsia="宋体" w:cs="宋体" w:hAnsi="宋体" w:hint="eastAsia"/>
          <w:color w:val="auto"/>
          <w:kern w:val="0"/>
          <w:sz w:val="28"/>
          <w:szCs w:val="28"/>
          <w:lang w:val="en-US" w:eastAsia="zh-CN"/>
        </w:rPr>
        <w:t>1个</w:t>
      </w:r>
      <w:r>
        <w:rPr>
          <w:rFonts w:ascii="宋体" w:eastAsia="宋体" w:cs="宋体" w:hAnsi="宋体" w:hint="eastAsia"/>
          <w:color w:val="auto"/>
          <w:kern w:val="0"/>
          <w:sz w:val="28"/>
          <w:szCs w:val="28"/>
          <w:lang w:eastAsia="zh-CN"/>
        </w:rPr>
        <w:t>箱变设备。开关</w:t>
      </w:r>
      <w:r>
        <w:rPr>
          <w:rFonts w:ascii="宋体" w:eastAsia="宋体" w:cs="宋体" w:hAnsi="宋体" w:hint="eastAsia"/>
          <w:color w:val="auto"/>
          <w:kern w:val="0"/>
          <w:sz w:val="28"/>
          <w:szCs w:val="28"/>
        </w:rPr>
        <w:t>站</w:t>
      </w:r>
      <w:r>
        <w:rPr>
          <w:rFonts w:ascii="宋体" w:eastAsia="宋体" w:cs="宋体" w:hAnsi="宋体" w:hint="eastAsia"/>
          <w:color w:val="auto"/>
          <w:kern w:val="0"/>
          <w:sz w:val="28"/>
          <w:szCs w:val="28"/>
          <w:lang w:eastAsia="zh-CN"/>
        </w:rPr>
        <w:t>、储能站分别</w:t>
      </w:r>
      <w:r>
        <w:rPr>
          <w:rFonts w:ascii="宋体" w:eastAsia="宋体" w:cs="宋体" w:hAnsi="宋体" w:hint="eastAsia"/>
          <w:color w:val="auto"/>
          <w:kern w:val="0"/>
          <w:sz w:val="28"/>
          <w:szCs w:val="28"/>
        </w:rPr>
        <w:t>是整个风电场的控制中心</w:t>
      </w:r>
      <w:r>
        <w:rPr>
          <w:rFonts w:ascii="宋体" w:eastAsia="宋体" w:cs="宋体" w:hAnsi="宋体" w:hint="eastAsia"/>
          <w:color w:val="auto"/>
          <w:kern w:val="0"/>
          <w:sz w:val="28"/>
          <w:szCs w:val="28"/>
          <w:lang w:eastAsia="zh-CN"/>
        </w:rPr>
        <w:t>和电能储备中心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为本次规划主要研究的两个独立地块，</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w:t>
      </w:r>
      <w:r>
        <w:rPr>
          <w:rFonts w:ascii="宋体" w:eastAsia="宋体" w:cs="宋体" w:hAnsi="宋体" w:hint="eastAsia"/>
          <w:color w:val="auto"/>
          <w:kern w:val="0"/>
          <w:sz w:val="28"/>
          <w:szCs w:val="28"/>
          <w:lang w:val="en-US" w:eastAsia="zh-CN"/>
        </w:rPr>
        <w:t>站内主要建设</w:t>
      </w:r>
      <w:r>
        <w:rPr>
          <w:rFonts w:ascii="宋体" w:eastAsia="宋体" w:cs="宋体" w:hAnsi="宋体" w:hint="eastAsia"/>
          <w:color w:val="auto"/>
          <w:kern w:val="0"/>
          <w:sz w:val="28"/>
          <w:szCs w:val="28"/>
          <w:lang w:eastAsia="zh-CN"/>
        </w:rPr>
        <w:t>生产建筑和</w:t>
      </w:r>
      <w:r>
        <w:rPr>
          <w:rFonts w:ascii="宋体" w:eastAsia="宋体" w:cs="宋体" w:hAnsi="宋体" w:hint="eastAsia"/>
          <w:color w:val="auto"/>
          <w:kern w:val="0"/>
          <w:sz w:val="28"/>
          <w:szCs w:val="28"/>
          <w:lang w:val="en-US" w:eastAsia="zh-CN"/>
        </w:rPr>
        <w:t>电气配电装置，</w:t>
      </w:r>
      <w:r>
        <w:rPr>
          <w:rFonts w:ascii="宋体" w:eastAsia="宋体" w:cs="宋体" w:hAnsi="宋体" w:hint="eastAsia"/>
          <w:color w:val="auto"/>
          <w:kern w:val="0"/>
          <w:sz w:val="28"/>
          <w:szCs w:val="28"/>
          <w:lang w:eastAsia="zh-CN"/>
        </w:rPr>
        <w:t>储能站地块内</w:t>
      </w:r>
      <w:r>
        <w:rPr>
          <w:rFonts w:ascii="宋体" w:eastAsia="宋体" w:cs="宋体" w:hAnsi="宋体" w:hint="eastAsia"/>
          <w:color w:val="auto"/>
          <w:kern w:val="0"/>
          <w:sz w:val="28"/>
          <w:szCs w:val="28"/>
          <w:lang w:val="en-US" w:eastAsia="zh-CN"/>
        </w:rPr>
        <w:t>布置储能建筑及配套设备。各地块用地位置布局及</w:t>
      </w:r>
      <w:r>
        <w:rPr>
          <w:rFonts w:ascii="宋体" w:eastAsia="宋体" w:cs="宋体" w:hAnsi="宋体" w:hint="eastAsia"/>
          <w:color w:val="auto"/>
          <w:kern w:val="0"/>
          <w:sz w:val="28"/>
          <w:szCs w:val="28"/>
          <w:lang w:eastAsia="zh-CN"/>
        </w:rPr>
        <w:t>风能资源利用区域</w:t>
      </w:r>
      <w:r>
        <w:rPr>
          <w:rFonts w:ascii="宋体" w:eastAsia="宋体" w:cs="宋体" w:hAnsi="宋体" w:hint="eastAsia"/>
          <w:color w:val="auto"/>
          <w:kern w:val="0"/>
          <w:sz w:val="28"/>
          <w:szCs w:val="28"/>
        </w:rPr>
        <w:t>范围</w:t>
      </w:r>
      <w:r>
        <w:rPr>
          <w:rFonts w:hint="eastAsia"/>
          <w:color w:val="auto"/>
          <w:sz w:val="28"/>
          <w:szCs w:val="28"/>
          <w:lang w:val="en-US" w:eastAsia="zh-CN"/>
        </w:rPr>
        <w:t>详见以下“钦州低风速二期分散式风电场工程项目用地规划平面布局示意图”；开关站、储能站各功能用房布置详见“</w:t>
      </w:r>
      <w:r>
        <w:rPr>
          <w:rFonts w:ascii="宋体" w:eastAsia="宋体" w:cs="宋体" w:hAnsi="宋体" w:hint="eastAsia"/>
          <w:color w:val="auto"/>
          <w:kern w:val="0"/>
          <w:sz w:val="28"/>
          <w:szCs w:val="28"/>
          <w:lang w:val="en-US" w:eastAsia="zh-CN"/>
        </w:rPr>
        <w:t>35kV</w:t>
      </w:r>
      <w:r>
        <w:rPr>
          <w:rFonts w:hint="eastAsia"/>
          <w:color w:val="auto"/>
          <w:sz w:val="28"/>
          <w:szCs w:val="28"/>
          <w:lang w:val="en-US" w:eastAsia="zh-CN"/>
        </w:rPr>
        <w:t>开关站平面布局示意图”和“储能站平面布局示意图”。</w:t>
      </w:r>
    </w:p>
    <w:p>
      <w:pPr>
        <w:pStyle w:val="18"/>
        <w:rPr>
          <w:rFonts w:hint="eastAsia"/>
          <w:color w:val="auto"/>
          <w:lang w:eastAsia="zh-CN"/>
        </w:rPr>
      </w:pPr>
      <w:r>
        <w:rPr>
          <w:rFonts w:hint="eastAsia"/>
          <w:color w:val="auto"/>
          <w:lang w:eastAsia="zh-CN"/>
        </w:rPr>
        <w:drawing>
          <wp:inline distT="0" distB="0" distL="114300" distR="114300">
            <wp:extent cx="5482590" cy="3876040"/>
            <wp:effectExtent l="0" t="0" r="12" b="4"/>
            <wp:docPr id="10" name="图片 26" descr="E:/00王麒麟项目/王麒麟钦州低风速二期分散式风电场工程项目独立地块控制性详细规划2025.04/低风速插图/00低风速控规总图平面布局-Model.png00低风速控规总图平面布局-Model"/>
            <wp:cNvGraphicFramePr>
              <a:graphicFrameLocks noChangeAspect="1"/>
            </wp:cNvGraphicFramePr>
            <a:graphic>
              <a:graphicData uri="http://schemas.openxmlformats.org/drawingml/2006/picture">
                <pic:pic>
                  <pic:nvPicPr>
                    <pic:cNvPr id="12" name="图片 26 12"/>
                    <pic:cNvPicPr/>
                  </pic:nvPicPr>
                  <pic:blipFill>
                    <a:blip r:embed="rId6"/>
                    <a:srcRect l="8" r="8"/>
                    <a:stretch>
                      <a:fillRect/>
                    </a:stretch>
                  </pic:blipFill>
                  <pic:spPr>
                    <a:xfrm rot="0">
                      <a:off x="0" y="0"/>
                      <a:ext cx="5482590" cy="3876040"/>
                    </a:xfrm>
                    <a:prstGeom prst="rect"/>
                    <a:noFill/>
                    <a:ln w="9525" cmpd="sng" cap="flat">
                      <a:noFill/>
                      <a:prstDash val="solid"/>
                      <a:miter/>
                    </a:ln>
                  </pic:spPr>
                </pic:pic>
              </a:graphicData>
            </a:graphic>
          </wp:inline>
        </w:drawing>
      </w:r>
    </w:p>
    <w:p>
      <w:pPr>
        <w:widowControl/>
        <w:spacing w:before="4" w:line="360" w:lineRule="auto"/>
        <w:ind w:right="351"/>
        <w:jc w:val="center"/>
        <w:rPr>
          <w:rFonts w:hint="eastAsia"/>
          <w:color w:val="auto"/>
          <w:lang w:eastAsia="zh-CN"/>
        </w:rPr>
      </w:pPr>
      <w:r>
        <w:rPr>
          <w:rFonts w:hint="eastAsia"/>
          <w:b/>
          <w:bCs/>
          <w:color w:val="auto"/>
          <w:sz w:val="24"/>
          <w:lang w:eastAsia="zh-CN"/>
        </w:rPr>
        <w:t>钦州低风速二期分散式风电场工程项目用地规划平面布局示意图</w:t>
      </w:r>
    </w:p>
    <w:p>
      <w:pPr>
        <w:widowControl/>
        <w:spacing w:before="4" w:line="360" w:lineRule="auto"/>
        <w:ind w:right="351"/>
        <w:jc w:val="center"/>
        <w:rPr>
          <w:rFonts w:hint="eastAsia"/>
          <w:color w:val="auto"/>
          <w:lang w:eastAsia="zh-CN"/>
        </w:rPr>
      </w:pPr>
      <w:r>
        <w:rPr>
          <w:rFonts w:ascii="宋体" w:eastAsia="宋体" w:cs="宋体" w:hAnsi="宋体" w:hint="eastAsia"/>
          <w:color w:val="auto"/>
          <w:kern w:val="0"/>
          <w:sz w:val="28"/>
          <w:szCs w:val="28"/>
          <w:lang w:val="en-US" w:eastAsia="zh-CN"/>
        </w:rPr>
        <w:drawing>
          <wp:inline distT="0" distB="0" distL="114300" distR="114300">
            <wp:extent cx="5408930" cy="3585209"/>
            <wp:effectExtent l="0" t="0" r="44" b="42"/>
            <wp:docPr id="13" name="图片 13" descr="SF-F202300598S-D0101 开关站扩建总的部分8.1 3"/>
            <wp:cNvGraphicFramePr>
              <a:graphicFrameLocks noChangeAspect="1"/>
            </wp:cNvGraphicFramePr>
            <a:graphic>
              <a:graphicData uri="http://schemas.openxmlformats.org/drawingml/2006/picture">
                <pic:pic>
                  <pic:nvPicPr>
                    <pic:cNvPr id="15" name="图片 13 15"/>
                    <pic:cNvPicPr/>
                  </pic:nvPicPr>
                  <pic:blipFill>
                    <a:blip r:embed="rId7"/>
                    <a:stretch>
                      <a:fillRect/>
                    </a:stretch>
                  </pic:blipFill>
                  <pic:spPr>
                    <a:xfrm rot="0">
                      <a:off x="0" y="0"/>
                      <a:ext cx="5408930" cy="3585209"/>
                    </a:xfrm>
                    <a:prstGeom prst="rect"/>
                    <a:noFill/>
                    <a:ln w="9525" cmpd="sng" cap="flat">
                      <a:noFill/>
                      <a:prstDash val="solid"/>
                      <a:miter/>
                    </a:ln>
                  </pic:spPr>
                </pic:pic>
              </a:graphicData>
            </a:graphic>
          </wp:inline>
        </w:drawing>
      </w:r>
      <w:r>
        <w:rPr>
          <w:rFonts w:ascii="宋体" w:eastAsia="宋体" w:cs="宋体" w:hAnsi="宋体" w:hint="eastAsia"/>
          <w:b/>
          <w:bCs/>
          <w:color w:val="auto"/>
          <w:kern w:val="0"/>
          <w:sz w:val="24"/>
          <w:szCs w:val="24"/>
          <w:lang w:val="en-US" w:eastAsia="zh-CN"/>
        </w:rPr>
        <w:t>35kV</w:t>
      </w:r>
      <w:r>
        <w:rPr>
          <w:rFonts w:hint="eastAsia"/>
          <w:b/>
          <w:bCs/>
          <w:color w:val="auto"/>
          <w:sz w:val="24"/>
          <w:szCs w:val="24"/>
          <w:lang w:eastAsia="zh-CN"/>
        </w:rPr>
        <w:t>开关站平面布局示意图</w:t>
      </w:r>
    </w:p>
    <w:p>
      <w:pPr>
        <w:widowControl/>
        <w:spacing w:before="4" w:line="360" w:lineRule="auto"/>
        <w:ind w:right="351"/>
        <w:jc w:val="center"/>
        <w:rPr>
          <w:rFonts w:ascii="宋体" w:eastAsia="宋体" w:cs="宋体" w:hAnsi="宋体"/>
          <w:color w:val="auto"/>
          <w:kern w:val="0"/>
          <w:sz w:val="28"/>
          <w:szCs w:val="28"/>
        </w:rPr>
      </w:pPr>
      <w:r>
        <w:rPr>
          <w:rFonts w:hint="eastAsia"/>
          <w:b/>
          <w:bCs/>
          <w:color w:val="auto"/>
          <w:sz w:val="24"/>
          <w:lang w:eastAsia="zh-CN"/>
        </w:rPr>
        <w:drawing>
          <wp:inline distT="0" distB="0" distL="114300" distR="114300">
            <wp:extent cx="5273675" cy="3361055"/>
            <wp:effectExtent l="0" t="0" r="46" b="20"/>
            <wp:docPr id="16" name="图片 14" descr="E:/00王麒麟项目/王麒麟钦州低风速二期分散式风电场工程项目独立地块控制性详细规划2025.04/低风速插图/TT0108站区消防图 2.pngTT0108站区消防图 2"/>
            <wp:cNvGraphicFramePr>
              <a:graphicFrameLocks noChangeAspect="1"/>
            </wp:cNvGraphicFramePr>
            <a:graphic>
              <a:graphicData uri="http://schemas.openxmlformats.org/drawingml/2006/picture">
                <pic:pic>
                  <pic:nvPicPr>
                    <pic:cNvPr id="18" name="图片 14 18"/>
                    <pic:cNvPicPr/>
                  </pic:nvPicPr>
                  <pic:blipFill>
                    <a:blip r:embed="rId8"/>
                    <a:srcRect t="6" b="6"/>
                    <a:stretch>
                      <a:fillRect/>
                    </a:stretch>
                  </pic:blipFill>
                  <pic:spPr>
                    <a:xfrm rot="0">
                      <a:off x="0" y="0"/>
                      <a:ext cx="5273675" cy="3361055"/>
                    </a:xfrm>
                    <a:prstGeom prst="rect"/>
                    <a:noFill/>
                    <a:ln w="9525" cmpd="sng" cap="flat">
                      <a:noFill/>
                      <a:prstDash val="solid"/>
                      <a:miter/>
                    </a:ln>
                  </pic:spPr>
                </pic:pic>
              </a:graphicData>
            </a:graphic>
          </wp:inline>
        </w:drawing>
      </w:r>
      <w:r>
        <w:rPr>
          <w:rFonts w:hint="eastAsia"/>
          <w:b/>
          <w:bCs/>
          <w:color w:val="auto"/>
          <w:sz w:val="24"/>
          <w:lang w:eastAsia="zh-CN"/>
        </w:rPr>
        <w:t>储能站平面布局示意图</w:t>
      </w:r>
    </w:p>
    <w:p>
      <w:pPr>
        <w:pStyle w:val="1"/>
        <w:numPr>
          <w:ilvl w:val="0"/>
          <w:numId w:val="0"/>
        </w:numPr>
        <w:spacing w:before="260" w:line="360" w:lineRule="auto"/>
        <w:ind w:left="420"/>
        <w:rPr>
          <w:rFonts w:ascii="宋体" w:eastAsia="宋体" w:cs="宋体" w:hAnsi="宋体"/>
          <w:bCs/>
          <w:color w:val="auto"/>
          <w:sz w:val="32"/>
          <w:szCs w:val="32"/>
        </w:rPr>
      </w:pPr>
      <w:bookmarkStart w:id="18" w:name="_Toc13379"/>
      <w:r>
        <w:rPr>
          <w:rFonts w:ascii="宋体" w:eastAsia="宋体" w:cs="宋体" w:hAnsi="宋体" w:hint="eastAsia"/>
          <w:bCs/>
          <w:color w:val="auto"/>
          <w:sz w:val="32"/>
          <w:szCs w:val="32"/>
          <w:lang w:val="en-US" w:eastAsia="zh-CN"/>
        </w:rPr>
        <w:t>1.3</w:t>
      </w:r>
      <w:r>
        <w:rPr>
          <w:rFonts w:ascii="宋体" w:eastAsia="宋体" w:cs="宋体" w:hAnsi="宋体" w:hint="eastAsia"/>
          <w:bCs/>
          <w:color w:val="auto"/>
          <w:sz w:val="32"/>
          <w:szCs w:val="32"/>
          <w:lang w:eastAsia="zh-CN"/>
        </w:rPr>
        <w:t>规划范围</w:t>
      </w:r>
      <w:bookmarkEnd w:id="18"/>
    </w:p>
    <w:p>
      <w:pPr>
        <w:rPr>
          <w:color w:val="auto"/>
        </w:rPr>
      </w:pPr>
    </w:p>
    <w:p>
      <w:pPr>
        <w:ind w:left="0" w:firstLineChars="200" w:firstLine="560"/>
        <w:rPr>
          <w:rFonts w:hint="eastAsia"/>
          <w:color w:val="auto"/>
          <w:sz w:val="28"/>
          <w:szCs w:val="28"/>
          <w:lang w:val="en-US" w:eastAsia="zh-CN"/>
        </w:rPr>
      </w:pPr>
      <w:r>
        <w:rPr>
          <w:rFonts w:ascii="宋体" w:eastAsia="宋体" w:cs="宋体" w:hAnsi="宋体" w:hint="eastAsia"/>
          <w:color w:val="auto"/>
          <w:kern w:val="0"/>
          <w:sz w:val="28"/>
          <w:szCs w:val="28"/>
          <w:lang w:eastAsia="zh-CN"/>
        </w:rPr>
        <w:t>本项目场址</w:t>
      </w:r>
      <w:r>
        <w:rPr>
          <w:rFonts w:ascii="宋体" w:eastAsia="宋体" w:cs="宋体" w:hAnsi="宋体" w:hint="eastAsia"/>
          <w:color w:val="auto"/>
          <w:kern w:val="0"/>
          <w:sz w:val="28"/>
          <w:szCs w:val="28"/>
        </w:rPr>
        <w:t>涉及</w:t>
      </w:r>
      <w:r>
        <w:rPr>
          <w:rFonts w:ascii="宋体" w:eastAsia="宋体" w:cs="宋体" w:hAnsi="宋体" w:hint="eastAsia"/>
          <w:color w:val="auto"/>
          <w:kern w:val="0"/>
          <w:sz w:val="28"/>
          <w:szCs w:val="28"/>
          <w:lang w:eastAsia="zh-CN"/>
        </w:rPr>
        <w:t>的区域</w:t>
      </w:r>
      <w:r>
        <w:rPr>
          <w:rFonts w:ascii="宋体" w:eastAsia="宋体" w:cs="宋体" w:hAnsi="宋体" w:hint="eastAsia"/>
          <w:color w:val="auto"/>
          <w:kern w:val="0"/>
          <w:sz w:val="28"/>
          <w:szCs w:val="28"/>
        </w:rPr>
        <w:t>范围</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4.5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场址内</w:t>
      </w:r>
      <w:r>
        <w:rPr>
          <w:rFonts w:ascii="宋体" w:eastAsia="宋体" w:cs="宋体" w:hAnsi="宋体" w:hint="eastAsia"/>
          <w:color w:val="auto"/>
          <w:kern w:val="0"/>
          <w:sz w:val="28"/>
          <w:szCs w:val="28"/>
          <w:lang w:val="en-US" w:eastAsia="zh-CN"/>
        </w:rPr>
        <w:t>共</w:t>
      </w:r>
      <w:r>
        <w:rPr>
          <w:rFonts w:ascii="宋体" w:eastAsia="宋体" w:cs="宋体" w:hAnsi="宋体" w:hint="eastAsia"/>
          <w:color w:val="auto"/>
          <w:kern w:val="0"/>
          <w:sz w:val="28"/>
          <w:szCs w:val="28"/>
          <w:lang w:eastAsia="zh-CN"/>
        </w:rPr>
        <w:t>规划</w:t>
      </w:r>
      <w:r>
        <w:rPr>
          <w:rFonts w:ascii="宋体" w:eastAsia="宋体" w:cs="宋体" w:hAnsi="宋体" w:hint="eastAsia"/>
          <w:color w:val="auto"/>
          <w:kern w:val="0"/>
          <w:sz w:val="28"/>
          <w:szCs w:val="28"/>
          <w:lang w:val="en-US" w:eastAsia="zh-CN"/>
        </w:rPr>
        <w:t>12个永久占地的独立地块，即10个风电机组地块和1个开关站地块以及1个储能站地块，</w:t>
      </w:r>
      <w:r>
        <w:rPr>
          <w:rFonts w:ascii="宋体" w:eastAsia="宋体" w:cs="宋体" w:hAnsi="宋体" w:hint="eastAsia"/>
          <w:color w:val="auto"/>
          <w:kern w:val="0"/>
          <w:sz w:val="28"/>
          <w:szCs w:val="28"/>
          <w:lang w:eastAsia="zh-CN"/>
        </w:rPr>
        <w:t>总用地面积合计</w:t>
      </w:r>
      <w:r>
        <w:rPr>
          <w:rFonts w:ascii="宋体" w:eastAsia="宋体" w:cs="宋体" w:hAnsi="宋体" w:hint="eastAsia"/>
          <w:color w:val="auto"/>
          <w:kern w:val="0"/>
          <w:sz w:val="28"/>
          <w:szCs w:val="28"/>
          <w:lang w:val="en-US" w:eastAsia="zh-CN"/>
        </w:rPr>
        <w:t>0.6681公顷（6681平方米）。10个</w:t>
      </w:r>
      <w:r>
        <w:rPr>
          <w:rFonts w:ascii="宋体" w:eastAsia="宋体" w:cs="宋体" w:hAnsi="宋体" w:hint="eastAsia"/>
          <w:color w:val="auto"/>
          <w:kern w:val="0"/>
          <w:sz w:val="28"/>
          <w:szCs w:val="28"/>
          <w:lang w:eastAsia="zh-CN"/>
        </w:rPr>
        <w:t>风电机组用地分布于钦州市钦北区大垌镇、那蒙镇交界处一带的山脊或山包区域，</w:t>
      </w:r>
      <w:r>
        <w:rPr>
          <w:rFonts w:hint="eastAsia"/>
          <w:color w:val="auto"/>
          <w:sz w:val="28"/>
          <w:szCs w:val="28"/>
          <w:lang w:val="en-US" w:eastAsia="zh-CN"/>
        </w:rPr>
        <w:t>共占地4410.00平方米，</w:t>
      </w:r>
      <w:r>
        <w:rPr>
          <w:rFonts w:ascii="宋体" w:eastAsia="宋体" w:cs="宋体" w:hAnsi="宋体" w:hint="eastAsia"/>
          <w:color w:val="auto"/>
          <w:kern w:val="0"/>
          <w:sz w:val="28"/>
          <w:szCs w:val="28"/>
          <w:lang w:eastAsia="zh-CN"/>
        </w:rPr>
        <w:t>每个风电机组地块用地面积</w:t>
      </w:r>
      <w:r>
        <w:rPr>
          <w:rFonts w:ascii="宋体" w:eastAsia="宋体" w:cs="宋体" w:hAnsi="宋体" w:hint="eastAsia"/>
          <w:color w:val="auto"/>
          <w:kern w:val="0"/>
          <w:sz w:val="28"/>
          <w:szCs w:val="28"/>
          <w:lang w:val="en-US" w:eastAsia="zh-CN"/>
        </w:rPr>
        <w:t>441平方米，形状呈正方形；</w:t>
      </w:r>
      <w:r>
        <w:rPr>
          <w:rFonts w:ascii="宋体" w:eastAsia="宋体" w:cs="宋体" w:hAnsi="宋体" w:hint="eastAsia"/>
          <w:color w:val="auto"/>
          <w:kern w:val="0"/>
          <w:sz w:val="28"/>
          <w:szCs w:val="28"/>
          <w:lang w:eastAsia="zh-CN"/>
        </w:rPr>
        <w:t>开关站和储能站位于场址中部，南北偏东朝向，开关站规划用地面积为</w:t>
      </w:r>
      <w:r>
        <w:rPr>
          <w:rFonts w:ascii="宋体" w:eastAsia="宋体" w:cs="宋体" w:hAnsi="宋体" w:hint="eastAsia"/>
          <w:color w:val="auto"/>
          <w:kern w:val="0"/>
          <w:sz w:val="28"/>
          <w:szCs w:val="28"/>
          <w:lang w:val="en-US" w:eastAsia="zh-CN"/>
        </w:rPr>
        <w:t>1273.51平方米，用地</w:t>
      </w:r>
      <w:r>
        <w:rPr>
          <w:rFonts w:ascii="宋体" w:eastAsia="宋体" w:cs="宋体" w:hAnsi="宋体" w:hint="eastAsia"/>
          <w:color w:val="auto"/>
          <w:kern w:val="0"/>
          <w:sz w:val="28"/>
          <w:szCs w:val="28"/>
          <w:lang w:eastAsia="zh-CN"/>
        </w:rPr>
        <w:t>形状呈规则多边形；</w:t>
      </w:r>
      <w:r>
        <w:rPr>
          <w:rFonts w:ascii="宋体" w:eastAsia="宋体" w:cs="宋体" w:hAnsi="宋体" w:hint="eastAsia"/>
          <w:color w:val="auto"/>
          <w:kern w:val="0"/>
          <w:sz w:val="28"/>
          <w:szCs w:val="28"/>
          <w:lang w:val="en-US" w:eastAsia="zh-CN"/>
        </w:rPr>
        <w:t>储能站</w:t>
      </w:r>
      <w:r>
        <w:rPr>
          <w:rFonts w:ascii="宋体" w:eastAsia="宋体" w:cs="宋体" w:hAnsi="宋体" w:hint="eastAsia"/>
          <w:color w:val="auto"/>
          <w:kern w:val="0"/>
          <w:sz w:val="28"/>
          <w:szCs w:val="28"/>
          <w:lang w:eastAsia="zh-CN"/>
        </w:rPr>
        <w:t>规划用地面积为</w:t>
      </w:r>
      <w:r>
        <w:rPr>
          <w:rFonts w:ascii="宋体" w:eastAsia="宋体" w:cs="宋体" w:hAnsi="宋体" w:hint="eastAsia"/>
          <w:color w:val="auto"/>
          <w:kern w:val="0"/>
          <w:sz w:val="28"/>
          <w:szCs w:val="28"/>
          <w:lang w:val="en-US" w:eastAsia="zh-CN"/>
        </w:rPr>
        <w:t>997.49平方米，用地</w:t>
      </w:r>
      <w:r>
        <w:rPr>
          <w:rFonts w:ascii="宋体" w:eastAsia="宋体" w:cs="宋体" w:hAnsi="宋体" w:hint="eastAsia"/>
          <w:color w:val="auto"/>
          <w:kern w:val="0"/>
          <w:sz w:val="28"/>
          <w:szCs w:val="28"/>
          <w:lang w:eastAsia="zh-CN"/>
        </w:rPr>
        <w:t>形状呈长方形</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19" w:name="_Toc19067"/>
      <w:r>
        <w:rPr>
          <w:rFonts w:ascii="宋体" w:eastAsia="宋体" w:cs="宋体" w:hAnsi="宋体" w:hint="eastAsia"/>
          <w:bCs/>
          <w:color w:val="auto"/>
          <w:sz w:val="32"/>
          <w:szCs w:val="32"/>
          <w:lang w:val="en-US" w:eastAsia="zh-CN"/>
        </w:rPr>
        <w:t>1.4</w:t>
      </w:r>
      <w:r>
        <w:rPr>
          <w:rFonts w:ascii="宋体" w:eastAsia="宋体" w:cs="宋体" w:hAnsi="宋体" w:hint="eastAsia"/>
          <w:bCs/>
          <w:color w:val="auto"/>
          <w:sz w:val="32"/>
          <w:szCs w:val="32"/>
          <w:lang w:eastAsia="zh-CN"/>
        </w:rPr>
        <w:t>数据基础</w:t>
      </w:r>
      <w:bookmarkEnd w:id="19"/>
    </w:p>
    <w:p>
      <w:pPr>
        <w:rPr>
          <w:color w:val="auto"/>
        </w:rPr>
      </w:pPr>
    </w:p>
    <w:p>
      <w:pPr>
        <w:ind w:left="0" w:firstLineChars="200" w:firstLine="560"/>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采用“三调”及基期年</w:t>
      </w:r>
      <w:r>
        <w:rPr>
          <w:rFonts w:ascii="宋体" w:eastAsia="宋体" w:cs="宋体" w:hAnsi="宋体" w:hint="eastAsia"/>
          <w:color w:val="auto"/>
          <w:kern w:val="0"/>
          <w:sz w:val="28"/>
          <w:szCs w:val="28"/>
          <w:lang w:val="en-US" w:eastAsia="zh-CN"/>
        </w:rPr>
        <w:t>2023</w:t>
      </w:r>
      <w:r>
        <w:rPr>
          <w:rFonts w:ascii="宋体" w:eastAsia="宋体" w:cs="宋体" w:hAnsi="宋体" w:hint="eastAsia"/>
          <w:color w:val="auto"/>
          <w:kern w:val="0"/>
          <w:sz w:val="28"/>
          <w:szCs w:val="28"/>
          <w:lang w:eastAsia="zh-CN"/>
        </w:rPr>
        <w:t>年度变更调查成果的村域行政区边界、土地利用现状等为底图基础</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平面坐标系统采用</w:t>
      </w:r>
      <w:r>
        <w:rPr>
          <w:rFonts w:ascii="宋体" w:eastAsia="宋体" w:cs="宋体" w:hAnsi="宋体" w:hint="eastAsia"/>
          <w:color w:val="auto"/>
          <w:kern w:val="0"/>
          <w:sz w:val="28"/>
          <w:szCs w:val="28"/>
          <w:lang w:val="en-US" w:eastAsia="zh-CN"/>
        </w:rPr>
        <w:t>2000国家大地坐标系；高程系统采用1985国家高程基准；投影方式采用高斯——克吕格投影，按3°分带。</w:t>
      </w:r>
    </w:p>
    <w:p>
      <w:pPr>
        <w:pStyle w:val="1"/>
        <w:numPr>
          <w:ilvl w:val="0"/>
          <w:numId w:val="0"/>
        </w:numPr>
        <w:spacing w:before="260" w:line="360" w:lineRule="auto"/>
        <w:ind w:left="420"/>
        <w:rPr>
          <w:rFonts w:ascii="宋体" w:eastAsia="宋体" w:cs="宋体" w:hAnsi="宋体"/>
          <w:bCs/>
          <w:color w:val="auto"/>
          <w:sz w:val="32"/>
          <w:szCs w:val="32"/>
        </w:rPr>
      </w:pPr>
      <w:bookmarkStart w:id="20" w:name="_Toc31256"/>
      <w:r>
        <w:rPr>
          <w:rFonts w:ascii="宋体" w:eastAsia="宋体" w:cs="宋体" w:hAnsi="宋体" w:hint="eastAsia"/>
          <w:bCs/>
          <w:color w:val="auto"/>
          <w:sz w:val="32"/>
          <w:szCs w:val="32"/>
          <w:lang w:val="en-US" w:eastAsia="zh-CN"/>
        </w:rPr>
        <w:t>1.5</w:t>
      </w:r>
      <w:r>
        <w:rPr>
          <w:rFonts w:ascii="宋体" w:eastAsia="宋体" w:cs="宋体" w:hAnsi="宋体" w:hint="eastAsia"/>
          <w:bCs/>
          <w:color w:val="auto"/>
          <w:sz w:val="32"/>
          <w:szCs w:val="32"/>
          <w:lang w:eastAsia="zh-CN"/>
        </w:rPr>
        <w:t>规划依据</w:t>
      </w:r>
      <w:bookmarkEnd w:id="20"/>
    </w:p>
    <w:p>
      <w:pPr>
        <w:rPr>
          <w:color w:val="auto"/>
        </w:rPr>
      </w:pP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1.5.1 法规条例</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《中华人民共和国城乡规划法（2019年修正）》；</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《中华人民共和国土地管理法》（2019年修订）；</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《中华人民共和国公路法》（2017年修正）；</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《中华人民共和国消防法》（2019年修订）；</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《中华人民共和国环境保护法》（2015年）；</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《中华人民共和国自然保护区条例》（2017年修订）；</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《中华人民共和国航道法（2016年修正）》；</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《中华人民共和国矿产资源法（2009年修正）》；</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《中华人民共和国安全生产法》（2002年）；</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《中华人民共和国土地管理法实施条例》（2021年修订）；</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《基本农田保护条例》（2019年修订）；</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《土地复垦条例》（2011年颁布）；</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《城市规划编制办法》2006；</w:t>
      </w:r>
    </w:p>
    <w:p>
      <w:pPr>
        <w:pStyle w:val="25"/>
        <w:pBdr>
          <w:top w:val="none" w:sz="0" w:space="0" w:color="auto"/>
          <w:left w:val="none" w:sz="0" w:space="0" w:color="auto"/>
          <w:bottom w:val="none" w:sz="0" w:space="0" w:color="auto"/>
          <w:right w:val="none" w:sz="0" w:space="0" w:color="auto"/>
        </w:pBdr>
        <w:bidi w:val="0"/>
        <w:spacing w:before="0" w:beforeAutospacing="0" w:after="0" w:afterAutospacing="0" w:line="359" w:lineRule="atLeast"/>
        <w:ind w:left="119" w:right="344" w:firstLine="554"/>
        <w:rPr>
          <w:rFonts w:ascii="Sans-serif" w:hAnsi="Sans-serif"/>
          <w:b w:val="0"/>
          <w:bCs w:val="0"/>
          <w:i w:val="0"/>
          <w:iCs w:val="0"/>
          <w:caps w:val="0"/>
          <w:smallCaps w:val="0"/>
          <w:vanish w:val="0"/>
          <w:color w:val="000000"/>
          <w:spacing w:val="0"/>
          <w:sz w:val="20"/>
          <w:szCs w:val="20"/>
        </w:rPr>
      </w:pPr>
      <w:r>
        <w:rPr>
          <w:rFonts w:ascii="宋体" w:eastAsia="宋体" w:hint="eastAsia"/>
          <w:b w:val="0"/>
          <w:bCs w:val="0"/>
          <w:i w:val="0"/>
          <w:iCs w:val="0"/>
          <w:caps w:val="0"/>
          <w:smallCaps w:val="0"/>
          <w:vanish w:val="0"/>
          <w:color w:val="auto"/>
          <w:spacing w:val="0"/>
          <w:sz w:val="29"/>
          <w:szCs w:val="29"/>
          <w:vertAlign w:val="baseline"/>
        </w:rPr>
        <w:t>《广西壮族自治区实施&lt;中华人民共和国城乡规划法&gt;办法》；</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其他国家有关土地、水、矿产资源利用、保护与管理的法律法规及地方法规。</w:t>
      </w: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1.5.2 相关文件</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广西壮族自治区能源局关于印发广西2017 年风电开发建设方案的通知（桂能新能〔2017〕8号）；</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广西壮族自治区能源局关于印发广西无补贴平价风电开发建设方案的通知（桂能新能〔2020〕8 号）；</w:t>
      </w:r>
    </w:p>
    <w:p>
      <w:pPr>
        <w:pStyle w:val="18"/>
        <w:ind w:firstLineChars="200" w:firstLine="560"/>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广西壮族自治区发展和改革委员会关于钦州低风速二期分散式风电场工程核准的批复</w:t>
      </w:r>
      <w:r>
        <w:rPr>
          <w:rFonts w:ascii="宋体" w:eastAsia="宋体" w:cs="宋体" w:hAnsi="宋体" w:hint="eastAsia"/>
          <w:color w:val="auto"/>
          <w:kern w:val="0"/>
          <w:sz w:val="28"/>
          <w:szCs w:val="28"/>
        </w:rPr>
        <w:t>（桂</w:t>
      </w:r>
      <w:r>
        <w:rPr>
          <w:rFonts w:cs="宋体" w:hint="eastAsia"/>
          <w:color w:val="auto"/>
          <w:kern w:val="0"/>
          <w:sz w:val="28"/>
          <w:szCs w:val="28"/>
          <w:lang w:eastAsia="zh-CN"/>
        </w:rPr>
        <w:t>发改新能</w:t>
      </w:r>
      <w:r>
        <w:rPr>
          <w:rFonts w:ascii="宋体" w:eastAsia="宋体" w:cs="宋体" w:hAnsi="宋体" w:hint="eastAsia"/>
          <w:color w:val="auto"/>
          <w:kern w:val="0"/>
          <w:sz w:val="28"/>
          <w:szCs w:val="28"/>
        </w:rPr>
        <w:t>〔20</w:t>
      </w:r>
      <w:r>
        <w:rPr>
          <w:rFonts w:cs="宋体" w:hint="eastAsia"/>
          <w:color w:val="auto"/>
          <w:kern w:val="0"/>
          <w:sz w:val="28"/>
          <w:szCs w:val="28"/>
          <w:lang w:val="en-US" w:eastAsia="zh-CN"/>
        </w:rPr>
        <w:t>17</w:t>
      </w:r>
      <w:r>
        <w:rPr>
          <w:rFonts w:ascii="宋体" w:eastAsia="宋体" w:cs="宋体" w:hAnsi="宋体" w:hint="eastAsia"/>
          <w:color w:val="auto"/>
          <w:kern w:val="0"/>
          <w:sz w:val="28"/>
          <w:szCs w:val="28"/>
        </w:rPr>
        <w:t>〕</w:t>
      </w:r>
      <w:r>
        <w:rPr>
          <w:rFonts w:cs="宋体" w:hint="eastAsia"/>
          <w:color w:val="auto"/>
          <w:kern w:val="0"/>
          <w:sz w:val="28"/>
          <w:szCs w:val="28"/>
          <w:lang w:val="en-US" w:eastAsia="zh-CN"/>
        </w:rPr>
        <w:t>1718</w:t>
      </w:r>
      <w:r>
        <w:rPr>
          <w:rFonts w:ascii="宋体" w:eastAsia="宋体" w:cs="宋体" w:hAnsi="宋体" w:hint="eastAsia"/>
          <w:color w:val="auto"/>
          <w:kern w:val="0"/>
          <w:sz w:val="28"/>
          <w:szCs w:val="28"/>
        </w:rPr>
        <w:t>号）</w:t>
      </w:r>
      <w:r>
        <w:rPr>
          <w:rFonts w:cs="宋体" w:hint="eastAsia"/>
          <w:color w:val="auto"/>
          <w:kern w:val="0"/>
          <w:sz w:val="28"/>
          <w:szCs w:val="28"/>
          <w:lang w:eastAsia="zh-CN"/>
        </w:rPr>
        <w:t>；</w:t>
      </w:r>
    </w:p>
    <w:p>
      <w:pPr>
        <w:pStyle w:val="18"/>
        <w:ind w:firstLineChars="200" w:firstLine="560"/>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广西壮族自治区国土资源厅关于广西钦州低风速二期分布式风电项目建设用地预审的批复</w:t>
      </w:r>
      <w:r>
        <w:rPr>
          <w:rFonts w:ascii="宋体" w:eastAsia="宋体" w:cs="宋体" w:hAnsi="宋体" w:hint="eastAsia"/>
          <w:color w:val="auto"/>
          <w:kern w:val="0"/>
          <w:sz w:val="28"/>
          <w:szCs w:val="28"/>
        </w:rPr>
        <w:t>（桂</w:t>
      </w:r>
      <w:r>
        <w:rPr>
          <w:rFonts w:cs="宋体" w:hint="eastAsia"/>
          <w:color w:val="auto"/>
          <w:kern w:val="0"/>
          <w:sz w:val="28"/>
          <w:szCs w:val="28"/>
          <w:lang w:eastAsia="zh-CN"/>
        </w:rPr>
        <w:t>国土资预审</w:t>
      </w:r>
      <w:r>
        <w:rPr>
          <w:rFonts w:ascii="宋体" w:eastAsia="宋体" w:cs="宋体" w:hAnsi="宋体" w:hint="eastAsia"/>
          <w:color w:val="auto"/>
          <w:kern w:val="0"/>
          <w:sz w:val="28"/>
          <w:szCs w:val="28"/>
        </w:rPr>
        <w:t>〔20</w:t>
      </w:r>
      <w:r>
        <w:rPr>
          <w:rFonts w:cs="宋体" w:hint="eastAsia"/>
          <w:color w:val="auto"/>
          <w:kern w:val="0"/>
          <w:sz w:val="28"/>
          <w:szCs w:val="28"/>
          <w:lang w:val="en-US" w:eastAsia="zh-CN"/>
        </w:rPr>
        <w:t>17</w:t>
      </w:r>
      <w:r>
        <w:rPr>
          <w:rFonts w:ascii="宋体" w:eastAsia="宋体" w:cs="宋体" w:hAnsi="宋体" w:hint="eastAsia"/>
          <w:color w:val="auto"/>
          <w:kern w:val="0"/>
          <w:sz w:val="28"/>
          <w:szCs w:val="28"/>
        </w:rPr>
        <w:t>〕</w:t>
      </w:r>
      <w:r>
        <w:rPr>
          <w:rFonts w:cs="宋体" w:hint="eastAsia"/>
          <w:color w:val="auto"/>
          <w:kern w:val="0"/>
          <w:sz w:val="28"/>
          <w:szCs w:val="28"/>
          <w:lang w:val="en-US" w:eastAsia="zh-CN"/>
        </w:rPr>
        <w:t>150</w:t>
      </w:r>
      <w:r>
        <w:rPr>
          <w:rFonts w:ascii="宋体" w:eastAsia="宋体" w:cs="宋体" w:hAnsi="宋体" w:hint="eastAsia"/>
          <w:color w:val="auto"/>
          <w:kern w:val="0"/>
          <w:sz w:val="28"/>
          <w:szCs w:val="28"/>
        </w:rPr>
        <w:t>号）</w:t>
      </w:r>
      <w:r>
        <w:rPr>
          <w:rFonts w:cs="宋体" w:hint="eastAsia"/>
          <w:color w:val="auto"/>
          <w:kern w:val="0"/>
          <w:sz w:val="28"/>
          <w:szCs w:val="28"/>
          <w:lang w:eastAsia="zh-CN"/>
        </w:rPr>
        <w:t>；</w:t>
      </w:r>
    </w:p>
    <w:p>
      <w:pPr>
        <w:pStyle w:val="18"/>
        <w:ind w:firstLineChars="200" w:firstLine="560"/>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广西壮族自治区发展和改革委员会关于调整新能源及产业项目进度考核时间节点的通知</w:t>
      </w:r>
      <w:r>
        <w:rPr>
          <w:rFonts w:ascii="宋体" w:eastAsia="宋体" w:cs="宋体" w:hAnsi="宋体" w:hint="eastAsia"/>
          <w:color w:val="auto"/>
          <w:kern w:val="0"/>
          <w:sz w:val="28"/>
          <w:szCs w:val="28"/>
        </w:rPr>
        <w:t>（桂</w:t>
      </w:r>
      <w:r>
        <w:rPr>
          <w:rFonts w:cs="宋体" w:hint="eastAsia"/>
          <w:color w:val="auto"/>
          <w:kern w:val="0"/>
          <w:sz w:val="28"/>
          <w:szCs w:val="28"/>
          <w:lang w:eastAsia="zh-CN"/>
        </w:rPr>
        <w:t>发改新能</w:t>
      </w:r>
      <w:r>
        <w:rPr>
          <w:rFonts w:ascii="宋体" w:eastAsia="宋体" w:cs="宋体" w:hAnsi="宋体" w:hint="eastAsia"/>
          <w:color w:val="auto"/>
          <w:kern w:val="0"/>
          <w:sz w:val="28"/>
          <w:szCs w:val="28"/>
        </w:rPr>
        <w:t>〔20</w:t>
      </w:r>
      <w:r>
        <w:rPr>
          <w:rFonts w:cs="宋体" w:hint="eastAsia"/>
          <w:color w:val="auto"/>
          <w:kern w:val="0"/>
          <w:sz w:val="28"/>
          <w:szCs w:val="28"/>
          <w:lang w:val="en-US" w:eastAsia="zh-CN"/>
        </w:rPr>
        <w:t>22</w:t>
      </w:r>
      <w:r>
        <w:rPr>
          <w:rFonts w:ascii="宋体" w:eastAsia="宋体" w:cs="宋体" w:hAnsi="宋体" w:hint="eastAsia"/>
          <w:color w:val="auto"/>
          <w:kern w:val="0"/>
          <w:sz w:val="28"/>
          <w:szCs w:val="28"/>
        </w:rPr>
        <w:t>〕</w:t>
      </w:r>
      <w:r>
        <w:rPr>
          <w:rFonts w:cs="宋体" w:hint="eastAsia"/>
          <w:color w:val="auto"/>
          <w:kern w:val="0"/>
          <w:sz w:val="28"/>
          <w:szCs w:val="28"/>
          <w:lang w:val="en-US" w:eastAsia="zh-CN"/>
        </w:rPr>
        <w:t>762</w:t>
      </w:r>
      <w:r>
        <w:rPr>
          <w:rFonts w:ascii="宋体" w:eastAsia="宋体" w:cs="宋体" w:hAnsi="宋体" w:hint="eastAsia"/>
          <w:color w:val="auto"/>
          <w:kern w:val="0"/>
          <w:sz w:val="28"/>
          <w:szCs w:val="28"/>
        </w:rPr>
        <w:t>号）</w:t>
      </w:r>
      <w:r>
        <w:rPr>
          <w:rFonts w:cs="宋体" w:hint="eastAsia"/>
          <w:color w:val="auto"/>
          <w:kern w:val="0"/>
          <w:sz w:val="28"/>
          <w:szCs w:val="28"/>
          <w:lang w:eastAsia="zh-CN"/>
        </w:rPr>
        <w:t>；</w:t>
      </w:r>
    </w:p>
    <w:p>
      <w:pPr>
        <w:pStyle w:val="18"/>
        <w:ind w:firstLineChars="200" w:firstLine="560"/>
        <w:rPr>
          <w:rFonts w:ascii="宋体" w:eastAsia="宋体" w:cs="宋体" w:hAnsi="宋体" w:hint="eastAsia"/>
          <w:color w:val="auto"/>
          <w:kern w:val="0"/>
          <w:sz w:val="28"/>
          <w:szCs w:val="28"/>
          <w:lang w:eastAsia="zh-CN"/>
        </w:rPr>
      </w:pPr>
      <w:r>
        <w:rPr>
          <w:rFonts w:cs="宋体" w:hint="eastAsia"/>
          <w:color w:val="auto"/>
          <w:kern w:val="0"/>
          <w:sz w:val="28"/>
          <w:szCs w:val="28"/>
          <w:lang w:eastAsia="zh-CN"/>
        </w:rPr>
        <w:t>钦北区发展和改革局</w:t>
      </w:r>
      <w:r>
        <w:rPr>
          <w:rFonts w:ascii="宋体" w:eastAsia="宋体" w:cs="宋体" w:hAnsi="宋体" w:hint="eastAsia"/>
          <w:color w:val="auto"/>
          <w:kern w:val="0"/>
          <w:sz w:val="28"/>
          <w:szCs w:val="28"/>
        </w:rPr>
        <w:t>关于钦州低风速二期分散式风电场</w:t>
      </w:r>
      <w:r>
        <w:rPr>
          <w:rFonts w:cs="宋体" w:hint="eastAsia"/>
          <w:color w:val="auto"/>
          <w:kern w:val="0"/>
          <w:sz w:val="28"/>
          <w:szCs w:val="28"/>
          <w:lang w:eastAsia="zh-CN"/>
        </w:rPr>
        <w:t>工程的说明</w:t>
      </w:r>
      <w:r>
        <w:rPr>
          <w:rFonts w:ascii="宋体" w:eastAsia="宋体" w:cs="宋体" w:hAnsi="宋体" w:hint="eastAsia"/>
          <w:color w:val="auto"/>
          <w:kern w:val="0"/>
          <w:sz w:val="28"/>
          <w:szCs w:val="28"/>
          <w:lang w:eastAsia="zh-CN"/>
        </w:rPr>
        <w:t>；</w:t>
      </w:r>
    </w:p>
    <w:p>
      <w:pPr>
        <w:pStyle w:val="18"/>
        <w:ind w:firstLineChars="200" w:firstLine="560"/>
        <w:rPr>
          <w:rFonts w:hint="eastAsia"/>
          <w:color w:val="auto"/>
          <w:kern w:val="0"/>
          <w:sz w:val="28"/>
          <w:szCs w:val="28"/>
          <w:lang w:eastAsia="zh-CN"/>
        </w:rPr>
      </w:pPr>
      <w:r>
        <w:rPr>
          <w:rFonts w:cs="宋体" w:hint="eastAsia"/>
          <w:color w:val="auto"/>
          <w:kern w:val="0"/>
          <w:sz w:val="28"/>
          <w:szCs w:val="28"/>
          <w:lang w:eastAsia="zh-CN"/>
        </w:rPr>
        <w:t>钦北区发展和改革局</w:t>
      </w:r>
      <w:r>
        <w:rPr>
          <w:rFonts w:ascii="宋体" w:eastAsia="宋体" w:cs="宋体" w:hAnsi="宋体" w:hint="eastAsia"/>
          <w:color w:val="auto"/>
          <w:kern w:val="0"/>
          <w:sz w:val="28"/>
          <w:szCs w:val="28"/>
        </w:rPr>
        <w:t>关于钦州低风速二期分散式风电场项目建设</w:t>
      </w:r>
      <w:r>
        <w:rPr>
          <w:rFonts w:cs="宋体" w:hint="eastAsia"/>
          <w:color w:val="auto"/>
          <w:kern w:val="0"/>
          <w:sz w:val="28"/>
          <w:szCs w:val="28"/>
          <w:lang w:eastAsia="zh-CN"/>
        </w:rPr>
        <w:t>储能站的说明；</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广西壮族自治区人民政府关于钦州低风速二期分散式风电场工程项目建设用地的批复（桂政土批函〔202</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rPr>
        <w:t>号）</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钦州市钦北区自然资源局关于广西钦州低风速二期分散式风电场项目压覆矿查询的复函；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钦州市自然资源局关于广西钦州低风速二期分散式风电场项目压覆矿产资源查询结果；</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广西壮族自治区自然资源厅办公室关于印发《广西壮族自治区独立地块详细规划编制要点（试行）》的通知（桂</w:t>
      </w:r>
      <w:r>
        <w:rPr>
          <w:rFonts w:ascii="宋体" w:eastAsia="宋体" w:cs="宋体" w:hAnsi="宋体" w:hint="eastAsia"/>
          <w:color w:val="auto"/>
          <w:kern w:val="0"/>
          <w:sz w:val="28"/>
          <w:szCs w:val="28"/>
          <w:lang w:eastAsia="zh-CN"/>
        </w:rPr>
        <w:t>自然资办</w:t>
      </w:r>
      <w:r>
        <w:rPr>
          <w:rFonts w:ascii="宋体" w:eastAsia="宋体" w:cs="宋体" w:hAnsi="宋体" w:hint="eastAsia"/>
          <w:color w:val="auto"/>
          <w:kern w:val="0"/>
          <w:sz w:val="28"/>
          <w:szCs w:val="28"/>
        </w:rPr>
        <w:t>〔202</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197</w:t>
      </w:r>
      <w:r>
        <w:rPr>
          <w:rFonts w:ascii="宋体" w:eastAsia="宋体" w:cs="宋体" w:hAnsi="宋体" w:hint="eastAsia"/>
          <w:color w:val="auto"/>
          <w:kern w:val="0"/>
          <w:sz w:val="28"/>
          <w:szCs w:val="28"/>
        </w:rPr>
        <w:t>号）</w:t>
      </w:r>
      <w:r>
        <w:rPr>
          <w:rFonts w:ascii="宋体" w:eastAsia="宋体" w:cs="宋体" w:hAnsi="宋体" w:hint="eastAsia"/>
          <w:color w:val="auto"/>
          <w:kern w:val="0"/>
          <w:sz w:val="28"/>
          <w:szCs w:val="28"/>
          <w:lang w:eastAsia="zh-CN"/>
        </w:rPr>
        <w:t>。</w:t>
      </w:r>
    </w:p>
    <w:p>
      <w:pPr>
        <w:pStyle w:val="18"/>
        <w:widowControl/>
        <w:autoSpaceDE w:val="0"/>
        <w:autoSpaceDN w:val="0"/>
        <w:spacing w:before="4" w:line="420" w:lineRule="auto"/>
        <w:ind w:left="118" w:right="351" w:firstLineChars="200" w:firstLine="560"/>
        <w:jc w:val="left"/>
        <w:rPr>
          <w:rFonts w:hint="eastAsia"/>
          <w:color w:val="auto"/>
          <w:lang w:eastAsia="zh-CN"/>
        </w:rPr>
      </w:pPr>
      <w:r>
        <w:rPr>
          <w:rFonts w:hint="eastAsia"/>
          <w:b/>
          <w:bCs/>
          <w:color w:val="auto"/>
          <w:sz w:val="28"/>
          <w:szCs w:val="28"/>
          <w:lang w:val="en-US" w:eastAsia="zh-CN"/>
        </w:rPr>
        <w:t>1.5.3 规范标准</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《第三次全国国土调查技术规程》（TD/T 1055—2019）；</w:t>
      </w:r>
    </w:p>
    <w:p>
      <w:pPr>
        <w:ind w:left="0" w:firstLineChars="200" w:firstLine="560"/>
        <w:rPr>
          <w:rFonts w:hint="eastAsia"/>
        </w:rPr>
      </w:pPr>
      <w:r>
        <w:rPr>
          <w:rFonts w:ascii="宋体" w:eastAsia="宋体" w:cs="宋体" w:hAnsi="宋体" w:hint="eastAsia"/>
          <w:color w:val="auto"/>
          <w:kern w:val="0"/>
          <w:sz w:val="28"/>
          <w:szCs w:val="28"/>
        </w:rPr>
        <w:t>其他国家</w:t>
      </w:r>
      <w:r>
        <w:rPr>
          <w:rFonts w:ascii="宋体" w:eastAsia="宋体" w:cs="宋体" w:hAnsi="宋体" w:hint="eastAsia"/>
          <w:color w:val="auto"/>
          <w:kern w:val="0"/>
          <w:sz w:val="28"/>
          <w:szCs w:val="28"/>
          <w:lang w:eastAsia="zh-CN"/>
        </w:rPr>
        <w:t>相关技术</w:t>
      </w:r>
      <w:r>
        <w:rPr>
          <w:rFonts w:ascii="宋体" w:eastAsia="宋体" w:cs="宋体" w:hAnsi="宋体" w:hint="eastAsia"/>
          <w:color w:val="auto"/>
          <w:kern w:val="0"/>
          <w:sz w:val="28"/>
          <w:szCs w:val="28"/>
        </w:rPr>
        <w:t>规范</w:t>
      </w:r>
      <w:r>
        <w:rPr>
          <w:rFonts w:ascii="宋体" w:eastAsia="宋体" w:cs="宋体" w:hAnsi="宋体" w:hint="eastAsia"/>
          <w:color w:val="auto"/>
          <w:kern w:val="0"/>
          <w:sz w:val="28"/>
          <w:szCs w:val="28"/>
          <w:lang w:eastAsia="zh-CN"/>
        </w:rPr>
        <w:t>和标准。</w:t>
      </w: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1.5.4 相关规划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《广西壮族自治区国民经济和社会发展第十四个五年规划和2035年远景目标纲要》；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《钦州市国民经济和社会发展第十四个五年规划和2035年远景目标纲要》；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《钦北区国民经济和社会发展第十四个五年规划和2035 年远景目标纲要》；</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《钦州市国土空间总体规划（2021-2035年）》；</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rPr>
        <w:t>《广西陆上风电场建设规划修编》</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《广西陆上风电中长期发展规划》(桂发改新能〔202</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 816 号）；</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其他</w:t>
      </w:r>
      <w:r>
        <w:rPr>
          <w:rFonts w:ascii="宋体" w:eastAsia="宋体" w:cs="宋体" w:hAnsi="宋体" w:hint="eastAsia"/>
          <w:color w:val="auto"/>
          <w:kern w:val="0"/>
          <w:sz w:val="28"/>
          <w:szCs w:val="28"/>
          <w:lang w:eastAsia="zh-CN"/>
        </w:rPr>
        <w:t>相关专项规划和城镇规划。</w:t>
      </w:r>
    </w:p>
    <w:p>
      <w:pPr>
        <w:pStyle w:val="1"/>
        <w:numPr>
          <w:ilvl w:val="0"/>
          <w:numId w:val="0"/>
        </w:numPr>
        <w:spacing w:before="260" w:line="360" w:lineRule="auto"/>
        <w:ind w:left="420"/>
        <w:rPr>
          <w:rFonts w:ascii="宋体" w:eastAsia="宋体" w:cs="宋体" w:hAnsi="宋体"/>
          <w:bCs/>
          <w:color w:val="auto"/>
          <w:sz w:val="32"/>
          <w:szCs w:val="32"/>
        </w:rPr>
      </w:pPr>
      <w:bookmarkStart w:id="21" w:name="_Toc32099"/>
      <w:r>
        <w:rPr>
          <w:rFonts w:ascii="宋体" w:eastAsia="宋体" w:cs="宋体" w:hAnsi="宋体" w:hint="eastAsia"/>
          <w:bCs/>
          <w:color w:val="auto"/>
          <w:sz w:val="32"/>
          <w:szCs w:val="32"/>
          <w:lang w:val="en-US" w:eastAsia="zh-CN"/>
        </w:rPr>
        <w:t>1.6</w:t>
      </w:r>
      <w:r>
        <w:rPr>
          <w:rFonts w:ascii="宋体" w:eastAsia="宋体" w:cs="宋体" w:hAnsi="宋体" w:hint="eastAsia"/>
          <w:bCs/>
          <w:color w:val="auto"/>
          <w:sz w:val="32"/>
          <w:szCs w:val="32"/>
          <w:lang w:eastAsia="zh-CN"/>
        </w:rPr>
        <w:t>项目建设的必要性</w:t>
      </w:r>
      <w:bookmarkEnd w:id="21"/>
    </w:p>
    <w:p>
      <w:pPr>
        <w:rPr>
          <w:color w:val="auto"/>
        </w:rPr>
      </w:pP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bookmarkStart w:id="22" w:name="_Toc22960"/>
      <w:bookmarkStart w:id="23" w:name="_Toc5027"/>
      <w:bookmarkStart w:id="24" w:name="_Toc18293"/>
      <w:bookmarkStart w:id="25" w:name="_Toc23970"/>
      <w:r>
        <w:rPr>
          <w:rFonts w:hint="eastAsia"/>
          <w:b/>
          <w:bCs/>
          <w:color w:val="auto"/>
          <w:sz w:val="28"/>
          <w:szCs w:val="28"/>
          <w:lang w:val="en-US" w:eastAsia="zh-CN"/>
        </w:rPr>
        <w:t>1.6.1 符合我国能源产业发展战略和方向</w:t>
      </w:r>
      <w:bookmarkEnd w:id="22"/>
      <w:bookmarkEnd w:id="23"/>
      <w:bookmarkEnd w:id="24"/>
      <w:bookmarkEnd w:id="25"/>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随着经济的快速发展，人类正以前所未有的速度消耗着地球上极为有限的化石能源资源。然而，有限的一次能源储量，以及利用一次能源所带来的环境方面的问题，直接影响世界经济的可持续发展和人类的生存环境。为减少对一次能源的依赖，保护人类的生存环境，我国政府已向世界庄严承诺，21 世纪走可持续发展的道路，明确经济的发展不应以牺牲后代生存环境、经济资源为代价，并研究、制定和开始执行经济、社会和资源相互协调的21 世纪可持续发展战略。研究地块建设场址位于广西钦州市钦北区，年上网电量约14569 万kW·h，有利于当地能源消费结构的调整，有利于广西能源发展规划目标的实现。</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1.6.2 是能源消耗的有益补充</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在一次能源中，广西煤、气、油等资源匮乏，从长远看，广西属能源缺乏省份之一。为了满足广西经济和社会发展对能源的需求，保证能源安全，广西能源长远发展必须实施能源形式多元化战略，推进能源多元清洁发展，转变能源生产和利用方式，优化能源结构，构建清洁能源示范区。深度开发水电，因地制宜发展中小型水电，合理布局抽水蓄能电站。优化发展火电，优先建设“上大压小”煤电、热电联产综合利用等项目，鼓励发展清洁高效、大容量燃煤机组，推进传统能源清洁利用。积极发展生物质能、风能、太阳能、地热能、潮汐能等可再生能源。稳步推进沿海液化天然气利用、非粮乙醇、生物柴油、生物质成型燃料、生物质气化等项目建设，开展分布式能源和太阳能城市试点。因此，用地规划建设是广西能源长期发展战略的需要</w:t>
      </w:r>
      <w:r>
        <w:rPr>
          <w:rFonts w:ascii="宋体" w:eastAsia="宋体" w:cs="宋体" w:hAnsi="宋体" w:hint="eastAsia"/>
          <w:color w:val="auto"/>
          <w:kern w:val="0"/>
          <w:sz w:val="28"/>
          <w:szCs w:val="28"/>
          <w:lang w:eastAsia="zh-CN"/>
        </w:rPr>
        <w:t>。</w:t>
      </w: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1.6.3 有利于保护生态环境</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rPr>
        <w:t>广西能源资源的特点是水力资源丰富，但缺煤少油，而且煤的质量差，含硫量高、灰分大，并且开采困难。截至目前广西水力资源已开发量约占全区经济可开发装机容量的80%，后续可开发容量不大。由于广西煤种质量较差，数量少，利用外省煤必然会增加运营成本，且燃煤机组会给环境带来污染。随着广西水电资源开发尾声的接近，广西电源结构中火电厂的比重逐渐增大，增加风电等清洁能源的比重刻不容缓。</w:t>
      </w:r>
      <w:r>
        <w:rPr>
          <w:rFonts w:ascii="宋体" w:eastAsia="宋体" w:cs="宋体" w:hAnsi="宋体" w:hint="eastAsia"/>
          <w:color w:val="auto"/>
          <w:kern w:val="0"/>
          <w:sz w:val="28"/>
          <w:szCs w:val="28"/>
          <w:lang w:eastAsia="zh-CN"/>
        </w:rPr>
        <w:t>建设风电场充分利用可再生风能发电，既没有燃料的消耗，又没有废水、废气和废渣的排放，</w:t>
      </w:r>
      <w:r>
        <w:rPr>
          <w:rFonts w:ascii="宋体" w:eastAsia="宋体" w:cs="宋体" w:hAnsi="宋体" w:hint="eastAsia"/>
          <w:color w:val="auto"/>
          <w:kern w:val="0"/>
          <w:sz w:val="28"/>
          <w:szCs w:val="28"/>
        </w:rPr>
        <w:t>在减少CO</w:t>
      </w:r>
      <w:r>
        <w:rPr>
          <w:rFonts w:ascii="宋体" w:eastAsia="宋体" w:cs="宋体" w:hAnsi="宋体"/>
          <w:color w:val="auto"/>
          <w:kern w:val="0"/>
          <w:sz w:val="28"/>
          <w:szCs w:val="28"/>
          <w:vertAlign w:val="subscript"/>
        </w:rPr>
        <w:t>2</w:t>
      </w:r>
      <w:r>
        <w:rPr>
          <w:rFonts w:ascii="宋体" w:eastAsia="宋体" w:cs="宋体" w:hAnsi="宋体" w:hint="eastAsia"/>
          <w:color w:val="auto"/>
          <w:kern w:val="0"/>
          <w:sz w:val="28"/>
          <w:szCs w:val="28"/>
        </w:rPr>
        <w:t>等温室气体排放，</w:t>
      </w:r>
      <w:r>
        <w:rPr>
          <w:rFonts w:ascii="宋体" w:eastAsia="宋体" w:cs="宋体" w:hAnsi="宋体"/>
          <w:color w:val="auto"/>
          <w:kern w:val="0"/>
          <w:sz w:val="28"/>
          <w:szCs w:val="28"/>
        </w:rPr>
        <w:t>在</w:t>
      </w:r>
      <w:r>
        <w:rPr>
          <w:rFonts w:ascii="宋体" w:eastAsia="宋体" w:cs="宋体" w:hAnsi="宋体" w:hint="eastAsia"/>
          <w:color w:val="auto"/>
          <w:kern w:val="0"/>
          <w:sz w:val="28"/>
          <w:szCs w:val="28"/>
        </w:rPr>
        <w:t>缓解全球气候变暖方面，风电是有效的举措之一。</w:t>
      </w:r>
      <w:r>
        <w:rPr>
          <w:rFonts w:ascii="宋体" w:eastAsia="宋体" w:cs="宋体" w:hAnsi="宋体" w:hint="eastAsia"/>
          <w:color w:val="auto"/>
          <w:kern w:val="0"/>
          <w:sz w:val="28"/>
          <w:szCs w:val="28"/>
          <w:lang w:eastAsia="zh-CN"/>
        </w:rPr>
        <w:t>在促进当地经济发展的同时，不会破坏原有的生态环境和人居环境，是钦北区解决能源紧缺的最佳电源选择之一。</w:t>
      </w: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bookmarkStart w:id="26" w:name="_Toc25774"/>
      <w:bookmarkStart w:id="27" w:name="_Toc15874"/>
      <w:bookmarkStart w:id="28" w:name="_Toc12902"/>
      <w:bookmarkStart w:id="29" w:name="_Toc19449"/>
      <w:r>
        <w:rPr>
          <w:rFonts w:hint="eastAsia"/>
          <w:b/>
          <w:bCs/>
          <w:color w:val="auto"/>
          <w:sz w:val="28"/>
          <w:szCs w:val="28"/>
          <w:lang w:val="en-US" w:eastAsia="zh-CN"/>
        </w:rPr>
        <w:t>1.6.4 风电与水电互补缓解广西电网供需矛盾</w:t>
      </w:r>
      <w:bookmarkEnd w:id="26"/>
      <w:bookmarkEnd w:id="27"/>
      <w:bookmarkEnd w:id="28"/>
      <w:bookmarkEnd w:id="29"/>
    </w:p>
    <w:p>
      <w:pPr>
        <w:ind w:left="0" w:firstLineChars="200" w:firstLine="560"/>
        <w:rPr>
          <w:rFonts w:hint="eastAsia"/>
          <w:color w:val="auto"/>
          <w:lang w:eastAsia="zh-CN"/>
        </w:rPr>
      </w:pPr>
      <w:r>
        <w:rPr>
          <w:rFonts w:ascii="宋体" w:eastAsia="宋体" w:cs="宋体" w:hAnsi="宋体" w:hint="eastAsia"/>
          <w:color w:val="auto"/>
          <w:kern w:val="0"/>
          <w:sz w:val="28"/>
          <w:szCs w:val="28"/>
        </w:rPr>
        <w:t>目前广西的电源结构是水电与火电比重基本相当，风电投产容量小。根据广西各河流的径流特征，枯水期（11 月至次年4 月）各主要水电站的出力比汛期（5 月至10 月）出力要小得多，大部分小水电站枯水期几乎无出力，因此枯水期全区的电力缺口较大。而根据对我区风资源的初步评估结论，从平均风速的季节变化看，秋冬季较大，春夏季较小，本风电场的主要风况亦且有春季较大的特征，这与水电站的出力形成一定互补，填补枯水期的部分电力缺口，缓解电网供需矛盾。随着风电在电力系统中比重的增加，将有利于提高我区能源供应的多样性，为保持我区的经济和社会可持续发展发挥积极作用</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bCs/>
          <w:color w:val="auto"/>
          <w:sz w:val="32"/>
          <w:szCs w:val="32"/>
        </w:rPr>
      </w:pPr>
      <w:bookmarkStart w:id="30" w:name="_Toc16978"/>
      <w:r>
        <w:rPr>
          <w:rFonts w:ascii="宋体" w:eastAsia="宋体" w:cs="宋体" w:hAnsi="宋体" w:hint="eastAsia"/>
          <w:bCs/>
          <w:color w:val="auto"/>
          <w:sz w:val="32"/>
          <w:szCs w:val="32"/>
          <w:lang w:val="en-US" w:eastAsia="zh-CN"/>
        </w:rPr>
        <w:t>1.7上位</w:t>
      </w:r>
      <w:r>
        <w:rPr>
          <w:rFonts w:ascii="宋体" w:eastAsia="宋体" w:cs="宋体" w:hAnsi="宋体" w:hint="eastAsia"/>
          <w:bCs/>
          <w:color w:val="auto"/>
          <w:sz w:val="32"/>
          <w:szCs w:val="32"/>
          <w:lang w:eastAsia="zh-CN"/>
        </w:rPr>
        <w:t>规划及相关规划情况</w:t>
      </w:r>
      <w:bookmarkEnd w:id="30"/>
    </w:p>
    <w:p>
      <w:pPr>
        <w:rPr>
          <w:color w:val="auto"/>
        </w:rPr>
      </w:pP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1.7.1 国土空间规划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）钦州市国土空间总体规划（2021-2035年）</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钦州市国土空间总体规划（2021-2035年）于</w:t>
      </w:r>
      <w:r>
        <w:rPr>
          <w:rFonts w:ascii="宋体" w:eastAsia="宋体" w:cs="宋体" w:hAnsi="宋体" w:hint="eastAsia"/>
          <w:color w:val="auto"/>
          <w:kern w:val="0"/>
          <w:sz w:val="28"/>
          <w:szCs w:val="28"/>
          <w:lang w:val="en-US" w:eastAsia="zh-CN"/>
        </w:rPr>
        <w:t>2024年2月</w:t>
      </w:r>
      <w:r>
        <w:rPr>
          <w:rFonts w:ascii="宋体" w:eastAsia="宋体" w:cs="宋体" w:hAnsi="宋体" w:hint="eastAsia"/>
          <w:color w:val="auto"/>
          <w:kern w:val="0"/>
          <w:sz w:val="28"/>
          <w:szCs w:val="28"/>
          <w:lang w:eastAsia="zh-CN"/>
        </w:rPr>
        <w:t>已取得自治区人民政府的批复（桂政函〔2024〕17号）。</w:t>
      </w:r>
      <w:r>
        <w:rPr>
          <w:rFonts w:ascii="宋体" w:eastAsia="宋体" w:cs="宋体" w:hAnsi="宋体" w:hint="eastAsia"/>
          <w:color w:val="auto"/>
          <w:kern w:val="0"/>
          <w:sz w:val="28"/>
          <w:szCs w:val="28"/>
        </w:rPr>
        <w:t>钦州低风速二期分散式风电场工程项目</w:t>
      </w:r>
      <w:r>
        <w:rPr>
          <w:rFonts w:ascii="宋体" w:eastAsia="宋体" w:cs="宋体" w:hAnsi="宋体" w:hint="eastAsia"/>
          <w:color w:val="auto"/>
          <w:kern w:val="0"/>
          <w:sz w:val="28"/>
          <w:szCs w:val="28"/>
          <w:lang w:eastAsia="zh-CN"/>
        </w:rPr>
        <w:t>已纳入钦州市国土空间总体规划，为风电能源类项目重点安排建设项目之一。用地不涉及占用基本农田、生态保护红线和城镇开发边界，符合规划。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）钦北区各镇级国土空间总体规划</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本风电场位于钦北区大垌镇和那蒙镇交界处区域，项目地块已纳入市国空建设用地。项目用地在城镇开发边界外，不涉及生态保护红线，也不占用永久基本农田。目前，</w:t>
      </w:r>
      <w:r>
        <w:rPr>
          <w:rFonts w:ascii="宋体" w:eastAsia="宋体" w:cs="宋体" w:hAnsi="宋体" w:hint="eastAsia"/>
          <w:color w:val="auto"/>
          <w:kern w:val="0"/>
          <w:sz w:val="28"/>
          <w:szCs w:val="28"/>
        </w:rPr>
        <w:t>钦北区</w:t>
      </w:r>
      <w:r>
        <w:rPr>
          <w:rFonts w:ascii="宋体" w:eastAsia="宋体" w:cs="宋体" w:hAnsi="宋体" w:hint="eastAsia"/>
          <w:color w:val="auto"/>
          <w:kern w:val="0"/>
          <w:sz w:val="28"/>
          <w:szCs w:val="28"/>
          <w:lang w:eastAsia="zh-CN"/>
        </w:rPr>
        <w:t>各镇级的</w:t>
      </w:r>
      <w:r>
        <w:rPr>
          <w:rFonts w:ascii="宋体" w:eastAsia="宋体" w:cs="宋体" w:hAnsi="宋体" w:hint="eastAsia"/>
          <w:color w:val="auto"/>
          <w:kern w:val="0"/>
          <w:sz w:val="28"/>
          <w:szCs w:val="28"/>
        </w:rPr>
        <w:t>国土空间规划</w:t>
      </w:r>
      <w:r>
        <w:rPr>
          <w:rFonts w:ascii="宋体" w:eastAsia="宋体" w:cs="宋体" w:hAnsi="宋体" w:hint="eastAsia"/>
          <w:color w:val="auto"/>
          <w:kern w:val="0"/>
          <w:sz w:val="28"/>
          <w:szCs w:val="28"/>
          <w:lang w:eastAsia="zh-CN"/>
        </w:rPr>
        <w:t>还在编制阶段</w:t>
      </w:r>
      <w:r>
        <w:rPr>
          <w:rFonts w:ascii="宋体" w:eastAsia="宋体" w:cs="宋体" w:hAnsi="宋体" w:hint="eastAsia"/>
          <w:color w:val="auto"/>
          <w:kern w:val="0"/>
          <w:sz w:val="28"/>
          <w:szCs w:val="28"/>
        </w:rPr>
        <w:t>。现阶段还没有控规对该</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地块进行规划落实用地性质、开发强度等，</w:t>
      </w:r>
      <w:r>
        <w:rPr>
          <w:rFonts w:ascii="宋体" w:eastAsia="宋体" w:cs="宋体" w:hAnsi="宋体" w:hint="eastAsia"/>
          <w:color w:val="auto"/>
          <w:kern w:val="0"/>
          <w:sz w:val="28"/>
          <w:szCs w:val="28"/>
          <w:lang w:eastAsia="zh-CN"/>
        </w:rPr>
        <w:t>因此，本次项目</w:t>
      </w:r>
      <w:r>
        <w:rPr>
          <w:rFonts w:ascii="宋体" w:eastAsia="宋体" w:cs="宋体" w:hAnsi="宋体" w:hint="eastAsia"/>
          <w:color w:val="auto"/>
          <w:kern w:val="0"/>
          <w:sz w:val="28"/>
          <w:szCs w:val="28"/>
        </w:rPr>
        <w:t>地块单独编制独立地块控制性详细规划后，后续应将该</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地块落实至乡镇国空</w:t>
      </w:r>
      <w:r>
        <w:rPr>
          <w:rFonts w:ascii="宋体" w:eastAsia="宋体" w:cs="宋体" w:hAnsi="宋体" w:hint="eastAsia"/>
          <w:color w:val="auto"/>
          <w:kern w:val="0"/>
          <w:sz w:val="28"/>
          <w:szCs w:val="28"/>
          <w:lang w:eastAsia="zh-CN"/>
        </w:rPr>
        <w:t>。</w:t>
      </w:r>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）村庄规划</w:t>
      </w:r>
    </w:p>
    <w:p>
      <w:pPr>
        <w:ind w:left="0" w:firstLineChars="200" w:firstLine="560"/>
        <w:rPr>
          <w:rFonts w:hint="eastAsia"/>
          <w:color w:val="auto"/>
        </w:rPr>
      </w:pPr>
      <w:r>
        <w:rPr>
          <w:rFonts w:ascii="宋体" w:eastAsia="宋体" w:cs="宋体" w:hAnsi="宋体" w:hint="eastAsia"/>
          <w:color w:val="auto"/>
          <w:kern w:val="0"/>
          <w:sz w:val="28"/>
          <w:szCs w:val="28"/>
          <w:lang w:eastAsia="zh-CN"/>
        </w:rPr>
        <w:t>本项目共规划</w:t>
      </w:r>
      <w:r>
        <w:rPr>
          <w:rFonts w:ascii="宋体" w:eastAsia="宋体" w:cs="宋体" w:hAnsi="宋体" w:hint="eastAsia"/>
          <w:color w:val="auto"/>
          <w:kern w:val="0"/>
          <w:sz w:val="28"/>
          <w:szCs w:val="28"/>
          <w:lang w:val="en-US" w:eastAsia="zh-CN"/>
        </w:rPr>
        <w:t>12个独立</w:t>
      </w:r>
      <w:r>
        <w:rPr>
          <w:rFonts w:ascii="宋体" w:eastAsia="宋体" w:cs="宋体" w:hAnsi="宋体" w:hint="eastAsia"/>
          <w:color w:val="auto"/>
          <w:kern w:val="0"/>
          <w:sz w:val="28"/>
          <w:szCs w:val="28"/>
          <w:lang w:eastAsia="zh-CN"/>
        </w:rPr>
        <w:t>地块，分别位于钦北区大垌镇大塘村、米家村、歌标村，那蒙镇岳马村、硃砂村、竹山村村庄范围内。目前项目用地所在的大垌镇大塘村、歌标村村庄规划处于报批阶段，根据已编的村庄规划，本项目规划空间布局与村庄建设空间分布及功能没有冲突，各独立地块均不涉及所在村庄的建设用地边界和村庄居民点，不涉及生态保护红线，不占用永久基本农田。其余未编或在编的村庄规划，待本项目规划用地报批后，应与对应的村庄规划衔接。</w:t>
      </w:r>
    </w:p>
    <w:p>
      <w:pPr>
        <w:pStyle w:val="18"/>
        <w:widowControl/>
        <w:autoSpaceDE w:val="0"/>
        <w:autoSpaceDN w:val="0"/>
        <w:spacing w:before="4" w:line="420" w:lineRule="auto"/>
        <w:ind w:left="118" w:right="351" w:firstLineChars="200" w:firstLine="560"/>
        <w:jc w:val="left"/>
        <w:rPr>
          <w:rFonts w:ascii="宋体" w:eastAsia="宋体" w:cs="宋体" w:hAnsi="宋体"/>
          <w:color w:val="auto"/>
          <w:sz w:val="30"/>
          <w:szCs w:val="30"/>
        </w:rPr>
      </w:pPr>
      <w:r>
        <w:rPr>
          <w:rFonts w:hint="eastAsia"/>
          <w:b/>
          <w:bCs/>
          <w:color w:val="auto"/>
          <w:sz w:val="28"/>
          <w:szCs w:val="28"/>
          <w:lang w:val="en-US" w:eastAsia="zh-CN"/>
        </w:rPr>
        <w:t>1.7.2 广西陆上风电场相关规划</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钦州市区域内海拔相对较高的山脊及丘陵地带风能资源条件</w:t>
      </w:r>
      <w:r>
        <w:rPr>
          <w:rFonts w:ascii="宋体" w:eastAsia="宋体" w:cs="宋体" w:hAnsi="宋体" w:hint="eastAsia"/>
          <w:color w:val="auto"/>
          <w:kern w:val="0"/>
          <w:sz w:val="28"/>
          <w:szCs w:val="28"/>
          <w:lang w:eastAsia="zh-CN"/>
        </w:rPr>
        <w:t>良</w:t>
      </w:r>
      <w:r>
        <w:rPr>
          <w:rFonts w:ascii="宋体" w:eastAsia="宋体" w:cs="宋体" w:hAnsi="宋体" w:hint="eastAsia"/>
          <w:color w:val="auto"/>
          <w:kern w:val="0"/>
          <w:sz w:val="28"/>
          <w:szCs w:val="28"/>
        </w:rPr>
        <w:t>好，</w:t>
      </w:r>
      <w:r>
        <w:rPr>
          <w:rFonts w:ascii="宋体" w:eastAsia="宋体" w:cs="宋体" w:hAnsi="宋体" w:hint="eastAsia"/>
          <w:color w:val="auto"/>
          <w:kern w:val="0"/>
          <w:sz w:val="28"/>
          <w:szCs w:val="28"/>
          <w:lang w:eastAsia="zh-CN"/>
        </w:rPr>
        <w:t>具有较好的开发价值。根据全国风能资源普查结果，钦北区属于风能较丰富区。按照《风电场工程风能资源测量与评估技术规范》风速及风功率密度等级标准，初步判断测风塔附近区域风功率密度等级属D-2～D-3 级标准，部分区域风能资源条件相对较好。本风电场风能方向集中，有利于风机布置。广西壮族自治区能源局关于印发广西2017 年风电开发建设方案的通知（桂能新能〔2017〕8号）已把</w:t>
      </w:r>
      <w:r>
        <w:rPr>
          <w:rFonts w:ascii="宋体" w:eastAsia="宋体" w:cs="宋体" w:hAnsi="宋体" w:hint="eastAsia"/>
          <w:color w:val="auto"/>
          <w:kern w:val="0"/>
          <w:sz w:val="28"/>
          <w:szCs w:val="28"/>
        </w:rPr>
        <w:t>钦州低风速二期分散式风电场工程项目</w:t>
      </w:r>
      <w:r>
        <w:rPr>
          <w:rFonts w:ascii="宋体" w:eastAsia="宋体" w:cs="宋体" w:hAnsi="宋体" w:hint="eastAsia"/>
          <w:color w:val="auto"/>
          <w:kern w:val="0"/>
          <w:sz w:val="28"/>
          <w:szCs w:val="28"/>
          <w:lang w:eastAsia="zh-CN"/>
        </w:rPr>
        <w:t>列入其中，规划装机容量</w:t>
      </w:r>
      <w:r>
        <w:rPr>
          <w:rFonts w:ascii="宋体" w:eastAsia="宋体" w:cs="宋体" w:hAnsi="宋体" w:hint="eastAsia"/>
          <w:color w:val="auto"/>
          <w:kern w:val="0"/>
          <w:sz w:val="28"/>
          <w:szCs w:val="28"/>
          <w:lang w:val="en-US" w:eastAsia="zh-CN"/>
        </w:rPr>
        <w:t>30MW。</w:t>
      </w:r>
      <w:r>
        <w:rPr>
          <w:rFonts w:ascii="宋体" w:eastAsia="宋体" w:cs="宋体" w:hAnsi="宋体" w:hint="eastAsia"/>
          <w:color w:val="auto"/>
          <w:kern w:val="0"/>
          <w:sz w:val="28"/>
          <w:szCs w:val="28"/>
          <w:lang w:eastAsia="zh-CN"/>
        </w:rPr>
        <w:t>为了</w:t>
      </w:r>
      <w:r>
        <w:rPr>
          <w:rFonts w:ascii="宋体" w:eastAsia="宋体" w:cs="宋体" w:hAnsi="宋体" w:hint="eastAsia"/>
          <w:color w:val="auto"/>
          <w:kern w:val="0"/>
          <w:sz w:val="28"/>
          <w:szCs w:val="28"/>
        </w:rPr>
        <w:t>加快自治区风能资源的开发</w:t>
      </w:r>
      <w:r>
        <w:rPr>
          <w:rFonts w:ascii="宋体" w:eastAsia="宋体" w:cs="宋体" w:hAnsi="宋体" w:hint="eastAsia"/>
          <w:color w:val="auto"/>
          <w:kern w:val="0"/>
          <w:sz w:val="28"/>
          <w:szCs w:val="28"/>
          <w:lang w:eastAsia="zh-CN"/>
        </w:rPr>
        <w:t>，高效地促进钦州市的风电事业发展，编制</w:t>
      </w:r>
      <w:r>
        <w:rPr>
          <w:rFonts w:ascii="宋体" w:eastAsia="宋体" w:cs="宋体" w:hAnsi="宋体" w:hint="eastAsia"/>
          <w:color w:val="auto"/>
          <w:kern w:val="0"/>
          <w:sz w:val="28"/>
          <w:szCs w:val="28"/>
        </w:rPr>
        <w:t>钦州低风速二期分散式风电场工程项目</w:t>
      </w:r>
      <w:r>
        <w:rPr>
          <w:rFonts w:ascii="宋体" w:eastAsia="宋体" w:cs="宋体" w:hAnsi="宋体" w:hint="eastAsia"/>
          <w:color w:val="auto"/>
          <w:kern w:val="0"/>
          <w:sz w:val="28"/>
          <w:szCs w:val="28"/>
          <w:lang w:eastAsia="zh-CN"/>
        </w:rPr>
        <w:t>独立地块控制性详细规划是十分必要的</w:t>
      </w:r>
      <w:r>
        <w:rPr>
          <w:rFonts w:ascii="宋体" w:eastAsia="宋体" w:cs="宋体" w:hAnsi="宋体" w:hint="eastAsia"/>
          <w:color w:val="auto"/>
          <w:kern w:val="0"/>
          <w:sz w:val="28"/>
          <w:szCs w:val="28"/>
        </w:rPr>
        <w:t>。</w:t>
      </w:r>
    </w:p>
    <w:p>
      <w:pPr>
        <w:pStyle w:val="1"/>
        <w:numPr>
          <w:ilvl w:val="0"/>
          <w:numId w:val="0"/>
        </w:numPr>
        <w:spacing w:before="260" w:line="360" w:lineRule="auto"/>
        <w:ind w:left="420"/>
        <w:jc w:val="center"/>
        <w:rPr>
          <w:rFonts w:ascii="宋体" w:eastAsia="宋体" w:cs="宋体" w:hAnsi="宋体"/>
          <w:bCs/>
          <w:color w:val="auto"/>
          <w:sz w:val="32"/>
          <w:szCs w:val="32"/>
        </w:rPr>
      </w:pPr>
      <w:bookmarkStart w:id="31" w:name="_Toc14209"/>
      <w:r>
        <w:rPr>
          <w:rFonts w:ascii="宋体" w:eastAsia="宋体" w:cs="宋体" w:hAnsi="宋体" w:hint="eastAsia"/>
          <w:bCs/>
          <w:color w:val="auto"/>
          <w:sz w:val="32"/>
          <w:szCs w:val="32"/>
          <w:lang w:eastAsia="zh-CN"/>
        </w:rPr>
        <w:t>第二章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现状</w:t>
      </w:r>
      <w:r>
        <w:rPr>
          <w:rFonts w:ascii="宋体" w:eastAsia="宋体" w:cs="宋体" w:hAnsi="宋体" w:hint="eastAsia"/>
          <w:bCs/>
          <w:color w:val="auto"/>
          <w:sz w:val="32"/>
          <w:szCs w:val="32"/>
        </w:rPr>
        <w:t>概况</w:t>
      </w:r>
      <w:bookmarkEnd w:id="6"/>
      <w:bookmarkEnd w:id="7"/>
      <w:bookmarkEnd w:id="8"/>
      <w:bookmarkEnd w:id="31"/>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2" w:name="_Toc1465"/>
      <w:bookmarkStart w:id="33" w:name="_Toc238"/>
      <w:bookmarkStart w:id="34" w:name="_Toc12110"/>
      <w:bookmarkStart w:id="35" w:name="_Toc15025"/>
      <w:r>
        <w:rPr>
          <w:rFonts w:ascii="宋体" w:eastAsia="宋体" w:cs="宋体" w:hAnsi="宋体" w:hint="eastAsia"/>
          <w:bCs/>
          <w:color w:val="auto"/>
          <w:sz w:val="32"/>
          <w:szCs w:val="32"/>
          <w:lang w:val="en-US" w:eastAsia="zh-CN"/>
        </w:rPr>
        <w:t>2.1</w:t>
      </w:r>
      <w:bookmarkEnd w:id="32"/>
      <w:bookmarkEnd w:id="33"/>
      <w:bookmarkEnd w:id="34"/>
      <w:r>
        <w:rPr>
          <w:rFonts w:ascii="宋体" w:eastAsia="宋体" w:cs="宋体" w:hAnsi="宋体" w:hint="eastAsia"/>
          <w:bCs/>
          <w:color w:val="auto"/>
          <w:sz w:val="32"/>
          <w:szCs w:val="32"/>
          <w:lang w:val="en-US" w:eastAsia="zh-CN"/>
        </w:rPr>
        <w:t>区位情况</w:t>
      </w:r>
      <w:bookmarkEnd w:id="35"/>
    </w:p>
    <w:p>
      <w:pPr>
        <w:ind w:left="0" w:firstLineChars="200" w:firstLine="560"/>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规划建设的</w:t>
      </w:r>
      <w:r>
        <w:rPr>
          <w:rFonts w:ascii="宋体" w:eastAsia="宋体" w:cs="宋体" w:hAnsi="宋体" w:hint="eastAsia"/>
          <w:color w:val="auto"/>
          <w:kern w:val="0"/>
          <w:sz w:val="28"/>
          <w:szCs w:val="28"/>
          <w:lang w:val="en-US" w:eastAsia="zh-CN"/>
        </w:rPr>
        <w:t>10组</w:t>
      </w:r>
      <w:r>
        <w:rPr>
          <w:rFonts w:ascii="宋体" w:eastAsia="宋体" w:cs="宋体" w:hAnsi="宋体" w:hint="eastAsia"/>
          <w:color w:val="auto"/>
          <w:kern w:val="0"/>
          <w:sz w:val="28"/>
          <w:szCs w:val="28"/>
          <w:lang w:eastAsia="zh-CN"/>
        </w:rPr>
        <w:t>风电机组和开关站及储能站地块零星分布于钦州市钦北区大垌镇、那蒙镇交界处一带的山脊或山包区域，其中开关站和储能站位于风电场内中部，</w:t>
      </w:r>
      <w:r>
        <w:rPr>
          <w:rFonts w:ascii="宋体" w:eastAsia="宋体" w:cs="宋体" w:hAnsi="宋体" w:hint="eastAsia"/>
          <w:color w:val="auto"/>
          <w:kern w:val="0"/>
          <w:sz w:val="28"/>
          <w:szCs w:val="28"/>
        </w:rPr>
        <w:t>是整个风电场的控制中心</w:t>
      </w:r>
      <w:r>
        <w:rPr>
          <w:rFonts w:ascii="宋体" w:eastAsia="宋体" w:cs="宋体" w:hAnsi="宋体" w:hint="eastAsia"/>
          <w:color w:val="auto"/>
          <w:kern w:val="0"/>
          <w:sz w:val="28"/>
          <w:szCs w:val="28"/>
          <w:lang w:eastAsia="zh-CN"/>
        </w:rPr>
        <w:t>和电能储备中心。</w:t>
      </w:r>
    </w:p>
    <w:p>
      <w:pPr>
        <w:pStyle w:val="18"/>
        <w:spacing w:line="420" w:lineRule="auto"/>
        <w:ind w:firstLine="479"/>
        <w:rPr>
          <w:rFonts w:hint="eastAsia"/>
          <w:color w:val="auto"/>
          <w:kern w:val="0"/>
          <w:sz w:val="28"/>
          <w:szCs w:val="28"/>
          <w:lang w:val="en-US" w:eastAsia="zh-CN"/>
        </w:rPr>
      </w:pPr>
      <w:r>
        <w:rPr>
          <w:rFonts w:hint="eastAsia"/>
          <w:color w:val="auto"/>
          <w:kern w:val="0"/>
          <w:sz w:val="28"/>
          <w:szCs w:val="28"/>
          <w:lang w:val="en-US" w:eastAsia="zh-CN"/>
        </w:rPr>
        <w:t>本项目规划用地</w:t>
      </w:r>
      <w:r>
        <w:rPr>
          <w:rFonts w:ascii="宋体" w:eastAsia="宋体" w:cs="宋体" w:hAnsi="宋体" w:hint="eastAsia"/>
          <w:color w:val="auto"/>
          <w:kern w:val="0"/>
          <w:sz w:val="28"/>
          <w:szCs w:val="28"/>
          <w:lang w:eastAsia="zh-CN"/>
        </w:rPr>
        <w:t>场址涉及的区域</w:t>
      </w:r>
      <w:r>
        <w:rPr>
          <w:rFonts w:ascii="宋体" w:eastAsia="宋体" w:cs="宋体" w:hAnsi="宋体" w:hint="eastAsia"/>
          <w:color w:val="auto"/>
          <w:kern w:val="0"/>
          <w:sz w:val="28"/>
          <w:szCs w:val="28"/>
        </w:rPr>
        <w:t>范围</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4.5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hint="eastAsia"/>
          <w:color w:val="auto"/>
          <w:kern w:val="0"/>
          <w:sz w:val="28"/>
          <w:szCs w:val="28"/>
          <w:lang w:val="en-US"/>
        </w:rPr>
        <w:t>主要考虑利用钦北区大垌镇和那蒙镇行政交界</w:t>
      </w:r>
      <w:r>
        <w:rPr>
          <w:rFonts w:hint="eastAsia"/>
          <w:color w:val="auto"/>
          <w:kern w:val="0"/>
          <w:sz w:val="28"/>
          <w:szCs w:val="28"/>
          <w:lang w:val="en-US" w:eastAsia="zh-CN"/>
        </w:rPr>
        <w:t>的</w:t>
      </w:r>
      <w:r>
        <w:rPr>
          <w:rFonts w:hint="eastAsia"/>
          <w:color w:val="auto"/>
          <w:kern w:val="0"/>
          <w:sz w:val="28"/>
          <w:szCs w:val="28"/>
          <w:lang w:val="en-US"/>
        </w:rPr>
        <w:t>英雄岭～窟龙岭一带的山脊或山包区域，场址中心坐标约为北纬22°7′33.16″、东经108°34′53.97″。项目区距G325国道约950m，距离最近村庄那于村</w:t>
      </w:r>
      <w:r>
        <w:rPr>
          <w:rFonts w:hint="eastAsia"/>
          <w:color w:val="auto"/>
          <w:kern w:val="0"/>
          <w:sz w:val="28"/>
          <w:szCs w:val="28"/>
          <w:lang w:val="en-US" w:eastAsia="zh-CN"/>
        </w:rPr>
        <w:t>约800m</w:t>
      </w:r>
      <w:r>
        <w:rPr>
          <w:rFonts w:hint="eastAsia"/>
          <w:color w:val="auto"/>
          <w:kern w:val="0"/>
          <w:sz w:val="28"/>
          <w:szCs w:val="28"/>
          <w:lang w:val="en-US"/>
        </w:rPr>
        <w:t>，距离大垌镇</w:t>
      </w:r>
      <w:r>
        <w:rPr>
          <w:rFonts w:hint="eastAsia"/>
          <w:color w:val="auto"/>
          <w:kern w:val="0"/>
          <w:sz w:val="28"/>
          <w:szCs w:val="28"/>
          <w:lang w:val="en-US" w:eastAsia="zh-CN"/>
        </w:rPr>
        <w:t>直线距离</w:t>
      </w:r>
      <w:r>
        <w:rPr>
          <w:rFonts w:hint="eastAsia"/>
          <w:color w:val="auto"/>
          <w:kern w:val="0"/>
          <w:sz w:val="28"/>
          <w:szCs w:val="28"/>
          <w:lang w:val="en-US"/>
        </w:rPr>
        <w:t>约4 公里，距那蒙镇</w:t>
      </w:r>
      <w:r>
        <w:rPr>
          <w:rFonts w:hint="eastAsia"/>
          <w:color w:val="auto"/>
          <w:kern w:val="0"/>
          <w:sz w:val="28"/>
          <w:szCs w:val="28"/>
          <w:lang w:val="en-US" w:eastAsia="zh-CN"/>
        </w:rPr>
        <w:t>直线距离</w:t>
      </w:r>
      <w:r>
        <w:rPr>
          <w:rFonts w:hint="eastAsia"/>
          <w:color w:val="auto"/>
          <w:kern w:val="0"/>
          <w:sz w:val="28"/>
          <w:szCs w:val="28"/>
          <w:lang w:val="en-US"/>
        </w:rPr>
        <w:t>约3.3 公里</w:t>
      </w:r>
      <w:r>
        <w:rPr>
          <w:rFonts w:hint="eastAsia"/>
          <w:color w:val="auto"/>
          <w:kern w:val="0"/>
          <w:sz w:val="28"/>
          <w:szCs w:val="28"/>
          <w:lang w:val="en-US" w:eastAsia="zh-CN"/>
        </w:rPr>
        <w:t>，</w:t>
      </w:r>
      <w:r>
        <w:rPr>
          <w:rFonts w:hint="eastAsia"/>
          <w:color w:val="auto"/>
          <w:kern w:val="0"/>
          <w:sz w:val="28"/>
          <w:szCs w:val="28"/>
          <w:lang w:val="en-US"/>
        </w:rPr>
        <w:t>地块区位</w:t>
      </w:r>
      <w:r>
        <w:rPr>
          <w:rFonts w:hint="eastAsia"/>
          <w:color w:val="auto"/>
          <w:kern w:val="0"/>
          <w:sz w:val="28"/>
          <w:szCs w:val="28"/>
          <w:lang w:val="en-US" w:eastAsia="zh-CN"/>
        </w:rPr>
        <w:t>和</w:t>
      </w:r>
      <w:r>
        <w:rPr>
          <w:rFonts w:hint="eastAsia"/>
          <w:color w:val="auto"/>
          <w:kern w:val="0"/>
          <w:sz w:val="28"/>
          <w:szCs w:val="28"/>
          <w:lang w:val="en-US"/>
        </w:rPr>
        <w:t>交通条件较好</w:t>
      </w:r>
      <w:r>
        <w:rPr>
          <w:rFonts w:hint="eastAsia"/>
          <w:color w:val="auto"/>
          <w:kern w:val="0"/>
          <w:sz w:val="28"/>
          <w:szCs w:val="28"/>
          <w:lang w:val="en-US" w:eastAsia="zh-CN"/>
        </w:rPr>
        <w:t>。</w:t>
      </w:r>
    </w:p>
    <w:p>
      <w:pPr>
        <w:pStyle w:val="18"/>
        <w:spacing w:line="420" w:lineRule="auto"/>
        <w:ind w:firstLine="0"/>
        <w:jc w:val="center"/>
        <w:rPr>
          <w:rFonts w:ascii="宋体" w:eastAsia="宋体" w:cs="宋体" w:hAnsi="宋体" w:hint="eastAsia"/>
          <w:color w:val="auto"/>
          <w:kern w:val="0"/>
          <w:sz w:val="24"/>
          <w:lang w:eastAsia="zh-CN"/>
        </w:rPr>
      </w:pPr>
      <w:r>
        <w:rPr>
          <w:rFonts w:ascii="宋体" w:eastAsia="宋体" w:cs="宋体" w:hAnsi="宋体" w:hint="eastAsia"/>
          <w:color w:val="auto"/>
          <w:kern w:val="0"/>
          <w:sz w:val="24"/>
          <w:lang w:eastAsia="zh-CN"/>
        </w:rPr>
        <w:drawing>
          <wp:inline distT="0" distB="0" distL="114300" distR="114300">
            <wp:extent cx="5509260" cy="4584065"/>
            <wp:effectExtent l="0" t="0" r="11" b="38"/>
            <wp:docPr id="19" name="图片 3" descr="E:/00王麒麟项目/王麒麟钦州低风速二期分散式风电场工程项目独立地块控制性详细规划2025.04/低风速区位1.png低风速区位1"/>
            <wp:cNvGraphicFramePr>
              <a:graphicFrameLocks noChangeAspect="1"/>
            </wp:cNvGraphicFramePr>
            <a:graphic>
              <a:graphicData uri="http://schemas.openxmlformats.org/drawingml/2006/picture">
                <pic:pic>
                  <pic:nvPicPr>
                    <pic:cNvPr id="21" name="图片 3 21"/>
                    <pic:cNvPicPr/>
                  </pic:nvPicPr>
                  <pic:blipFill>
                    <a:blip r:embed="rId9"/>
                    <a:srcRect t="2236" b="2236"/>
                    <a:stretch>
                      <a:fillRect/>
                    </a:stretch>
                  </pic:blipFill>
                  <pic:spPr>
                    <a:xfrm rot="0">
                      <a:off x="0" y="0"/>
                      <a:ext cx="5509260" cy="4584065"/>
                    </a:xfrm>
                    <a:prstGeom prst="rect"/>
                    <a:noFill/>
                    <a:ln w="9525" cmpd="sng" cap="flat">
                      <a:noFill/>
                      <a:prstDash val="solid"/>
                      <a:miter/>
                    </a:ln>
                  </pic:spPr>
                </pic:pic>
              </a:graphicData>
            </a:graphic>
          </wp:inline>
        </w:drawing>
      </w:r>
    </w:p>
    <w:p>
      <w:pPr>
        <w:pStyle w:val="18"/>
        <w:autoSpaceDE w:val="0"/>
        <w:autoSpaceDN w:val="0"/>
        <w:spacing w:before="4" w:line="360" w:lineRule="auto"/>
        <w:ind w:right="351"/>
        <w:jc w:val="center"/>
        <w:rPr>
          <w:rFonts w:hint="eastAsia"/>
          <w:color w:val="auto"/>
          <w:lang w:val="en-US"/>
        </w:rPr>
      </w:pPr>
      <w:r>
        <w:rPr>
          <w:rFonts w:hint="eastAsia"/>
          <w:b/>
          <w:bCs/>
          <w:color w:val="auto"/>
          <w:lang w:val="en-US" w:eastAsia="zh-CN"/>
        </w:rPr>
        <w:t>本项目与钦北区各镇村的</w:t>
      </w:r>
      <w:r>
        <w:rPr>
          <w:rFonts w:hint="eastAsia"/>
          <w:b/>
          <w:bCs/>
          <w:color w:val="auto"/>
          <w:lang w:val="en-US"/>
        </w:rPr>
        <w:t>区位</w:t>
      </w:r>
      <w:r>
        <w:rPr>
          <w:rFonts w:hint="eastAsia"/>
          <w:b/>
          <w:bCs/>
          <w:color w:val="auto"/>
          <w:lang w:val="en-US" w:eastAsia="zh-CN"/>
        </w:rPr>
        <w:t>关系</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6" w:name="_Toc15579"/>
      <w:r>
        <w:rPr>
          <w:rFonts w:ascii="宋体" w:eastAsia="宋体" w:cs="宋体" w:hAnsi="宋体" w:hint="eastAsia"/>
          <w:bCs/>
          <w:color w:val="auto"/>
          <w:sz w:val="32"/>
          <w:szCs w:val="32"/>
          <w:lang w:val="en-US" w:eastAsia="zh-CN"/>
        </w:rPr>
        <w:t>2.2现状概况</w:t>
      </w:r>
      <w:bookmarkEnd w:id="36"/>
    </w:p>
    <w:p>
      <w:pPr>
        <w:pStyle w:val="18"/>
        <w:spacing w:line="420" w:lineRule="auto"/>
        <w:ind w:firstLineChars="200" w:firstLine="560"/>
        <w:rPr>
          <w:color w:val="auto"/>
          <w:kern w:val="0"/>
          <w:sz w:val="28"/>
          <w:szCs w:val="28"/>
          <w:lang w:val="en-US"/>
        </w:rPr>
      </w:pPr>
      <w:r>
        <w:rPr>
          <w:rFonts w:hint="eastAsia"/>
          <w:b/>
          <w:bCs/>
          <w:color w:val="auto"/>
          <w:sz w:val="28"/>
          <w:szCs w:val="28"/>
          <w:lang w:val="en-US"/>
        </w:rPr>
        <w:t>2</w:t>
      </w:r>
      <w:r>
        <w:rPr>
          <w:rFonts w:hint="eastAsia"/>
          <w:b/>
          <w:bCs/>
          <w:color w:val="auto"/>
          <w:sz w:val="28"/>
          <w:szCs w:val="28"/>
        </w:rPr>
        <w:t>.</w:t>
      </w:r>
      <w:r>
        <w:rPr>
          <w:rFonts w:hint="eastAsia"/>
          <w:b/>
          <w:bCs/>
          <w:color w:val="auto"/>
          <w:sz w:val="28"/>
          <w:szCs w:val="28"/>
          <w:lang w:val="en-US" w:eastAsia="zh-CN"/>
        </w:rPr>
        <w:t>2.1</w:t>
      </w:r>
      <w:r>
        <w:rPr>
          <w:rFonts w:hint="eastAsia"/>
          <w:b/>
          <w:bCs/>
          <w:color w:val="auto"/>
          <w:sz w:val="28"/>
          <w:szCs w:val="28"/>
          <w:lang w:eastAsia="zh-CN"/>
        </w:rPr>
        <w:t>地形</w:t>
      </w:r>
      <w:r>
        <w:rPr>
          <w:rFonts w:hint="eastAsia"/>
          <w:b/>
          <w:bCs/>
          <w:color w:val="auto"/>
          <w:sz w:val="28"/>
          <w:szCs w:val="28"/>
          <w:lang w:val="en-US"/>
        </w:rPr>
        <w:t>地貌</w:t>
      </w:r>
    </w:p>
    <w:p>
      <w:pPr>
        <w:pStyle w:val="18"/>
        <w:spacing w:line="420" w:lineRule="auto"/>
        <w:ind w:firstLine="479"/>
        <w:rPr>
          <w:color w:val="auto"/>
          <w:lang w:val="en-US"/>
        </w:rPr>
      </w:pPr>
      <w:r>
        <w:rPr>
          <w:color w:val="auto"/>
          <w:kern w:val="0"/>
          <w:sz w:val="28"/>
          <w:szCs w:val="28"/>
          <w:lang w:val="en-US"/>
        </w:rPr>
        <w:t>风电场位于钦州市钦北区</w:t>
      </w:r>
      <w:r>
        <w:rPr>
          <w:rFonts w:hint="eastAsia"/>
          <w:color w:val="auto"/>
          <w:kern w:val="0"/>
          <w:sz w:val="28"/>
          <w:szCs w:val="28"/>
          <w:lang w:val="en-US" w:eastAsia="zh-CN"/>
        </w:rPr>
        <w:t>大垌</w:t>
      </w:r>
      <w:r>
        <w:rPr>
          <w:color w:val="auto"/>
          <w:kern w:val="0"/>
          <w:sz w:val="28"/>
          <w:szCs w:val="28"/>
          <w:lang w:val="en-US"/>
        </w:rPr>
        <w:t>镇与</w:t>
      </w:r>
      <w:r>
        <w:rPr>
          <w:rFonts w:hint="eastAsia"/>
          <w:color w:val="auto"/>
          <w:kern w:val="0"/>
          <w:sz w:val="28"/>
          <w:szCs w:val="28"/>
          <w:lang w:val="en-US" w:eastAsia="zh-CN"/>
        </w:rPr>
        <w:t>那蒙</w:t>
      </w:r>
      <w:r>
        <w:rPr>
          <w:color w:val="auto"/>
          <w:kern w:val="0"/>
          <w:sz w:val="28"/>
          <w:szCs w:val="28"/>
          <w:lang w:val="en-US"/>
        </w:rPr>
        <w:t>镇交界一带的山脊或山包区域</w:t>
      </w:r>
      <w:r>
        <w:rPr>
          <w:rFonts w:hint="eastAsia"/>
          <w:color w:val="auto"/>
          <w:kern w:val="0"/>
          <w:sz w:val="28"/>
          <w:szCs w:val="28"/>
          <w:lang w:val="en-US"/>
        </w:rPr>
        <w:t>。</w:t>
      </w:r>
      <w:r>
        <w:rPr>
          <w:color w:val="auto"/>
          <w:kern w:val="0"/>
          <w:sz w:val="28"/>
          <w:szCs w:val="28"/>
          <w:lang w:val="en-US"/>
        </w:rPr>
        <w:t>主要考虑利用东北-西南走向的山脊，地势起伏相对较小，</w:t>
      </w:r>
      <w:r>
        <w:rPr>
          <w:rFonts w:hint="eastAsia"/>
          <w:color w:val="auto"/>
          <w:kern w:val="0"/>
          <w:sz w:val="28"/>
          <w:szCs w:val="28"/>
          <w:lang w:val="en-US"/>
        </w:rPr>
        <w:t>属丘陵谷地地貌，</w:t>
      </w:r>
      <w:r>
        <w:rPr>
          <w:rFonts w:hint="eastAsia"/>
          <w:color w:val="auto"/>
          <w:kern w:val="0"/>
          <w:sz w:val="28"/>
          <w:szCs w:val="28"/>
          <w:lang w:val="en-US" w:eastAsia="zh-CN"/>
        </w:rPr>
        <w:t>现状周边区域</w:t>
      </w:r>
      <w:r>
        <w:rPr>
          <w:color w:val="auto"/>
          <w:kern w:val="0"/>
          <w:sz w:val="28"/>
          <w:szCs w:val="28"/>
          <w:lang w:val="en-US"/>
        </w:rPr>
        <w:t>地类主要为林地</w:t>
      </w:r>
      <w:r>
        <w:rPr>
          <w:rFonts w:hint="eastAsia"/>
          <w:color w:val="auto"/>
          <w:kern w:val="0"/>
          <w:sz w:val="28"/>
          <w:szCs w:val="28"/>
          <w:lang w:val="en-US" w:eastAsia="zh-CN"/>
        </w:rPr>
        <w:t>、草地等</w:t>
      </w:r>
      <w:r>
        <w:rPr>
          <w:color w:val="auto"/>
          <w:kern w:val="0"/>
          <w:sz w:val="28"/>
          <w:szCs w:val="28"/>
          <w:lang w:val="en-US"/>
        </w:rPr>
        <w:t>，海拔在2</w:t>
      </w:r>
      <w:r>
        <w:rPr>
          <w:rFonts w:hint="eastAsia"/>
          <w:color w:val="auto"/>
          <w:kern w:val="0"/>
          <w:sz w:val="28"/>
          <w:szCs w:val="28"/>
          <w:lang w:val="en-US" w:eastAsia="zh-CN"/>
        </w:rPr>
        <w:t>00</w:t>
      </w:r>
      <w:r>
        <w:rPr>
          <w:color w:val="auto"/>
          <w:kern w:val="0"/>
          <w:sz w:val="28"/>
          <w:szCs w:val="28"/>
          <w:lang w:val="en-US"/>
        </w:rPr>
        <w:t>-</w:t>
      </w:r>
      <w:r>
        <w:rPr>
          <w:rFonts w:hint="eastAsia"/>
          <w:color w:val="auto"/>
          <w:kern w:val="0"/>
          <w:sz w:val="28"/>
          <w:szCs w:val="28"/>
          <w:lang w:val="en-US" w:eastAsia="zh-CN"/>
        </w:rPr>
        <w:t>4</w:t>
      </w:r>
      <w:r>
        <w:rPr>
          <w:color w:val="auto"/>
          <w:kern w:val="0"/>
          <w:sz w:val="28"/>
          <w:szCs w:val="28"/>
          <w:lang w:val="en-US"/>
        </w:rPr>
        <w:t>00m之间</w:t>
      </w:r>
      <w:r>
        <w:rPr>
          <w:rFonts w:hint="eastAsia"/>
          <w:color w:val="auto"/>
          <w:kern w:val="0"/>
          <w:sz w:val="28"/>
          <w:szCs w:val="28"/>
          <w:lang w:val="en-US"/>
        </w:rPr>
        <w:t>。</w:t>
      </w:r>
    </w:p>
    <w:p>
      <w:pPr>
        <w:pStyle w:val="18"/>
        <w:spacing w:line="420" w:lineRule="auto"/>
        <w:ind w:firstLineChars="200" w:firstLine="560"/>
        <w:rPr>
          <w:color w:val="auto"/>
          <w:kern w:val="0"/>
          <w:sz w:val="28"/>
          <w:szCs w:val="28"/>
          <w:lang w:val="en-US"/>
        </w:rPr>
      </w:pPr>
      <w:r>
        <w:rPr>
          <w:rFonts w:hint="eastAsia"/>
          <w:b/>
          <w:bCs/>
          <w:color w:val="auto"/>
          <w:sz w:val="28"/>
          <w:szCs w:val="28"/>
          <w:lang w:val="en-US" w:eastAsia="zh-CN"/>
        </w:rPr>
        <w:t>2.2.2</w:t>
      </w:r>
      <w:r>
        <w:rPr>
          <w:rFonts w:hint="eastAsia"/>
          <w:b/>
          <w:bCs/>
          <w:color w:val="auto"/>
          <w:sz w:val="28"/>
          <w:szCs w:val="28"/>
          <w:lang w:val="en-US"/>
        </w:rPr>
        <w:t>气候</w:t>
      </w:r>
    </w:p>
    <w:p>
      <w:pPr>
        <w:pStyle w:val="18"/>
        <w:spacing w:line="420" w:lineRule="auto"/>
        <w:ind w:firstLine="479"/>
        <w:rPr>
          <w:color w:val="auto"/>
          <w:kern w:val="0"/>
          <w:sz w:val="28"/>
          <w:szCs w:val="28"/>
          <w:lang w:val="en-US"/>
        </w:rPr>
      </w:pPr>
      <w:r>
        <w:rPr>
          <w:rFonts w:hint="eastAsia"/>
          <w:color w:val="auto"/>
          <w:kern w:val="0"/>
          <w:sz w:val="28"/>
          <w:szCs w:val="28"/>
          <w:lang w:val="en-US"/>
        </w:rPr>
        <w:t>钦州市钦北区位于广西南部沿海、钦州市区西北部，属海洋性的热带季风气候，年平均温度22摄氏度，年平均日照1801小时，无霜期345天，年降雨量2000多毫米。气候温和，热量丰富，日照充足，雨量充沛。</w:t>
      </w:r>
    </w:p>
    <w:p>
      <w:pPr>
        <w:pStyle w:val="18"/>
        <w:spacing w:line="420" w:lineRule="auto"/>
        <w:ind w:firstLineChars="200" w:firstLine="560"/>
        <w:rPr>
          <w:color w:val="auto"/>
          <w:kern w:val="0"/>
          <w:sz w:val="28"/>
          <w:szCs w:val="28"/>
          <w:lang w:val="en-US"/>
        </w:rPr>
      </w:pPr>
      <w:r>
        <w:rPr>
          <w:rFonts w:hint="eastAsia"/>
          <w:b/>
          <w:bCs/>
          <w:color w:val="auto"/>
          <w:sz w:val="28"/>
          <w:szCs w:val="28"/>
          <w:lang w:val="en-US" w:eastAsia="zh-CN"/>
        </w:rPr>
        <w:t>2.2.3</w:t>
      </w:r>
      <w:r>
        <w:rPr>
          <w:rFonts w:hint="eastAsia"/>
          <w:b/>
          <w:bCs/>
          <w:color w:val="auto"/>
          <w:sz w:val="28"/>
          <w:szCs w:val="28"/>
        </w:rPr>
        <w:t>地质</w:t>
      </w:r>
    </w:p>
    <w:p>
      <w:pPr>
        <w:pStyle w:val="18"/>
        <w:spacing w:line="420" w:lineRule="auto"/>
        <w:ind w:firstLine="479"/>
        <w:rPr>
          <w:color w:val="auto"/>
          <w:kern w:val="0"/>
          <w:sz w:val="28"/>
          <w:szCs w:val="28"/>
          <w:lang w:val="en-US"/>
        </w:rPr>
      </w:pPr>
      <w:r>
        <w:rPr>
          <w:rFonts w:hint="eastAsia"/>
          <w:color w:val="auto"/>
          <w:kern w:val="0"/>
          <w:sz w:val="28"/>
          <w:szCs w:val="28"/>
          <w:lang w:val="en-US"/>
        </w:rPr>
        <w:t>场区处于构造相对稳定区，不存在地震风险。</w:t>
      </w:r>
      <w:r>
        <w:rPr>
          <w:rFonts w:hint="eastAsia"/>
          <w:color w:val="auto"/>
          <w:kern w:val="0"/>
          <w:sz w:val="28"/>
          <w:szCs w:val="28"/>
          <w:lang w:val="en-US" w:eastAsia="zh-CN"/>
        </w:rPr>
        <w:t>开关站</w:t>
      </w:r>
      <w:r>
        <w:rPr>
          <w:rFonts w:hint="eastAsia"/>
          <w:color w:val="auto"/>
          <w:kern w:val="0"/>
          <w:sz w:val="28"/>
          <w:szCs w:val="28"/>
          <w:lang w:val="en-US"/>
        </w:rPr>
        <w:t>及各风机位场地附近无滑坡、崩塌、岩溶塌陷等不良地质作用，稳定性较好，适宜进行风电场建设</w:t>
      </w:r>
      <w:r>
        <w:rPr>
          <w:color w:val="auto"/>
          <w:kern w:val="0"/>
          <w:sz w:val="28"/>
          <w:szCs w:val="28"/>
          <w:lang w:val="en-US"/>
        </w:rPr>
        <w:t>。</w:t>
      </w:r>
    </w:p>
    <w:p>
      <w:pPr>
        <w:pStyle w:val="18"/>
        <w:spacing w:line="420" w:lineRule="auto"/>
        <w:ind w:firstLine="479"/>
        <w:rPr>
          <w:rFonts w:eastAsia="宋体" w:hint="eastAsia"/>
          <w:color w:val="auto"/>
          <w:kern w:val="0"/>
          <w:sz w:val="28"/>
          <w:szCs w:val="28"/>
          <w:lang w:val="en-US" w:eastAsia="zh-CN"/>
        </w:rPr>
      </w:pPr>
      <w:r>
        <w:rPr>
          <w:rFonts w:hint="eastAsia"/>
          <w:color w:val="auto"/>
          <w:kern w:val="0"/>
          <w:sz w:val="28"/>
          <w:szCs w:val="28"/>
          <w:lang w:val="en-US"/>
        </w:rPr>
        <w:t>拟建场区附近主要断裂带有广西北西向构造天马--芦村压扭性断裂带，位于项目北东侧约4km。天马-芦村压扭性断裂区域内长74km，走向</w:t>
      </w:r>
      <w:r>
        <w:rPr>
          <w:rFonts w:hint="eastAsia"/>
          <w:color w:val="auto"/>
          <w:kern w:val="0"/>
          <w:sz w:val="28"/>
          <w:szCs w:val="28"/>
          <w:lang w:val="en-US" w:eastAsia="zh-CN"/>
        </w:rPr>
        <w:t>320°</w:t>
      </w:r>
      <w:r>
        <w:rPr>
          <w:rFonts w:hint="eastAsia"/>
          <w:color w:val="auto"/>
          <w:kern w:val="0"/>
          <w:sz w:val="28"/>
          <w:szCs w:val="28"/>
          <w:lang w:val="en-US"/>
        </w:rPr>
        <w:t>，倾向SW，倾角50°～80°，切割整个古生界T、K、E 及昆仑花岗岩，断裂带平直，深切断层谷，断层破碎带宽50～70m，岩层褶皱，节理发育，岩石破碎。拟建场区外北面约1km，发育有一条纬向构造背斜，岩层倾角30°～80°，局部直立或倒转，次级褶皱及节理、劈理十分发育，褶皱大致相互平行，方向稳定，仅局部受断裂干扰到</w:t>
      </w:r>
      <w:r>
        <w:rPr>
          <w:color w:val="auto"/>
          <w:kern w:val="0"/>
          <w:sz w:val="28"/>
          <w:szCs w:val="28"/>
          <w:lang w:val="en-US"/>
        </w:rPr>
        <w:t>转</w:t>
      </w:r>
      <w:r>
        <w:rPr>
          <w:rFonts w:hint="eastAsia"/>
          <w:color w:val="auto"/>
          <w:kern w:val="0"/>
          <w:sz w:val="28"/>
          <w:szCs w:val="28"/>
          <w:lang w:val="en-US"/>
        </w:rPr>
        <w:t>为北东或北西向。根据有关区域地质资料，拟建场区内未发现新构造活动迹象，区域地质构造稳定性好</w:t>
      </w:r>
      <w:r>
        <w:rPr>
          <w:rFonts w:hint="eastAsia"/>
          <w:color w:val="auto"/>
          <w:kern w:val="0"/>
          <w:sz w:val="28"/>
          <w:szCs w:val="28"/>
          <w:lang w:val="en-US" w:eastAsia="zh-CN"/>
        </w:rPr>
        <w:t>。</w:t>
      </w:r>
    </w:p>
    <w:p>
      <w:pPr>
        <w:pStyle w:val="18"/>
        <w:spacing w:line="420" w:lineRule="auto"/>
        <w:ind w:firstLine="479"/>
        <w:rPr>
          <w:color w:val="auto"/>
          <w:kern w:val="0"/>
          <w:sz w:val="28"/>
          <w:szCs w:val="28"/>
          <w:lang w:val="en-US"/>
        </w:rPr>
      </w:pPr>
      <w:r>
        <w:rPr>
          <w:rFonts w:hint="eastAsia"/>
          <w:color w:val="auto"/>
          <w:kern w:val="0"/>
          <w:sz w:val="28"/>
          <w:szCs w:val="28"/>
          <w:lang w:val="en-US"/>
        </w:rPr>
        <w:t>根据场址区地形及工程地质条件判断，该场地无制约风电场修建的重大工程地质问题，总体上该场地具备修建风电场的地形、地质条件。</w:t>
      </w:r>
    </w:p>
    <w:p>
      <w:pPr>
        <w:pStyle w:val="18"/>
        <w:spacing w:line="420" w:lineRule="auto"/>
        <w:ind w:firstLineChars="200" w:firstLine="560"/>
        <w:rPr>
          <w:color w:val="auto"/>
          <w:kern w:val="0"/>
          <w:sz w:val="28"/>
          <w:szCs w:val="28"/>
          <w:lang w:val="en-US"/>
        </w:rPr>
      </w:pPr>
      <w:r>
        <w:rPr>
          <w:rFonts w:hint="eastAsia"/>
          <w:b/>
          <w:bCs/>
          <w:color w:val="auto"/>
          <w:sz w:val="28"/>
          <w:szCs w:val="28"/>
          <w:lang w:val="en-US" w:eastAsia="zh-CN"/>
        </w:rPr>
        <w:t>2.2.4</w:t>
      </w:r>
      <w:r>
        <w:rPr>
          <w:rFonts w:hint="eastAsia"/>
          <w:b/>
          <w:bCs/>
          <w:color w:val="auto"/>
          <w:sz w:val="28"/>
          <w:szCs w:val="28"/>
          <w:lang w:val="en-US"/>
        </w:rPr>
        <w:t>区域风资源</w:t>
      </w:r>
    </w:p>
    <w:p>
      <w:pPr>
        <w:pStyle w:val="18"/>
        <w:spacing w:line="420" w:lineRule="auto"/>
        <w:ind w:firstLine="479"/>
        <w:rPr>
          <w:color w:val="auto"/>
          <w:kern w:val="0"/>
          <w:sz w:val="28"/>
          <w:szCs w:val="28"/>
          <w:lang w:val="en-US"/>
        </w:rPr>
      </w:pPr>
      <w:r>
        <w:rPr>
          <w:color w:val="auto"/>
          <w:kern w:val="0"/>
          <w:sz w:val="28"/>
          <w:szCs w:val="28"/>
          <w:lang w:val="en-US"/>
        </w:rPr>
        <w:t>广西壮族自治区风资源分布较为分散，多集中于海拔较高的丘陵、山脉地区；北海、钦州、防城港属临海地区，受海陆风影响，近海平原风资源亦具备较好开发价值。广西壮族自治区不同区域不同尺度下资源存在较大局地差异，需经过长期测风进一步明确。风速的年变化均以冬春季较大，秋季次之，夏季相对较小，冬夏风向有明显的季节转换，主导风向根据区域不同有所差异。钦北区风能资源分布图见下图</w:t>
      </w:r>
      <w:r>
        <w:rPr>
          <w:rFonts w:hint="eastAsia"/>
          <w:color w:val="auto"/>
          <w:kern w:val="0"/>
          <w:sz w:val="28"/>
          <w:szCs w:val="28"/>
          <w:lang w:val="en-US"/>
        </w:rPr>
        <w:t>：</w:t>
      </w:r>
    </w:p>
    <w:p>
      <w:pPr>
        <w:pStyle w:val="18"/>
        <w:spacing w:line="420" w:lineRule="auto"/>
        <w:ind w:firstLine="0"/>
        <w:rPr>
          <w:color w:val="auto"/>
        </w:rPr>
      </w:pPr>
      <w:r>
        <w:rPr>
          <w:color w:val="auto"/>
          <w:lang w:val="en-US" w:bidi="ar-SA"/>
        </w:rPr>
        <w:drawing>
          <wp:inline distT="0" distB="0" distL="114300" distR="114300">
            <wp:extent cx="5294630" cy="3684270"/>
            <wp:effectExtent l="0" t="0" r="46" b="38"/>
            <wp:docPr id="22" name="图片 1"/>
            <wp:cNvGraphicFramePr>
              <a:graphicFrameLocks noChangeAspect="1"/>
            </wp:cNvGraphicFramePr>
            <a:graphic>
              <a:graphicData uri="http://schemas.openxmlformats.org/drawingml/2006/picture">
                <pic:pic>
                  <pic:nvPicPr>
                    <pic:cNvPr id="24" name="图片 1 24"/>
                    <pic:cNvPicPr/>
                  </pic:nvPicPr>
                  <pic:blipFill>
                    <a:blip r:embed="rId10"/>
                    <a:stretch>
                      <a:fillRect/>
                    </a:stretch>
                  </pic:blipFill>
                  <pic:spPr>
                    <a:xfrm rot="0">
                      <a:off x="0" y="0"/>
                      <a:ext cx="5294630" cy="3684270"/>
                    </a:xfrm>
                    <a:prstGeom prst="rect"/>
                    <a:noFill/>
                    <a:ln w="9525" cmpd="sng" cap="flat">
                      <a:noFill/>
                      <a:prstDash val="solid"/>
                      <a:round/>
                    </a:ln>
                  </pic:spPr>
                </pic:pic>
              </a:graphicData>
            </a:graphic>
          </wp:inline>
        </w:drawing>
      </w:r>
    </w:p>
    <w:p>
      <w:pPr>
        <w:pStyle w:val="18"/>
        <w:spacing w:line="420" w:lineRule="auto"/>
        <w:ind w:firstLine="0"/>
        <w:jc w:val="center"/>
        <w:rPr>
          <w:color w:val="auto"/>
          <w:lang w:val="en-US"/>
        </w:rPr>
      </w:pPr>
      <w:r>
        <w:rPr>
          <w:color w:val="auto"/>
          <w:lang w:val="en-US"/>
        </w:rPr>
        <w:t>钦州市钦北区风能资源分布图</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7" w:name="_Toc14170"/>
      <w:r>
        <w:rPr>
          <w:rFonts w:ascii="宋体" w:eastAsia="宋体" w:cs="宋体" w:hAnsi="宋体" w:hint="eastAsia"/>
          <w:bCs/>
          <w:color w:val="auto"/>
          <w:sz w:val="32"/>
          <w:szCs w:val="32"/>
          <w:lang w:val="en-US" w:eastAsia="zh-CN"/>
        </w:rPr>
        <w:t>2.3土地利用现状</w:t>
      </w:r>
      <w:bookmarkEnd w:id="37"/>
    </w:p>
    <w:p>
      <w:pPr>
        <w:widowControl/>
        <w:spacing w:before="4" w:line="360" w:lineRule="auto"/>
        <w:ind w:left="118" w:right="351" w:firstLineChars="200" w:firstLine="560"/>
        <w:jc w:val="left"/>
        <w:rPr>
          <w:color w:val="auto"/>
          <w:lang w:val="en-US" w:eastAsia="zh-CN"/>
        </w:rPr>
      </w:pPr>
      <w:r>
        <w:rPr>
          <w:rFonts w:ascii="宋体" w:eastAsia="宋体" w:cs="宋体" w:hAnsi="宋体" w:hint="eastAsia"/>
          <w:color w:val="auto"/>
          <w:kern w:val="0"/>
          <w:sz w:val="28"/>
          <w:szCs w:val="28"/>
        </w:rPr>
        <w:t>钦州低风速二期分散式风电场工程</w:t>
      </w:r>
      <w:r>
        <w:rPr>
          <w:rFonts w:hint="eastAsia"/>
          <w:color w:val="auto"/>
          <w:kern w:val="0"/>
          <w:sz w:val="28"/>
          <w:szCs w:val="28"/>
          <w:lang w:val="en-US" w:eastAsia="zh-CN"/>
        </w:rPr>
        <w:t>项目独立地块控制性详细规划总用地面积共0.6681公顷（6681平方米）。共12个地块，即10个风电机组（风机+箱变）地块、1个开关站地块和1个储能站地块，根据第三次全国国土调查2023年度国土变更调查成果数据，本项目土地利用现状主要涉及的地类有工业用地、公用设施用地、乔木林地、其他草地、农村道路等，不涉及占用耕地。土地利用现状总体情况统计如下表，</w:t>
      </w:r>
      <w:r>
        <w:rPr>
          <w:rFonts w:eastAsia="宋体" w:hint="eastAsia"/>
          <w:color w:val="auto"/>
          <w:kern w:val="0"/>
          <w:sz w:val="28"/>
          <w:szCs w:val="28"/>
          <w:lang w:val="en-US" w:eastAsia="zh-CN"/>
        </w:rPr>
        <w:t>各地块现状土地具体使用情况数据详见土地使用现状图。</w:t>
      </w:r>
    </w:p>
    <w:p>
      <w:pPr>
        <w:widowControl/>
        <w:spacing w:before="4" w:line="360" w:lineRule="auto"/>
        <w:ind w:right="351"/>
        <w:jc w:val="center"/>
        <w:rPr>
          <w:rFonts w:hint="eastAsia"/>
          <w:color w:val="auto"/>
          <w:kern w:val="0"/>
          <w:sz w:val="28"/>
          <w:szCs w:val="28"/>
          <w:lang w:val="en-US" w:eastAsia="zh-CN"/>
        </w:rPr>
      </w:pPr>
      <w:r>
        <w:rPr>
          <w:rFonts w:hint="eastAsia"/>
          <w:color w:val="auto"/>
          <w:kern w:val="0"/>
          <w:sz w:val="28"/>
          <w:szCs w:val="28"/>
          <w:lang w:val="en-US" w:eastAsia="zh-CN"/>
        </w:rPr>
        <w:t>项目土地利用现状总体情况表（基于“三调”）</w:t>
      </w:r>
    </w:p>
    <w:tbl>
      <w:tblPr>
        <w:jc w:val="left"/>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2317"/>
        <w:gridCol w:w="2757"/>
        <w:gridCol w:w="2095"/>
      </w:tblGrid>
      <w:tr>
        <w:tc>
          <w:tcPr>
            <w:tcW w:w="2317" w:type="dxa"/>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地类编码</w:t>
            </w:r>
          </w:p>
        </w:tc>
        <w:tc>
          <w:tcPr>
            <w:tcW w:w="2757" w:type="dxa"/>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vertAlign w:val="baseline"/>
                <w:lang w:val="en-US" w:eastAsia="zh-CN"/>
              </w:rPr>
              <w:t>地类名称</w:t>
            </w:r>
          </w:p>
        </w:tc>
        <w:tc>
          <w:tcPr>
            <w:tcW w:w="2095" w:type="dxa"/>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面积（公顷）</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0601</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工业用地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0.1815</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0809</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公用设施用地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0.176</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0301</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乔木林地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0.108</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0404</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其他草地</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0.1768</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1006</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color w:val="auto"/>
                <w:kern w:val="0"/>
                <w:sz w:val="28"/>
                <w:szCs w:val="28"/>
                <w:vertAlign w:val="baseline"/>
                <w:lang w:val="en-US" w:eastAsia="zh-CN"/>
              </w:rPr>
            </w:pPr>
            <w:r>
              <w:rPr>
                <w:rFonts w:hint="eastAsia"/>
                <w:color w:val="auto"/>
                <w:kern w:val="0"/>
                <w:sz w:val="28"/>
                <w:szCs w:val="28"/>
                <w:lang w:val="en-US" w:eastAsia="zh-CN"/>
              </w:rPr>
              <w:t>农村道路</w:t>
            </w: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color w:val="auto"/>
                <w:kern w:val="0"/>
                <w:sz w:val="28"/>
                <w:szCs w:val="28"/>
                <w:vertAlign w:val="baseline"/>
                <w:lang w:val="en-US" w:eastAsia="zh-CN"/>
              </w:rPr>
            </w:pPr>
            <w:r>
              <w:rPr>
                <w:rFonts w:hint="eastAsia"/>
                <w:color w:val="auto"/>
                <w:kern w:val="0"/>
                <w:sz w:val="28"/>
                <w:szCs w:val="28"/>
                <w:vertAlign w:val="baseline"/>
                <w:lang w:val="en-US" w:eastAsia="zh-CN"/>
              </w:rPr>
              <w:t>0.0258</w:t>
            </w:r>
          </w:p>
        </w:tc>
      </w:tr>
      <w:tr>
        <w:tc>
          <w:tcPr>
            <w:tcW w:w="231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vertAlign w:val="baseline"/>
                <w:lang w:val="en-US" w:eastAsia="zh-CN"/>
              </w:rPr>
            </w:pPr>
            <w:r>
              <w:rPr>
                <w:rFonts w:hint="eastAsia"/>
                <w:b/>
                <w:bCs/>
                <w:color w:val="auto"/>
                <w:kern w:val="0"/>
                <w:sz w:val="28"/>
                <w:szCs w:val="28"/>
                <w:vertAlign w:val="baseline"/>
                <w:lang w:val="en-US" w:eastAsia="zh-CN"/>
              </w:rPr>
              <w:t>合计</w:t>
            </w:r>
          </w:p>
        </w:tc>
        <w:tc>
          <w:tcPr>
            <w:tcW w:w="2757"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rFonts w:hint="eastAsia"/>
                <w:b/>
                <w:bCs/>
                <w:color w:val="auto"/>
                <w:kern w:val="0"/>
                <w:sz w:val="28"/>
                <w:szCs w:val="28"/>
                <w:lang w:val="en-US" w:eastAsia="zh-CN"/>
              </w:rPr>
            </w:pPr>
          </w:p>
        </w:tc>
        <w:tc>
          <w:tcPr>
            <w:tcW w:w="2095" w:type="dxa"/>
            <w:tcBorders>
              <w:top w:val="single" w:sz="4" w:space="0" w:color="auto"/>
              <w:left w:val="single" w:sz="4" w:space="0" w:color="auto"/>
              <w:bottom w:val="single" w:sz="4" w:space="0" w:color="auto"/>
              <w:right w:val="single" w:sz="4" w:space="0" w:color="auto"/>
            </w:tcBorders>
          </w:tcPr>
          <w:p>
            <w:pPr>
              <w:widowControl/>
              <w:spacing w:before="4" w:line="360" w:lineRule="auto"/>
              <w:ind w:right="351"/>
              <w:jc w:val="center"/>
              <w:rPr>
                <w:b/>
                <w:bCs/>
                <w:color w:val="auto"/>
                <w:kern w:val="0"/>
                <w:sz w:val="28"/>
                <w:szCs w:val="28"/>
                <w:vertAlign w:val="baseline"/>
                <w:lang w:val="en-US" w:eastAsia="zh-CN"/>
              </w:rPr>
            </w:pPr>
            <w:r>
              <w:rPr>
                <w:rFonts w:hint="eastAsia"/>
                <w:b/>
                <w:bCs/>
                <w:color w:val="auto"/>
                <w:kern w:val="0"/>
                <w:sz w:val="28"/>
                <w:szCs w:val="28"/>
                <w:vertAlign w:val="baseline"/>
                <w:lang w:val="en-US" w:eastAsia="zh-CN"/>
              </w:rPr>
              <w:t>0.6681</w:t>
            </w:r>
          </w:p>
        </w:tc>
      </w:tr>
    </w:tbl>
    <w:p>
      <w:pPr>
        <w:widowControl/>
        <w:spacing w:line="360" w:lineRule="auto"/>
        <w:ind w:left="840"/>
        <w:jc w:val="center"/>
        <w:rPr>
          <w:rFonts w:ascii="黑体" w:eastAsia="黑体" w:hAnsi="黑体" w:hint="eastAsia"/>
          <w:color w:val="auto"/>
          <w:sz w:val="24"/>
          <w:szCs w:val="24"/>
          <w:lang w:eastAsia="zh-CN"/>
        </w:rPr>
      </w:pPr>
    </w:p>
    <w:p>
      <w:pPr>
        <w:widowControl/>
        <w:spacing w:line="360" w:lineRule="auto"/>
        <w:ind w:left="840"/>
        <w:jc w:val="center"/>
        <w:rPr>
          <w:rFonts w:ascii="黑体" w:eastAsia="黑体" w:hAnsi="黑体" w:hint="eastAsia"/>
          <w:color w:val="auto"/>
          <w:sz w:val="24"/>
          <w:szCs w:val="24"/>
          <w:lang w:eastAsia="zh-CN"/>
        </w:rPr>
      </w:pPr>
      <w:r>
        <w:rPr>
          <w:rFonts w:ascii="黑体" w:eastAsia="黑体" w:hAnsi="黑体" w:hint="eastAsia"/>
          <w:color w:val="auto"/>
          <w:sz w:val="24"/>
          <w:szCs w:val="24"/>
          <w:lang w:eastAsia="zh-CN"/>
        </w:rPr>
        <w:t>用地用海分类</w:t>
      </w:r>
      <w:r>
        <w:rPr>
          <w:rFonts w:ascii="黑体" w:eastAsia="黑体" w:hAnsi="黑体" w:hint="eastAsia"/>
          <w:color w:val="auto"/>
          <w:sz w:val="24"/>
          <w:szCs w:val="24"/>
          <w:lang w:val="en-US" w:eastAsia="zh-CN"/>
        </w:rPr>
        <w:t>第三次全国国土调查</w:t>
      </w:r>
      <w:r>
        <w:rPr>
          <w:rFonts w:ascii="黑体" w:eastAsia="黑体" w:hAnsi="黑体" w:hint="eastAsia"/>
          <w:color w:val="auto"/>
          <w:sz w:val="24"/>
          <w:szCs w:val="24"/>
        </w:rPr>
        <w:t>工作分类</w:t>
      </w:r>
      <w:r>
        <w:rPr>
          <w:rFonts w:ascii="黑体" w:eastAsia="黑体" w:hAnsi="黑体" w:hint="eastAsia"/>
          <w:color w:val="auto"/>
          <w:sz w:val="24"/>
          <w:szCs w:val="24"/>
          <w:lang w:eastAsia="zh-CN"/>
        </w:rPr>
        <w:t>对应情况</w:t>
      </w:r>
    </w:p>
    <w:tbl>
      <w:tblPr>
        <w:jc w:val="cente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60"/>
        <w:gridCol w:w="1072"/>
        <w:gridCol w:w="709"/>
        <w:gridCol w:w="1417"/>
        <w:gridCol w:w="1808"/>
        <w:gridCol w:w="1900"/>
        <w:gridCol w:w="1429"/>
      </w:tblGrid>
      <w:tr>
        <w:trPr>
          <w:cantSplit/>
          <w:trHeight w:val="581"/>
          <w:tblHeader/>
        </w:trPr>
        <w:tc>
          <w:tcPr>
            <w:tcW w:w="3958" w:type="dxa"/>
            <w:gridSpan w:val="4"/>
            <w:shd w:val="clear" w:color="auto" w:fill="D9D9D9"/>
            <w:noWrap/>
            <w:vAlign w:val="center"/>
          </w:tcPr>
          <w:p>
            <w:pPr>
              <w:jc w:val="center"/>
              <w:rPr>
                <w:rFonts w:ascii="黑体" w:eastAsia="黑体" w:hAnsi="黑体"/>
                <w:b/>
                <w:color w:val="auto"/>
                <w:sz w:val="20"/>
                <w:szCs w:val="20"/>
              </w:rPr>
            </w:pPr>
            <w:r>
              <w:rPr>
                <w:rFonts w:ascii="黑体" w:eastAsia="黑体" w:hAnsi="黑体" w:hint="eastAsia"/>
                <w:b/>
                <w:color w:val="auto"/>
                <w:sz w:val="20"/>
                <w:szCs w:val="20"/>
                <w:lang w:eastAsia="zh-CN"/>
              </w:rPr>
              <w:t>第三次全国国土调查</w:t>
            </w:r>
            <w:r>
              <w:rPr>
                <w:rFonts w:ascii="黑体" w:eastAsia="黑体" w:hAnsi="黑体" w:hint="eastAsia"/>
                <w:b/>
                <w:color w:val="auto"/>
                <w:sz w:val="20"/>
                <w:szCs w:val="20"/>
              </w:rPr>
              <w:t>工作</w:t>
            </w:r>
            <w:r>
              <w:rPr>
                <w:rFonts w:ascii="黑体" w:eastAsia="黑体" w:hAnsi="黑体"/>
                <w:b/>
                <w:color w:val="auto"/>
                <w:sz w:val="20"/>
                <w:szCs w:val="20"/>
              </w:rPr>
              <w:t>分类</w:t>
            </w:r>
          </w:p>
        </w:tc>
        <w:tc>
          <w:tcPr>
            <w:tcW w:w="5137" w:type="dxa"/>
            <w:gridSpan w:val="3"/>
            <w:noWrap/>
            <w:vAlign w:val="center"/>
          </w:tcPr>
          <w:p>
            <w:pPr>
              <w:jc w:val="center"/>
              <w:rPr>
                <w:rFonts w:ascii="黑体" w:eastAsia="黑体" w:hAnsi="黑体"/>
                <w:b/>
                <w:color w:val="auto"/>
                <w:sz w:val="20"/>
                <w:szCs w:val="20"/>
              </w:rPr>
            </w:pPr>
            <w:r>
              <w:rPr>
                <w:rFonts w:ascii="黑体" w:eastAsia="黑体" w:hAnsi="黑体" w:hint="eastAsia"/>
                <w:b/>
                <w:color w:val="auto"/>
                <w:sz w:val="20"/>
                <w:szCs w:val="20"/>
              </w:rPr>
              <w:t>国土空间调查、规划、用途管制用地用海分类</w:t>
            </w:r>
          </w:p>
        </w:tc>
      </w:tr>
      <w:tr>
        <w:trPr>
          <w:cantSplit/>
          <w:trHeight w:val="396"/>
          <w:tblHeader/>
        </w:trPr>
        <w:tc>
          <w:tcPr>
            <w:tcW w:w="1832"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hAnsi="宋体"/>
                <w:b/>
                <w:color w:val="auto"/>
                <w:sz w:val="20"/>
                <w:szCs w:val="20"/>
              </w:rPr>
            </w:pPr>
            <w:r>
              <w:rPr>
                <w:rFonts w:ascii="宋体" w:hAnsi="宋体" w:hint="eastAsia"/>
                <w:b/>
                <w:color w:val="auto"/>
                <w:sz w:val="20"/>
                <w:szCs w:val="20"/>
              </w:rPr>
              <w:t>一级类</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宋体" w:hAnsi="宋体"/>
                <w:b/>
                <w:color w:val="auto"/>
                <w:sz w:val="20"/>
                <w:szCs w:val="20"/>
              </w:rPr>
            </w:pPr>
            <w:r>
              <w:rPr>
                <w:rFonts w:ascii="宋体" w:hAnsi="宋体" w:hint="eastAsia"/>
                <w:b/>
                <w:color w:val="auto"/>
                <w:sz w:val="20"/>
                <w:szCs w:val="20"/>
              </w:rPr>
              <w:t>二级类</w:t>
            </w:r>
          </w:p>
        </w:tc>
        <w:tc>
          <w:tcPr>
            <w:tcW w:w="1808"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三级类</w:t>
            </w:r>
          </w:p>
        </w:tc>
        <w:tc>
          <w:tcPr>
            <w:tcW w:w="1900"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二级类</w:t>
            </w:r>
          </w:p>
        </w:tc>
        <w:tc>
          <w:tcPr>
            <w:tcW w:w="1429" w:type="dxa"/>
            <w:tcBorders>
              <w:top w:val="single" w:sz="4" w:space="0" w:color="auto"/>
              <w:left w:val="single" w:sz="4" w:space="0" w:color="auto"/>
              <w:bottom w:val="single" w:sz="4" w:space="0" w:color="auto"/>
              <w:right w:val="single" w:sz="4" w:space="0" w:color="auto"/>
            </w:tcBorders>
            <w:noWrap/>
            <w:vAlign w:val="center"/>
          </w:tcPr>
          <w:p>
            <w:pPr>
              <w:jc w:val="center"/>
              <w:rPr>
                <w:rFonts w:ascii="宋体" w:hAnsi="宋体"/>
                <w:b/>
                <w:color w:val="auto"/>
                <w:sz w:val="20"/>
                <w:szCs w:val="20"/>
              </w:rPr>
            </w:pPr>
            <w:r>
              <w:rPr>
                <w:rFonts w:ascii="宋体" w:hAnsi="宋体" w:hint="eastAsia"/>
                <w:b/>
                <w:color w:val="auto"/>
                <w:sz w:val="20"/>
                <w:szCs w:val="20"/>
              </w:rPr>
              <w:t>一级类</w:t>
            </w:r>
          </w:p>
        </w:tc>
      </w:tr>
      <w:tr>
        <w:trPr>
          <w:cantSplit/>
          <w:trHeight w:val="351"/>
        </w:trPr>
        <w:tc>
          <w:tcPr>
            <w:tcW w:w="760"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eastAsia="宋体" w:cs="Times New Roman" w:hAnsi="Times New Roman"/>
                <w:b/>
                <w:color w:val="auto"/>
                <w:sz w:val="20"/>
                <w:szCs w:val="20"/>
                <w:lang w:val="en-US" w:eastAsia="zh-CN"/>
              </w:rPr>
            </w:pPr>
            <w:r>
              <w:rPr>
                <w:rFonts w:ascii="Times New Roman" w:cs="Times New Roman" w:hAnsi="Times New Roman" w:hint="eastAsia"/>
                <w:b/>
                <w:color w:val="auto"/>
                <w:sz w:val="20"/>
                <w:szCs w:val="20"/>
                <w:lang w:val="en-US" w:eastAsia="zh-CN"/>
              </w:rPr>
              <w:t>08</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公共管</w:t>
            </w:r>
          </w:p>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理与公</w:t>
            </w:r>
          </w:p>
          <w:p>
            <w:pPr>
              <w:jc w:val="center"/>
              <w:rPr>
                <w:rFonts w:ascii="Times New Roman" w:cs="Times New Roman" w:hAnsi="Times New Roman"/>
                <w:b/>
                <w:color w:val="auto"/>
                <w:sz w:val="20"/>
                <w:szCs w:val="20"/>
              </w:rPr>
            </w:pPr>
            <w:r>
              <w:rPr>
                <w:rFonts w:ascii="Times New Roman" w:cs="Times New Roman" w:hAnsi="Times New Roman"/>
                <w:b/>
                <w:color w:val="auto"/>
                <w:sz w:val="20"/>
                <w:szCs w:val="20"/>
              </w:rPr>
              <w:t>共服务</w:t>
            </w:r>
          </w:p>
          <w:p>
            <w:pPr>
              <w:jc w:val="center"/>
              <w:rPr>
                <w:rFonts w:ascii="Times New Roman" w:cs="Times New Roman" w:hAnsi="Times New Roman"/>
                <w:b/>
                <w:color w:val="auto"/>
                <w:sz w:val="20"/>
                <w:szCs w:val="20"/>
                <w:u w:val="single"/>
              </w:rPr>
            </w:pPr>
            <w:r>
              <w:rPr>
                <w:rFonts w:ascii="Times New Roman" w:cs="Times New Roman" w:hAnsi="Times New Roman"/>
                <w:b/>
                <w:color w:val="auto"/>
                <w:sz w:val="20"/>
                <w:szCs w:val="20"/>
              </w:rPr>
              <w:t>用  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jc w:val="center"/>
              <w:rPr>
                <w:rFonts w:ascii="Times New Roman" w:cs="Times New Roman" w:hAnsi="Times New Roman"/>
                <w:color w:val="auto"/>
                <w:sz w:val="20"/>
                <w:szCs w:val="20"/>
              </w:rPr>
            </w:pPr>
            <w:r>
              <w:rPr>
                <w:rFonts w:ascii="Times New Roman" w:cs="Times New Roman" w:hAnsi="Times New Roman"/>
                <w:color w:val="auto"/>
                <w:sz w:val="20"/>
                <w:szCs w:val="20"/>
              </w:rPr>
              <w:t>0809</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公用设施用地</w:t>
            </w: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01供水用地</w:t>
            </w:r>
          </w:p>
        </w:tc>
        <w:tc>
          <w:tcPr>
            <w:tcW w:w="1429" w:type="dxa"/>
            <w:vMerge w:val="restart"/>
            <w:tcBorders>
              <w:top w:val="single" w:sz="4" w:space="0" w:color="auto"/>
              <w:left w:val="single" w:sz="4" w:space="0" w:color="auto"/>
              <w:bottom w:val="single" w:sz="4" w:space="0" w:color="auto"/>
              <w:right w:val="single" w:sz="4" w:space="0" w:color="auto"/>
            </w:tcBorders>
            <w:noWrap/>
            <w:vAlign w:val="center"/>
          </w:tcPr>
          <w:p>
            <w:pPr>
              <w:jc w:val="left"/>
              <w:rPr>
                <w:rFonts w:ascii="Times New Roman" w:cs="Times New Roman" w:hAnsi="Times New Roman"/>
                <w:color w:val="auto"/>
                <w:sz w:val="20"/>
                <w:szCs w:val="20"/>
              </w:rPr>
            </w:pPr>
            <w:r>
              <w:rPr>
                <w:rFonts w:ascii="Times New Roman" w:cs="Times New Roman" w:hAnsi="Times New Roman"/>
                <w:b/>
                <w:color w:val="auto"/>
                <w:sz w:val="20"/>
                <w:szCs w:val="20"/>
              </w:rPr>
              <w:t>13公用设施用地</w:t>
            </w:r>
          </w:p>
        </w:tc>
      </w:tr>
      <w:tr>
        <w:trPr>
          <w:cantSplit/>
          <w:trHeight w:val="285"/>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02排水用地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33"/>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03供电用地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0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04供燃气用地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7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05供热用地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06通信用地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2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kern w:val="0"/>
                <w:sz w:val="20"/>
                <w:szCs w:val="20"/>
              </w:rPr>
            </w:pP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307邮政用地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86"/>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kern w:val="0"/>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308广播电视设施用地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86"/>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w:t>
            </w:r>
            <w:r>
              <w:rPr>
                <w:rFonts w:ascii="Times New Roman" w:cs="Times New Roman" w:hAnsi="Times New Roman"/>
                <w:color w:val="auto"/>
                <w:sz w:val="20"/>
                <w:szCs w:val="20"/>
              </w:rPr>
              <w:t>0</w:t>
            </w:r>
            <w:r>
              <w:rPr>
                <w:rFonts w:ascii="Times New Roman" w:cs="Times New Roman" w:hAnsi="Times New Roman"/>
                <w:color w:val="auto"/>
                <w:sz w:val="20"/>
                <w:szCs w:val="20"/>
              </w:rPr>
              <w:t>9</w:t>
            </w:r>
            <w:r>
              <w:rPr>
                <w:rFonts w:ascii="Times New Roman" w:cs="Times New Roman" w:hAnsi="Times New Roman"/>
                <w:color w:val="auto"/>
                <w:sz w:val="20"/>
                <w:szCs w:val="20"/>
              </w:rPr>
              <w:t>环卫用地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161"/>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w:t>
            </w:r>
            <w:r>
              <w:rPr>
                <w:rFonts w:ascii="Times New Roman" w:cs="Times New Roman" w:hAnsi="Times New Roman"/>
                <w:color w:val="auto"/>
                <w:sz w:val="20"/>
                <w:szCs w:val="20"/>
              </w:rPr>
              <w:t>310</w:t>
            </w:r>
            <w:r>
              <w:rPr>
                <w:rFonts w:ascii="Times New Roman" w:cs="Times New Roman" w:hAnsi="Times New Roman"/>
                <w:color w:val="auto"/>
                <w:sz w:val="20"/>
                <w:szCs w:val="20"/>
              </w:rPr>
              <w:t>消防用地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r>
        <w:trPr>
          <w:cantSplit/>
          <w:trHeight w:val="49"/>
        </w:trPr>
        <w:tc>
          <w:tcPr>
            <w:tcW w:w="760"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072"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709"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417" w:type="dxa"/>
            <w:vMerge/>
            <w:tcBorders>
              <w:top w:val="single" w:sz="4" w:space="0" w:color="auto"/>
              <w:left w:val="single" w:sz="4" w:space="0" w:color="auto"/>
              <w:bottom w:val="single" w:sz="4" w:space="0" w:color="auto"/>
              <w:right w:val="single" w:sz="4" w:space="0" w:color="auto"/>
            </w:tcBorders>
            <w:shd w:val="clear" w:color="auto" w:fill="D9D9D9"/>
            <w:noWrap/>
            <w:vAlign w:val="center"/>
          </w:tcPr>
          <w:p/>
        </w:tc>
        <w:tc>
          <w:tcPr>
            <w:tcW w:w="1808"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b/>
                <w:color w:val="auto"/>
                <w:sz w:val="20"/>
                <w:szCs w:val="20"/>
              </w:rPr>
            </w:pPr>
            <w:r>
              <w:rPr>
                <w:rFonts w:ascii="Times New Roman" w:cs="Times New Roman" w:hAnsi="Times New Roman"/>
                <w:b/>
                <w:color w:val="auto"/>
                <w:sz w:val="20"/>
                <w:szCs w:val="20"/>
              </w:rPr>
              <w:t>——</w:t>
            </w:r>
          </w:p>
        </w:tc>
        <w:tc>
          <w:tcPr>
            <w:tcW w:w="1900" w:type="dxa"/>
            <w:tcBorders>
              <w:top w:val="single" w:sz="4" w:space="0" w:color="auto"/>
              <w:left w:val="single" w:sz="4" w:space="0" w:color="auto"/>
              <w:bottom w:val="single" w:sz="4" w:space="0" w:color="auto"/>
              <w:right w:val="single" w:sz="4" w:space="0" w:color="auto"/>
            </w:tcBorders>
            <w:noWrap/>
            <w:vAlign w:val="center"/>
          </w:tcPr>
          <w:p>
            <w:pPr>
              <w:rPr>
                <w:rFonts w:ascii="Times New Roman" w:cs="Times New Roman" w:hAnsi="Times New Roman"/>
                <w:color w:val="auto"/>
                <w:sz w:val="20"/>
                <w:szCs w:val="20"/>
              </w:rPr>
            </w:pPr>
            <w:r>
              <w:rPr>
                <w:rFonts w:ascii="Times New Roman" w:cs="Times New Roman" w:hAnsi="Times New Roman"/>
                <w:color w:val="auto"/>
                <w:sz w:val="20"/>
                <w:szCs w:val="20"/>
              </w:rPr>
              <w:t>131</w:t>
            </w:r>
            <w:r>
              <w:rPr>
                <w:rFonts w:ascii="Times New Roman" w:cs="Times New Roman" w:hAnsi="Times New Roman"/>
                <w:color w:val="auto"/>
                <w:sz w:val="20"/>
                <w:szCs w:val="20"/>
                <w:lang w:val="en-US" w:eastAsia="zh-CN"/>
              </w:rPr>
              <w:t>2</w:t>
            </w:r>
            <w:r>
              <w:rPr>
                <w:rFonts w:ascii="Times New Roman" w:cs="Times New Roman" w:hAnsi="Times New Roman"/>
                <w:color w:val="auto"/>
                <w:sz w:val="20"/>
                <w:szCs w:val="20"/>
              </w:rPr>
              <w:t>其他公用设施用地</w:t>
            </w:r>
          </w:p>
        </w:tc>
        <w:tc>
          <w:tcPr>
            <w:tcW w:w="1429" w:type="dxa"/>
            <w:vMerge/>
            <w:tcBorders>
              <w:top w:val="single" w:sz="4" w:space="0" w:color="auto"/>
              <w:left w:val="single" w:sz="4" w:space="0" w:color="auto"/>
              <w:bottom w:val="single" w:sz="4" w:space="0" w:color="auto"/>
              <w:right w:val="single" w:sz="4" w:space="0" w:color="auto"/>
            </w:tcBorders>
            <w:noWrap/>
            <w:vAlign w:val="center"/>
          </w:tcPr>
          <w:p/>
        </w:tc>
      </w:tr>
    </w:tbl>
    <w:p>
      <w:pPr>
        <w:rPr>
          <w:rFonts w:eastAsia="宋体" w:hint="eastAsia"/>
          <w:color w:val="auto"/>
          <w:kern w:val="0"/>
          <w:sz w:val="28"/>
          <w:szCs w:val="28"/>
          <w:lang w:val="en-US" w:eastAsia="zh-CN"/>
        </w:rPr>
      </w:pPr>
      <w:r>
        <w:rPr>
          <w:rFonts w:eastAsia="宋体" w:hint="eastAsia"/>
          <w:color w:val="auto"/>
          <w:lang w:eastAsia="zh-CN"/>
        </w:rPr>
        <w:t>注：在第三次全国国土调查工作分类中公用设施用地对应的用地分类代码为“</w:t>
      </w:r>
      <w:r>
        <w:rPr>
          <w:rFonts w:eastAsia="宋体" w:hint="eastAsia"/>
          <w:color w:val="auto"/>
          <w:lang w:val="en-US" w:eastAsia="zh-CN"/>
        </w:rPr>
        <w:t>0809</w:t>
      </w:r>
      <w:r>
        <w:rPr>
          <w:rFonts w:eastAsia="宋体" w:hint="eastAsia"/>
          <w:color w:val="auto"/>
          <w:lang w:eastAsia="zh-CN"/>
        </w:rPr>
        <w:t>”，在《国土空间调查、规划、用途管制用地用海分类指南》（</w:t>
      </w:r>
      <w:r>
        <w:rPr>
          <w:rFonts w:eastAsia="宋体" w:hint="eastAsia"/>
          <w:color w:val="auto"/>
          <w:lang w:val="en-US" w:eastAsia="zh-CN"/>
        </w:rPr>
        <w:t>2023版</w:t>
      </w:r>
      <w:r>
        <w:rPr>
          <w:rFonts w:eastAsia="宋体" w:hint="eastAsia"/>
          <w:color w:val="auto"/>
          <w:lang w:eastAsia="zh-CN"/>
        </w:rPr>
        <w:t>）中公用设施用地对应的二级类代码为“</w:t>
      </w:r>
      <w:r>
        <w:rPr>
          <w:rFonts w:eastAsia="宋体" w:hint="eastAsia"/>
          <w:color w:val="auto"/>
          <w:lang w:val="en-US" w:eastAsia="zh-CN"/>
        </w:rPr>
        <w:t>1303</w:t>
      </w:r>
      <w:r>
        <w:rPr>
          <w:rFonts w:eastAsia="宋体" w:hint="eastAsia"/>
          <w:color w:val="auto"/>
          <w:lang w:eastAsia="zh-CN"/>
        </w:rPr>
        <w:t>”供电用地。</w:t>
      </w:r>
    </w:p>
    <w:p>
      <w:pPr>
        <w:pStyle w:val="15"/>
        <w:rPr>
          <w:rFonts w:eastAsia="宋体" w:hint="eastAsia"/>
          <w:color w:val="auto"/>
          <w:lang w:eastAsia="zh-CN"/>
        </w:rPr>
      </w:pPr>
      <w:r>
        <w:rPr>
          <w:color w:val="auto"/>
        </w:rPr>
        <w:drawing>
          <wp:inline distT="0" distB="0" distL="114300" distR="114300">
            <wp:extent cx="2620645" cy="1963420"/>
            <wp:effectExtent l="0" t="0" r="23" b="33"/>
            <wp:docPr id="25" name="图片 37" descr="640.webp (1)"/>
            <wp:cNvGraphicFramePr>
              <a:graphicFrameLocks noChangeAspect="1"/>
            </wp:cNvGraphicFramePr>
            <a:graphic>
              <a:graphicData uri="http://schemas.openxmlformats.org/drawingml/2006/picture">
                <pic:pic>
                  <pic:nvPicPr>
                    <pic:cNvPr id="27" name="图片 37 27"/>
                    <pic:cNvPicPr/>
                  </pic:nvPicPr>
                  <pic:blipFill>
                    <a:blip r:embed="rId11"/>
                    <a:stretch>
                      <a:fillRect/>
                    </a:stretch>
                  </pic:blipFill>
                  <pic:spPr>
                    <a:xfrm rot="0">
                      <a:off x="0" y="0"/>
                      <a:ext cx="2620645" cy="1963420"/>
                    </a:xfrm>
                    <a:prstGeom prst="rect"/>
                    <a:noFill/>
                    <a:ln w="9525" cmpd="sng" cap="flat">
                      <a:noFill/>
                      <a:prstDash val="solid"/>
                      <a:miter/>
                    </a:ln>
                  </pic:spPr>
                </pic:pic>
              </a:graphicData>
            </a:graphic>
          </wp:inline>
        </w:drawing>
      </w:r>
      <w:r>
        <w:rPr>
          <w:rFonts w:eastAsia="宋体" w:hint="eastAsia"/>
          <w:color w:val="auto"/>
          <w:lang w:eastAsia="zh-CN"/>
        </w:rPr>
        <w:drawing>
          <wp:inline distT="0" distB="0" distL="114300" distR="114300">
            <wp:extent cx="2625725" cy="1967865"/>
            <wp:effectExtent l="0" t="0" r="8" b="30"/>
            <wp:docPr id="28" name="图片 38" descr="640.webp (6)"/>
            <wp:cNvGraphicFramePr>
              <a:graphicFrameLocks noChangeAspect="1"/>
            </wp:cNvGraphicFramePr>
            <a:graphic>
              <a:graphicData uri="http://schemas.openxmlformats.org/drawingml/2006/picture">
                <pic:pic>
                  <pic:nvPicPr>
                    <pic:cNvPr id="30" name="图片 38 30"/>
                    <pic:cNvPicPr/>
                  </pic:nvPicPr>
                  <pic:blipFill>
                    <a:blip r:embed="rId12"/>
                    <a:stretch>
                      <a:fillRect/>
                    </a:stretch>
                  </pic:blipFill>
                  <pic:spPr>
                    <a:xfrm rot="0">
                      <a:off x="0" y="0"/>
                      <a:ext cx="2625725" cy="1967865"/>
                    </a:xfrm>
                    <a:prstGeom prst="rect"/>
                    <a:noFill/>
                    <a:ln w="9525" cmpd="sng" cap="flat">
                      <a:noFill/>
                      <a:prstDash val="solid"/>
                      <a:miter/>
                    </a:ln>
                  </pic:spPr>
                </pic:pic>
              </a:graphicData>
            </a:graphic>
          </wp:inline>
        </w:drawing>
      </w:r>
    </w:p>
    <w:p>
      <w:pPr>
        <w:pStyle w:val="15"/>
        <w:rPr>
          <w:rFonts w:hint="eastAsia"/>
          <w:color w:val="auto"/>
          <w:lang w:val="en-US" w:eastAsia="zh-CN"/>
        </w:rPr>
      </w:pPr>
    </w:p>
    <w:p>
      <w:pPr>
        <w:rPr>
          <w:rFonts w:eastAsia="宋体" w:hint="eastAsia"/>
          <w:color w:val="auto"/>
          <w:lang w:eastAsia="zh-CN"/>
        </w:rPr>
      </w:pPr>
      <w:r>
        <w:rPr>
          <w:color w:val="auto"/>
        </w:rPr>
        <w:drawing>
          <wp:inline distT="0" distB="0" distL="114300" distR="114300">
            <wp:extent cx="2616835" cy="1960880"/>
            <wp:effectExtent l="0" t="0" r="23" b="2"/>
            <wp:docPr id="31" name="图片 35" descr="640.webp (4)"/>
            <wp:cNvGraphicFramePr>
              <a:graphicFrameLocks noChangeAspect="1"/>
            </wp:cNvGraphicFramePr>
            <a:graphic>
              <a:graphicData uri="http://schemas.openxmlformats.org/drawingml/2006/picture">
                <pic:pic>
                  <pic:nvPicPr>
                    <pic:cNvPr id="33" name="图片 35 33"/>
                    <pic:cNvPicPr/>
                  </pic:nvPicPr>
                  <pic:blipFill>
                    <a:blip r:embed="rId13"/>
                    <a:stretch>
                      <a:fillRect/>
                    </a:stretch>
                  </pic:blipFill>
                  <pic:spPr>
                    <a:xfrm rot="0">
                      <a:off x="0" y="0"/>
                      <a:ext cx="2616835" cy="1960880"/>
                    </a:xfrm>
                    <a:prstGeom prst="rect"/>
                    <a:noFill/>
                    <a:ln w="9525" cmpd="sng" cap="flat">
                      <a:noFill/>
                      <a:prstDash val="solid"/>
                      <a:miter/>
                    </a:ln>
                  </pic:spPr>
                </pic:pic>
              </a:graphicData>
            </a:graphic>
          </wp:inline>
        </w:drawing>
      </w:r>
      <w:r>
        <w:rPr>
          <w:rFonts w:eastAsia="宋体" w:hint="eastAsia"/>
          <w:color w:val="auto"/>
          <w:lang w:eastAsia="zh-CN"/>
        </w:rPr>
        <w:drawing>
          <wp:inline distT="0" distB="0" distL="114300" distR="114300">
            <wp:extent cx="2614929" cy="1958340"/>
            <wp:effectExtent l="0" t="0" r="25" b="30"/>
            <wp:docPr id="34" name="图片 36" descr="E:/00王麒麟项目/王麒麟钦州低风速二期分散式风电场工程项目独立地块控制性详细规划2025.04/低风速插图/640.webp (7).png640.webp (7)"/>
            <wp:cNvGraphicFramePr>
              <a:graphicFrameLocks noChangeAspect="1"/>
            </wp:cNvGraphicFramePr>
            <a:graphic>
              <a:graphicData uri="http://schemas.openxmlformats.org/drawingml/2006/picture">
                <pic:pic>
                  <pic:nvPicPr>
                    <pic:cNvPr id="36" name="图片 36 36"/>
                    <pic:cNvPicPr/>
                  </pic:nvPicPr>
                  <pic:blipFill>
                    <a:blip r:embed="rId14"/>
                    <a:srcRect t="109" b="109"/>
                    <a:stretch>
                      <a:fillRect/>
                    </a:stretch>
                  </pic:blipFill>
                  <pic:spPr>
                    <a:xfrm rot="0">
                      <a:off x="0" y="0"/>
                      <a:ext cx="2614929" cy="1958340"/>
                    </a:xfrm>
                    <a:prstGeom prst="rect"/>
                    <a:noFill/>
                    <a:ln w="9525" cmpd="sng" cap="flat">
                      <a:noFill/>
                      <a:prstDash val="solid"/>
                      <a:miter/>
                    </a:ln>
                  </pic:spPr>
                </pic:pic>
              </a:graphicData>
            </a:graphic>
          </wp:inline>
        </w:drawing>
      </w:r>
    </w:p>
    <w:p>
      <w:pPr>
        <w:rPr>
          <w:rFonts w:eastAsia="宋体" w:hint="eastAsia"/>
          <w:color w:val="auto"/>
          <w:lang w:val="en-US" w:eastAsia="zh-CN"/>
        </w:rPr>
      </w:pPr>
      <w:r>
        <w:rPr>
          <w:rFonts w:eastAsia="宋体" w:hint="eastAsia"/>
          <w:color w:val="auto"/>
          <w:lang w:val="en-US" w:eastAsia="zh-CN"/>
        </w:rPr>
        <w:drawing>
          <wp:inline distT="0" distB="0" distL="114300" distR="114300">
            <wp:extent cx="5266690" cy="3945255"/>
            <wp:effectExtent l="0" t="0" r="17" b="34"/>
            <wp:docPr id="37" name="图片 34" descr="640.webp"/>
            <wp:cNvGraphicFramePr>
              <a:graphicFrameLocks noChangeAspect="1"/>
            </wp:cNvGraphicFramePr>
            <a:graphic>
              <a:graphicData uri="http://schemas.openxmlformats.org/drawingml/2006/picture">
                <pic:pic>
                  <pic:nvPicPr>
                    <pic:cNvPr id="39" name="图片 34 39"/>
                    <pic:cNvPicPr/>
                  </pic:nvPicPr>
                  <pic:blipFill>
                    <a:blip r:embed="rId15"/>
                    <a:stretch>
                      <a:fillRect/>
                    </a:stretch>
                  </pic:blipFill>
                  <pic:spPr>
                    <a:xfrm rot="0">
                      <a:off x="0" y="0"/>
                      <a:ext cx="5266690" cy="3945255"/>
                    </a:xfrm>
                    <a:prstGeom prst="rect"/>
                    <a:noFill/>
                    <a:ln w="9525" cmpd="sng" cap="flat">
                      <a:noFill/>
                      <a:prstDash val="solid"/>
                      <a:miter/>
                    </a:ln>
                  </pic:spPr>
                </pic:pic>
              </a:graphicData>
            </a:graphic>
          </wp:inline>
        </w:drawing>
      </w:r>
    </w:p>
    <w:p>
      <w:pPr>
        <w:pStyle w:val="18"/>
        <w:autoSpaceDE w:val="0"/>
        <w:autoSpaceDN w:val="0"/>
        <w:spacing w:before="4" w:line="360" w:lineRule="auto"/>
        <w:ind w:right="351"/>
        <w:jc w:val="center"/>
        <w:rPr>
          <w:rFonts w:ascii="宋体" w:eastAsia="宋体" w:cs="宋体" w:hAnsi="宋体"/>
          <w:color w:val="auto"/>
          <w:kern w:val="0"/>
          <w:sz w:val="24"/>
        </w:rPr>
      </w:pPr>
      <w:r>
        <w:rPr>
          <w:rFonts w:hint="eastAsia"/>
          <w:b/>
          <w:bCs/>
          <w:color w:val="auto"/>
          <w:lang w:val="en-US" w:eastAsia="zh-CN"/>
        </w:rPr>
        <w:t>钦州低风速二期分散式风电场场址现状及周边环境</w:t>
      </w:r>
      <w:r>
        <w:rPr>
          <w:rFonts w:hint="eastAsia"/>
          <w:b/>
          <w:bCs/>
          <w:color w:val="auto"/>
          <w:lang w:val="en-US"/>
        </w:rPr>
        <w:t>航拍</w:t>
      </w:r>
      <w:r>
        <w:rPr>
          <w:rFonts w:hint="eastAsia"/>
          <w:b/>
          <w:bCs/>
          <w:color w:val="auto"/>
          <w:lang w:val="en-US" w:eastAsia="zh-CN"/>
        </w:rPr>
        <w:t>图</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38" w:name="_Toc6228"/>
      <w:r>
        <w:rPr>
          <w:rFonts w:ascii="宋体" w:eastAsia="宋体" w:cs="宋体" w:hAnsi="宋体" w:hint="eastAsia"/>
          <w:bCs/>
          <w:color w:val="auto"/>
          <w:sz w:val="32"/>
          <w:szCs w:val="32"/>
          <w:lang w:val="en-US" w:eastAsia="zh-CN"/>
        </w:rPr>
        <w:t>2.4周边区域情况</w:t>
      </w:r>
      <w:bookmarkEnd w:id="38"/>
    </w:p>
    <w:p>
      <w:pPr>
        <w:widowControl/>
        <w:spacing w:before="4" w:line="360" w:lineRule="auto"/>
        <w:ind w:left="118" w:right="351" w:firstLineChars="200" w:firstLine="560"/>
        <w:jc w:val="left"/>
        <w:rPr>
          <w:rFonts w:hint="eastAsia"/>
          <w:color w:val="auto"/>
          <w:kern w:val="0"/>
          <w:sz w:val="28"/>
          <w:szCs w:val="28"/>
          <w:lang w:val="en-US" w:eastAsia="zh-CN"/>
        </w:rPr>
      </w:pP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项目用地</w:t>
      </w:r>
      <w:r>
        <w:rPr>
          <w:rFonts w:ascii="宋体" w:eastAsia="宋体" w:cs="宋体" w:hAnsi="宋体" w:hint="eastAsia"/>
          <w:color w:val="auto"/>
          <w:kern w:val="0"/>
          <w:sz w:val="28"/>
          <w:szCs w:val="28"/>
        </w:rPr>
        <w:t>周边主要为</w:t>
      </w:r>
      <w:r>
        <w:rPr>
          <w:rFonts w:ascii="宋体" w:eastAsia="宋体" w:cs="宋体" w:hAnsi="宋体" w:hint="eastAsia"/>
          <w:color w:val="auto"/>
          <w:kern w:val="0"/>
          <w:sz w:val="28"/>
          <w:szCs w:val="28"/>
          <w:lang w:eastAsia="zh-CN"/>
        </w:rPr>
        <w:t>钦北区大垌镇大塘村、米家村、歌标村村民委员会，那蒙镇岳马村、硃砂村、竹山村村庄村民委员会的</w:t>
      </w:r>
      <w:r>
        <w:rPr>
          <w:rFonts w:ascii="宋体" w:eastAsia="宋体" w:cs="宋体" w:hAnsi="宋体" w:hint="eastAsia"/>
          <w:color w:val="auto"/>
          <w:kern w:val="0"/>
          <w:sz w:val="28"/>
          <w:szCs w:val="28"/>
        </w:rPr>
        <w:t>集体农用地。</w:t>
      </w:r>
      <w:r>
        <w:rPr>
          <w:rFonts w:ascii="宋体" w:eastAsia="宋体" w:cs="宋体" w:hAnsi="宋体" w:hint="eastAsia"/>
          <w:color w:val="auto"/>
          <w:kern w:val="0"/>
          <w:sz w:val="28"/>
          <w:szCs w:val="28"/>
          <w:lang w:eastAsia="zh-CN"/>
        </w:rPr>
        <w:t>本工程风电机组及开关站用地均基本规划布置于山脊或山包之上，</w:t>
      </w:r>
      <w:r>
        <w:rPr>
          <w:rFonts w:ascii="宋体" w:eastAsia="宋体" w:cs="宋体" w:hAnsi="宋体" w:hint="eastAsia"/>
          <w:color w:val="auto"/>
          <w:kern w:val="0"/>
          <w:sz w:val="28"/>
          <w:szCs w:val="28"/>
        </w:rPr>
        <w:t>山坡自然坡度</w:t>
      </w:r>
      <w:r>
        <w:rPr>
          <w:rFonts w:ascii="宋体" w:eastAsia="宋体" w:cs="宋体" w:hAnsi="宋体" w:hint="eastAsia"/>
          <w:color w:val="auto"/>
          <w:kern w:val="0"/>
          <w:sz w:val="28"/>
          <w:szCs w:val="28"/>
          <w:lang w:eastAsia="zh-CN"/>
        </w:rPr>
        <w:t>较平缓</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场址周边</w:t>
      </w:r>
      <w:r>
        <w:rPr>
          <w:rFonts w:ascii="宋体" w:eastAsia="宋体" w:cs="宋体" w:hAnsi="宋体" w:hint="eastAsia"/>
          <w:color w:val="auto"/>
          <w:kern w:val="0"/>
          <w:sz w:val="28"/>
          <w:szCs w:val="28"/>
        </w:rPr>
        <w:t>植被较发育，主要为</w:t>
      </w:r>
      <w:r>
        <w:rPr>
          <w:rFonts w:ascii="宋体" w:eastAsia="宋体" w:cs="宋体" w:hAnsi="宋体" w:hint="eastAsia"/>
          <w:color w:val="auto"/>
          <w:kern w:val="0"/>
          <w:sz w:val="28"/>
          <w:szCs w:val="28"/>
          <w:lang w:eastAsia="zh-CN"/>
        </w:rPr>
        <w:t>林地、草地等。风电场与外部交通连接的主要道路为在现有农村道路基础上扩宽的风电场施工检修道路</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本项目不涉及占用生态保护红线。最近风机位距离北部湾水源涵养生态保护红线范围约5000 米，周边地下水源较丰富</w:t>
      </w:r>
      <w:r>
        <w:rPr>
          <w:rFonts w:ascii="宋体" w:eastAsia="宋体" w:cs="宋体" w:hAnsi="宋体" w:hint="eastAsia"/>
          <w:color w:val="auto"/>
          <w:kern w:val="0"/>
          <w:sz w:val="28"/>
          <w:szCs w:val="28"/>
          <w:lang w:val="en-US" w:eastAsia="zh-CN"/>
        </w:rPr>
        <w:t>，电力、电信等基础设施已接至场区附近。</w:t>
      </w:r>
      <w:r>
        <w:rPr>
          <w:rFonts w:hint="eastAsia"/>
          <w:color w:val="auto"/>
          <w:sz w:val="28"/>
          <w:szCs w:val="28"/>
          <w:lang w:val="en-US" w:eastAsia="zh-CN"/>
        </w:rPr>
        <w:t>周边较集中的居民点（那于村）与各风电机组及开关站用地的距离均超过800米</w:t>
      </w:r>
      <w:r>
        <w:rPr>
          <w:rFonts w:hint="eastAsia"/>
          <w:color w:val="auto"/>
          <w:kern w:val="0"/>
          <w:sz w:val="28"/>
          <w:szCs w:val="28"/>
          <w:lang w:val="en-US" w:eastAsia="zh-CN"/>
        </w:rPr>
        <w:t>。附近也无其他大型专项设施，项目周边区域整体建设条件良好。</w:t>
      </w:r>
    </w:p>
    <w:p>
      <w:pPr>
        <w:pStyle w:val="18"/>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375910" cy="3372485"/>
            <wp:effectExtent l="0" t="0" r="13" b="20"/>
            <wp:docPr id="40" name="图片 28" descr="QQ20250525-195829"/>
            <wp:cNvGraphicFramePr>
              <a:graphicFrameLocks noChangeAspect="1"/>
            </wp:cNvGraphicFramePr>
            <a:graphic>
              <a:graphicData uri="http://schemas.openxmlformats.org/drawingml/2006/picture">
                <pic:pic>
                  <pic:nvPicPr>
                    <pic:cNvPr id="42" name="图片 28 42"/>
                    <pic:cNvPicPr/>
                  </pic:nvPicPr>
                  <pic:blipFill>
                    <a:blip r:embed="rId16"/>
                    <a:stretch>
                      <a:fillRect/>
                    </a:stretch>
                  </pic:blipFill>
                  <pic:spPr>
                    <a:xfrm rot="0">
                      <a:off x="0" y="0"/>
                      <a:ext cx="5375910" cy="3372485"/>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628900" cy="1969770"/>
            <wp:effectExtent l="0" t="0" r="40" b="30"/>
            <wp:docPr id="43" name="图片 32" descr="640.webp (5)"/>
            <wp:cNvGraphicFramePr>
              <a:graphicFrameLocks noChangeAspect="1"/>
            </wp:cNvGraphicFramePr>
            <a:graphic>
              <a:graphicData uri="http://schemas.openxmlformats.org/drawingml/2006/picture">
                <pic:pic>
                  <pic:nvPicPr>
                    <pic:cNvPr id="45" name="图片 32 45"/>
                    <pic:cNvPicPr/>
                  </pic:nvPicPr>
                  <pic:blipFill>
                    <a:blip r:embed="rId17"/>
                    <a:stretch>
                      <a:fillRect/>
                    </a:stretch>
                  </pic:blipFill>
                  <pic:spPr>
                    <a:xfrm rot="0">
                      <a:off x="0" y="0"/>
                      <a:ext cx="2628900" cy="1969770"/>
                    </a:xfrm>
                    <a:prstGeom prst="rect"/>
                    <a:noFill/>
                    <a:ln w="9525" cmpd="sng" cap="flat">
                      <a:noFill/>
                      <a:prstDash val="solid"/>
                      <a:miter/>
                    </a:ln>
                  </pic:spPr>
                </pic:pic>
              </a:graphicData>
            </a:graphic>
          </wp:inline>
        </w:drawing>
      </w:r>
      <w:r>
        <w:rPr>
          <w:rFonts w:ascii="宋体" w:eastAsia="宋体" w:cs="宋体" w:hAnsi="宋体" w:hint="eastAsia"/>
          <w:color w:val="auto"/>
          <w:kern w:val="0"/>
          <w:sz w:val="28"/>
          <w:szCs w:val="28"/>
          <w:lang w:eastAsia="zh-CN"/>
        </w:rPr>
        <w:drawing>
          <wp:inline distT="0" distB="0" distL="114300" distR="114300">
            <wp:extent cx="2627629" cy="1968500"/>
            <wp:effectExtent l="0" t="0" r="8" b="1"/>
            <wp:docPr id="46" name="图片 33" descr="640.webp (2)"/>
            <wp:cNvGraphicFramePr>
              <a:graphicFrameLocks noChangeAspect="1"/>
            </wp:cNvGraphicFramePr>
            <a:graphic>
              <a:graphicData uri="http://schemas.openxmlformats.org/drawingml/2006/picture">
                <pic:pic>
                  <pic:nvPicPr>
                    <pic:cNvPr id="48" name="图片 33 48"/>
                    <pic:cNvPicPr/>
                  </pic:nvPicPr>
                  <pic:blipFill>
                    <a:blip r:embed="rId18"/>
                    <a:stretch>
                      <a:fillRect/>
                    </a:stretch>
                  </pic:blipFill>
                  <pic:spPr>
                    <a:xfrm rot="0">
                      <a:off x="0" y="0"/>
                      <a:ext cx="2627629" cy="1968500"/>
                    </a:xfrm>
                    <a:prstGeom prst="rect"/>
                    <a:noFill/>
                    <a:ln w="9525" cmpd="sng" cap="flat">
                      <a:noFill/>
                      <a:prstDash val="solid"/>
                      <a:miter/>
                    </a:ln>
                  </pic:spPr>
                </pic:pic>
              </a:graphicData>
            </a:graphic>
          </wp:inline>
        </w:drawing>
      </w:r>
    </w:p>
    <w:p>
      <w:pPr>
        <w:widowControl/>
        <w:spacing w:before="4" w:line="360" w:lineRule="auto"/>
        <w:ind w:right="351"/>
        <w:jc w:val="center"/>
        <w:rPr>
          <w:rFonts w:hint="eastAsia"/>
          <w:b/>
          <w:bCs/>
          <w:color w:val="auto"/>
          <w:sz w:val="24"/>
          <w:lang w:eastAsia="zh-CN"/>
        </w:rPr>
      </w:pPr>
      <w:r>
        <w:rPr>
          <w:rFonts w:hint="eastAsia"/>
          <w:b/>
          <w:bCs/>
          <w:color w:val="auto"/>
          <w:sz w:val="24"/>
          <w:lang w:eastAsia="zh-CN"/>
        </w:rPr>
        <w:t>现状风电场区距南面村庄</w:t>
      </w:r>
      <w:r>
        <w:rPr>
          <w:rFonts w:hint="eastAsia"/>
          <w:b/>
          <w:bCs/>
          <w:color w:val="auto"/>
          <w:sz w:val="24"/>
          <w:lang w:val="en-US" w:eastAsia="zh-CN"/>
        </w:rPr>
        <w:t>800米外</w:t>
      </w:r>
      <w:r>
        <w:rPr>
          <w:rFonts w:hint="eastAsia"/>
          <w:b/>
          <w:bCs/>
          <w:color w:val="auto"/>
          <w:sz w:val="24"/>
          <w:lang w:eastAsia="zh-CN"/>
        </w:rPr>
        <w:t>区域情况</w:t>
      </w:r>
    </w:p>
    <w:p>
      <w:pPr>
        <w:pStyle w:val="15"/>
        <w:rPr>
          <w:rFonts w:hint="eastAsia"/>
          <w:color w:val="auto"/>
          <w:lang w:eastAsia="zh-CN"/>
        </w:rPr>
      </w:pPr>
      <w:r>
        <w:rPr>
          <w:rFonts w:hint="eastAsia"/>
          <w:color w:val="auto"/>
          <w:lang w:val="en-US" w:eastAsia="zh-CN"/>
        </w:rPr>
        <w:t xml:space="preserve"> </w:t>
      </w:r>
    </w:p>
    <w:p>
      <w:pPr>
        <w:pStyle w:val="18"/>
        <w:rPr>
          <w:rFonts w:hint="eastAsia"/>
          <w:color w:val="auto"/>
          <w:lang w:eastAsia="zh-CN"/>
        </w:rPr>
      </w:pPr>
    </w:p>
    <w:p>
      <w:pPr>
        <w:pStyle w:val="1"/>
        <w:numPr>
          <w:ilvl w:val="0"/>
          <w:numId w:val="0"/>
        </w:numPr>
        <w:spacing w:before="260" w:line="360" w:lineRule="auto"/>
        <w:ind w:left="420" w:right="351"/>
        <w:jc w:val="center"/>
        <w:rPr>
          <w:rFonts w:ascii="宋体" w:eastAsia="宋体" w:cs="宋体" w:hAnsi="宋体" w:hint="eastAsia"/>
          <w:color w:val="auto"/>
          <w:sz w:val="30"/>
          <w:szCs w:val="30"/>
          <w:lang w:val="en-US" w:eastAsia="zh-CN"/>
        </w:rPr>
      </w:pPr>
      <w:bookmarkStart w:id="39" w:name="_Toc18868"/>
      <w:r>
        <w:rPr>
          <w:rFonts w:ascii="宋体" w:eastAsia="宋体" w:cs="宋体" w:hAnsi="宋体" w:hint="eastAsia"/>
          <w:bCs/>
          <w:color w:val="auto"/>
          <w:sz w:val="32"/>
          <w:szCs w:val="32"/>
          <w:lang w:eastAsia="zh-CN"/>
        </w:rPr>
        <w:t>第三章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用地布局规划</w:t>
      </w:r>
      <w:bookmarkEnd w:id="39"/>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0" w:name="_Toc10136"/>
      <w:r>
        <w:rPr>
          <w:rFonts w:ascii="宋体" w:eastAsia="宋体" w:cs="宋体" w:hAnsi="宋体" w:hint="eastAsia"/>
          <w:bCs/>
          <w:color w:val="auto"/>
          <w:sz w:val="32"/>
          <w:szCs w:val="32"/>
          <w:lang w:val="en-US" w:eastAsia="zh-CN"/>
        </w:rPr>
        <w:t>3.1规划依据</w:t>
      </w:r>
      <w:bookmarkEnd w:id="40"/>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《建筑设计防火规范》（</w:t>
      </w:r>
      <w:r>
        <w:rPr>
          <w:rFonts w:ascii="宋体" w:eastAsia="宋体" w:cs="宋体" w:hAnsi="宋体"/>
          <w:color w:val="auto"/>
          <w:kern w:val="0"/>
          <w:sz w:val="28"/>
          <w:szCs w:val="28"/>
        </w:rPr>
        <w:t>GB50016-2014）（2018版）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Times New Roman"/>
          <w:color w:val="auto"/>
          <w:kern w:val="0"/>
          <w:sz w:val="24"/>
          <w:szCs w:val="24"/>
        </w:rPr>
      </w:pP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《国土空间调查、规划、用途管制用地用海分类指南》</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《第三次全国国土调查技术规程》（TD/T 1055—2019）</w:t>
      </w:r>
      <w:r>
        <w:rPr>
          <w:rFonts w:ascii="宋体" w:eastAsia="宋体" w:cs="宋体" w:hAnsi="宋体"/>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其他相关国家、自治区和钦州市的规划标准、规范</w:t>
      </w:r>
      <w:r>
        <w:rPr>
          <w:rFonts w:ascii="宋体" w:eastAsia="宋体"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1" w:name="_Toc11027"/>
      <w:r>
        <w:rPr>
          <w:rFonts w:ascii="宋体" w:eastAsia="宋体" w:cs="宋体" w:hAnsi="宋体" w:hint="eastAsia"/>
          <w:bCs/>
          <w:color w:val="auto"/>
          <w:sz w:val="32"/>
          <w:szCs w:val="32"/>
          <w:lang w:val="en-US" w:eastAsia="zh-CN"/>
        </w:rPr>
        <w:t>3.2规划原则</w:t>
      </w:r>
      <w:bookmarkEnd w:id="41"/>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风电场工程项目建设应根据风电行业发展的需要，在综合考虑风能资源、场址、电力市场、接入系统和资金筹措能力等建设条件的同时，体现科学、合理和节约集约用地的原则</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）风电场工程项目建设用地应符合国家土地利用总体规划的要求，尽量使用荒地、未利用地，少占或不占耕地、林地，并尽量避开省级及以上政府部门依法批准的特殊保护区域。</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）风电机组布置应充分利用风能资源、地形、地质条件，合理布置，在满足安全运行、管理方便、技术先进和经济合理等条件下，少占土地。</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）风电场工程项目建设在技术经济合理的条件下，应优先采用单机容量大的风电机组，以达到减少占用土地的目的。</w:t>
      </w:r>
    </w:p>
    <w:p>
      <w:pPr>
        <w:widowControl/>
        <w:spacing w:before="4" w:line="360" w:lineRule="auto"/>
        <w:ind w:left="0" w:right="351" w:firstLineChars="200" w:firstLine="560"/>
        <w:jc w:val="left"/>
        <w:rPr>
          <w:rFonts w:hint="eastAsia"/>
          <w:color w:val="auto"/>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）分期建设的风电场工程项目建设用地，应统筹规划，分期征用。近期建设用地应合理集中，可适当预留远期建设发展所需用地，但应严格控制。</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2" w:name="_Toc12190"/>
      <w:r>
        <w:rPr>
          <w:rFonts w:ascii="宋体" w:eastAsia="宋体" w:cs="宋体" w:hAnsi="宋体" w:hint="eastAsia"/>
          <w:bCs/>
          <w:color w:val="auto"/>
          <w:sz w:val="32"/>
          <w:szCs w:val="32"/>
          <w:lang w:val="en-US" w:eastAsia="zh-CN"/>
        </w:rPr>
        <w:t>3.3土地利用规划</w:t>
      </w:r>
      <w:bookmarkEnd w:id="42"/>
    </w:p>
    <w:p>
      <w:pPr>
        <w:pStyle w:val="18"/>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eastAsia="zh-CN"/>
        </w:rPr>
      </w:pPr>
      <w:r>
        <w:rPr>
          <w:rFonts w:hint="eastAsia"/>
          <w:b/>
          <w:bCs/>
          <w:color w:val="auto"/>
          <w:sz w:val="28"/>
          <w:szCs w:val="28"/>
          <w:lang w:val="en-US" w:eastAsia="zh-CN"/>
        </w:rPr>
        <w:t>3.3.1 用地性质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本规划为</w:t>
      </w:r>
      <w:r>
        <w:rPr>
          <w:rFonts w:ascii="宋体" w:eastAsia="宋体" w:cs="宋体" w:hAnsi="宋体" w:hint="eastAsia"/>
          <w:color w:val="auto"/>
          <w:kern w:val="0"/>
          <w:sz w:val="28"/>
          <w:szCs w:val="28"/>
        </w:rPr>
        <w:t>钦州低风速二期分散式风电场工程项目</w:t>
      </w:r>
      <w:r>
        <w:rPr>
          <w:rFonts w:ascii="宋体" w:eastAsia="宋体" w:cs="宋体" w:hAnsi="宋体" w:hint="eastAsia"/>
          <w:color w:val="auto"/>
          <w:kern w:val="0"/>
          <w:sz w:val="28"/>
          <w:szCs w:val="28"/>
          <w:lang w:eastAsia="zh-CN"/>
        </w:rPr>
        <w:t>独立地块控制性详细规划，项目用地位于钦北区大垌镇和那蒙镇行政交界区域，目前</w:t>
      </w:r>
      <w:r>
        <w:rPr>
          <w:rFonts w:ascii="宋体" w:eastAsia="宋体" w:cs="宋体" w:hAnsi="宋体" w:hint="eastAsia"/>
          <w:color w:val="auto"/>
          <w:kern w:val="0"/>
          <w:sz w:val="28"/>
          <w:szCs w:val="28"/>
        </w:rPr>
        <w:t>地块已纳入</w:t>
      </w:r>
      <w:r>
        <w:rPr>
          <w:rFonts w:ascii="宋体" w:eastAsia="宋体" w:cs="宋体" w:hAnsi="宋体" w:hint="eastAsia"/>
          <w:color w:val="auto"/>
          <w:kern w:val="0"/>
          <w:sz w:val="28"/>
          <w:szCs w:val="28"/>
          <w:lang w:eastAsia="zh-CN"/>
        </w:rPr>
        <w:t>钦州市</w:t>
      </w:r>
      <w:r>
        <w:rPr>
          <w:rFonts w:ascii="宋体" w:eastAsia="宋体" w:cs="宋体" w:hAnsi="宋体" w:hint="eastAsia"/>
          <w:color w:val="auto"/>
          <w:kern w:val="0"/>
          <w:sz w:val="28"/>
          <w:szCs w:val="28"/>
        </w:rPr>
        <w:t>国土空间总体规划</w:t>
      </w:r>
      <w:r>
        <w:rPr>
          <w:rFonts w:ascii="宋体" w:eastAsia="宋体" w:cs="宋体" w:hAnsi="宋体" w:hint="eastAsia"/>
          <w:color w:val="auto"/>
          <w:kern w:val="0"/>
          <w:sz w:val="28"/>
          <w:szCs w:val="28"/>
          <w:lang w:eastAsia="zh-CN"/>
        </w:rPr>
        <w:t>，规划地块用地性质为一级类“公用设施用地”（代码13）中的二级类——“供电用地”（代码1303）。</w:t>
      </w:r>
    </w:p>
    <w:p>
      <w:pPr>
        <w:widowControl/>
        <w:spacing w:before="4" w:line="360" w:lineRule="auto"/>
        <w:ind w:left="118" w:right="351" w:firstLineChars="200" w:firstLine="560"/>
        <w:jc w:val="left"/>
        <w:rPr>
          <w:rFonts w:ascii="宋体" w:eastAsia="宋体" w:cs="宋体" w:hAnsi="宋体" w:hint="eastAsia"/>
          <w:b/>
          <w:bCs/>
          <w:color w:val="auto"/>
          <w:kern w:val="2"/>
          <w:sz w:val="28"/>
          <w:szCs w:val="28"/>
          <w:lang w:val="en-US" w:eastAsia="zh-CN" w:bidi="zh-CN"/>
        </w:rPr>
      </w:pPr>
      <w:r>
        <w:rPr>
          <w:rFonts w:ascii="宋体" w:eastAsia="宋体" w:cs="宋体" w:hAnsi="宋体" w:hint="eastAsia"/>
          <w:b/>
          <w:bCs/>
          <w:color w:val="auto"/>
          <w:kern w:val="2"/>
          <w:sz w:val="28"/>
          <w:szCs w:val="28"/>
          <w:lang w:val="en-US" w:eastAsia="zh-CN" w:bidi="zh-CN"/>
        </w:rPr>
        <w:t>3.3.2 功能分区</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整个项目场址涉及的区域</w:t>
      </w:r>
      <w:r>
        <w:rPr>
          <w:rFonts w:ascii="宋体" w:eastAsia="宋体" w:cs="宋体" w:hAnsi="宋体" w:hint="eastAsia"/>
          <w:color w:val="auto"/>
          <w:kern w:val="0"/>
          <w:sz w:val="28"/>
          <w:szCs w:val="28"/>
        </w:rPr>
        <w:t>范围</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东西</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4.5</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南北</w:t>
      </w:r>
      <w:r>
        <w:rPr>
          <w:rFonts w:ascii="宋体" w:eastAsia="宋体" w:cs="宋体" w:hAnsi="宋体" w:hint="eastAsia"/>
          <w:color w:val="auto"/>
          <w:kern w:val="0"/>
          <w:sz w:val="28"/>
          <w:szCs w:val="28"/>
          <w:lang w:eastAsia="zh-CN"/>
        </w:rPr>
        <w:t>跨度</w:t>
      </w:r>
      <w:r>
        <w:rPr>
          <w:rFonts w:ascii="宋体" w:eastAsia="宋体" w:cs="宋体" w:hAnsi="宋体" w:hint="eastAsia"/>
          <w:color w:val="auto"/>
          <w:kern w:val="0"/>
          <w:sz w:val="28"/>
          <w:szCs w:val="28"/>
        </w:rPr>
        <w:t>约</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km</w:t>
      </w:r>
      <w:r>
        <w:rPr>
          <w:rFonts w:ascii="宋体" w:eastAsia="宋体" w:cs="宋体" w:hAnsi="宋体" w:hint="eastAsia"/>
          <w:color w:val="auto"/>
          <w:kern w:val="0"/>
          <w:sz w:val="28"/>
          <w:szCs w:val="28"/>
          <w:lang w:eastAsia="zh-CN"/>
        </w:rPr>
        <w:t>。共规划安装1</w:t>
      </w:r>
      <w:r>
        <w:rPr>
          <w:rFonts w:ascii="宋体" w:eastAsia="宋体" w:cs="宋体" w:hAnsi="宋体" w:hint="eastAsia"/>
          <w:color w:val="auto"/>
          <w:kern w:val="0"/>
          <w:sz w:val="28"/>
          <w:szCs w:val="28"/>
          <w:lang w:val="en-US" w:eastAsia="zh-CN"/>
        </w:rPr>
        <w:t>0</w:t>
      </w:r>
      <w:r>
        <w:rPr>
          <w:rFonts w:ascii="宋体" w:eastAsia="宋体" w:cs="宋体" w:hAnsi="宋体" w:hint="eastAsia"/>
          <w:color w:val="auto"/>
          <w:kern w:val="0"/>
          <w:sz w:val="28"/>
          <w:szCs w:val="28"/>
          <w:lang w:eastAsia="zh-CN"/>
        </w:rPr>
        <w:t>组风电机组，并在场址范围内规划建设一座</w:t>
      </w:r>
      <w:r>
        <w:rPr>
          <w:rFonts w:ascii="宋体" w:eastAsia="宋体" w:cs="宋体" w:hAnsi="宋体" w:hint="eastAsia"/>
          <w:color w:val="auto"/>
          <w:kern w:val="0"/>
          <w:sz w:val="28"/>
          <w:szCs w:val="28"/>
          <w:lang w:val="en-US" w:eastAsia="zh-CN"/>
        </w:rPr>
        <w:t>35</w:t>
      </w:r>
      <w:r>
        <w:rPr>
          <w:rFonts w:ascii="宋体" w:eastAsia="宋体" w:cs="宋体" w:hAnsi="宋体" w:hint="eastAsia"/>
          <w:color w:val="auto"/>
          <w:kern w:val="0"/>
          <w:sz w:val="28"/>
          <w:szCs w:val="28"/>
          <w:lang w:eastAsia="zh-CN"/>
        </w:rPr>
        <w:t>kV开关站和一座储能站。风电场内由施工检修干道连接各零散地块，呈树枝状布局。本规划在用地现状实际地形的基础上，参照《</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，对地块建设用地按规范进行规划布局及管控，合理的将风电场项目用地划分功能分区，主要分为风电生产区、电能储备区、场内道路交通区等功能分区。</w:t>
      </w:r>
    </w:p>
    <w:p>
      <w:pPr>
        <w:widowControl/>
        <w:spacing w:before="4" w:line="360" w:lineRule="auto"/>
        <w:ind w:left="118" w:right="351" w:firstLineChars="200" w:firstLine="560"/>
        <w:jc w:val="left"/>
        <w:rPr>
          <w:rFonts w:ascii="宋体" w:eastAsia="宋体" w:cs="宋体" w:hAnsi="宋体" w:hint="eastAsia"/>
          <w:b/>
          <w:bCs/>
          <w:color w:val="auto"/>
          <w:kern w:val="2"/>
          <w:sz w:val="28"/>
          <w:szCs w:val="28"/>
          <w:lang w:val="en-US" w:eastAsia="zh-CN" w:bidi="zh-CN"/>
        </w:rPr>
      </w:pPr>
      <w:r>
        <w:rPr>
          <w:rFonts w:ascii="宋体" w:eastAsia="宋体" w:cs="宋体" w:hAnsi="宋体" w:hint="eastAsia"/>
          <w:b/>
          <w:bCs/>
          <w:color w:val="auto"/>
          <w:kern w:val="2"/>
          <w:sz w:val="28"/>
          <w:szCs w:val="28"/>
          <w:lang w:val="en-US" w:eastAsia="zh-CN" w:bidi="zh-CN"/>
        </w:rPr>
        <w:t>3.3.3 用地布局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（1）风电场</w:t>
      </w:r>
      <w:r>
        <w:rPr>
          <w:rFonts w:ascii="宋体" w:eastAsia="宋体" w:cs="宋体" w:hAnsi="宋体" w:hint="eastAsia"/>
          <w:color w:val="auto"/>
          <w:kern w:val="0"/>
          <w:sz w:val="28"/>
          <w:szCs w:val="28"/>
          <w:lang w:eastAsia="zh-CN"/>
        </w:rPr>
        <w:t>总体布局</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根据《广西壮族自治区发展和改革委员会关于调整新能源及产业项目进度考核时间节点的通知》(桂发改新能〔2022〕762 号)文件，</w:t>
      </w: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项目被列入2018 年底前核准风电项目转市场化并网情况表，明确要求企业需通过购买储能服务或自建储能电站实现储能配置要求，为着力解决广西新能源发电项目消纳紧张情况。本项目规划建设风力发电场总体布局主要由以下部分组成：</w:t>
      </w:r>
    </w:p>
    <w:p>
      <w:pPr>
        <w:widowControl/>
        <w:spacing w:before="4" w:line="360" w:lineRule="auto"/>
        <w:ind w:leftChars="200" w:left="420" w:right="351" w:firstLineChars="100" w:firstLine="28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风力发电机组和变电单元（箱变）布置；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开关站生产建筑及电力设备布置；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储能站生产建筑及储能设备布置；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场区集电线路布置；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中央监控通信系统布置；</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场区道路；</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lang w:eastAsia="zh-CN"/>
        </w:rPr>
        <w:t>其他防护及供应设施（防洪、防雷、防火、供水等）。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风电机组和变电单元（箱变）用地布局</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风电场</w:t>
      </w:r>
      <w:r>
        <w:rPr>
          <w:rFonts w:ascii="宋体" w:eastAsia="宋体" w:cs="宋体" w:hAnsi="宋体" w:hint="eastAsia"/>
          <w:color w:val="auto"/>
          <w:kern w:val="0"/>
          <w:sz w:val="28"/>
          <w:szCs w:val="28"/>
          <w:lang w:val="en-US" w:eastAsia="zh-CN"/>
        </w:rPr>
        <w:t>10组</w:t>
      </w:r>
      <w:r>
        <w:rPr>
          <w:rFonts w:ascii="宋体" w:eastAsia="宋体" w:cs="宋体" w:hAnsi="宋体" w:hint="eastAsia"/>
          <w:color w:val="auto"/>
          <w:kern w:val="0"/>
          <w:sz w:val="28"/>
          <w:szCs w:val="28"/>
          <w:lang w:eastAsia="zh-CN"/>
        </w:rPr>
        <w:t>风电机组用地零星分布于钦北区大垌镇与那蒙镇交界处一带的山脊或山包区域，整体呈树枝状布局，大部分风电机组之间的距离在</w:t>
      </w:r>
      <w:r>
        <w:rPr>
          <w:rFonts w:ascii="宋体" w:eastAsia="宋体" w:cs="宋体" w:hAnsi="宋体" w:hint="eastAsia"/>
          <w:color w:val="auto"/>
          <w:kern w:val="0"/>
          <w:sz w:val="28"/>
          <w:szCs w:val="28"/>
          <w:lang w:val="en-US" w:eastAsia="zh-CN"/>
        </w:rPr>
        <w:t>250～400米之间，少部分距离＞500米，</w:t>
      </w:r>
      <w:r>
        <w:rPr>
          <w:rFonts w:ascii="宋体" w:eastAsia="宋体" w:cs="宋体" w:hAnsi="宋体" w:hint="eastAsia"/>
          <w:color w:val="auto"/>
          <w:kern w:val="0"/>
          <w:sz w:val="28"/>
          <w:szCs w:val="28"/>
          <w:lang w:eastAsia="zh-CN"/>
        </w:rPr>
        <w:t>用地相对较为集中。</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10组</w:t>
      </w:r>
      <w:r>
        <w:rPr>
          <w:rFonts w:ascii="宋体" w:eastAsia="宋体" w:cs="宋体" w:hAnsi="宋体" w:hint="eastAsia"/>
          <w:color w:val="auto"/>
          <w:kern w:val="0"/>
          <w:sz w:val="28"/>
          <w:szCs w:val="28"/>
          <w:lang w:eastAsia="zh-CN"/>
        </w:rPr>
        <w:t>风电机组用地面积共</w:t>
      </w:r>
      <w:r>
        <w:rPr>
          <w:rFonts w:ascii="宋体" w:eastAsia="宋体" w:cs="宋体" w:hAnsi="宋体" w:hint="eastAsia"/>
          <w:color w:val="auto"/>
          <w:kern w:val="0"/>
          <w:sz w:val="28"/>
          <w:szCs w:val="28"/>
          <w:lang w:val="en-US" w:eastAsia="zh-CN"/>
        </w:rPr>
        <w:t>4410.00平方米，</w:t>
      </w:r>
      <w:r>
        <w:rPr>
          <w:rFonts w:ascii="宋体" w:eastAsia="宋体" w:cs="宋体" w:hAnsi="宋体" w:hint="eastAsia"/>
          <w:color w:val="auto"/>
          <w:kern w:val="0"/>
          <w:sz w:val="28"/>
          <w:szCs w:val="28"/>
          <w:lang w:eastAsia="zh-CN"/>
        </w:rPr>
        <w:t>每组风电机组用地面积</w:t>
      </w:r>
      <w:r>
        <w:rPr>
          <w:rFonts w:ascii="宋体" w:eastAsia="宋体" w:cs="宋体" w:hAnsi="宋体" w:hint="eastAsia"/>
          <w:color w:val="auto"/>
          <w:kern w:val="0"/>
          <w:sz w:val="28"/>
          <w:szCs w:val="28"/>
          <w:lang w:val="en-US" w:eastAsia="zh-CN"/>
        </w:rPr>
        <w:t>441.00平方米，地块形状呈正方形，用地内主要布置1台</w:t>
      </w:r>
      <w:r>
        <w:rPr>
          <w:rFonts w:ascii="宋体" w:eastAsia="宋体" w:cs="宋体" w:hAnsi="宋体" w:hint="eastAsia"/>
          <w:color w:val="auto"/>
          <w:kern w:val="0"/>
          <w:sz w:val="28"/>
          <w:szCs w:val="28"/>
          <w:lang w:eastAsia="zh-CN"/>
        </w:rPr>
        <w:t>风机和</w:t>
      </w:r>
      <w:r>
        <w:rPr>
          <w:rFonts w:ascii="宋体" w:eastAsia="宋体" w:cs="宋体" w:hAnsi="宋体" w:hint="eastAsia"/>
          <w:color w:val="auto"/>
          <w:kern w:val="0"/>
          <w:sz w:val="28"/>
          <w:szCs w:val="28"/>
          <w:lang w:val="en-US" w:eastAsia="zh-CN"/>
        </w:rPr>
        <w:t>1台箱式变压器。</w:t>
      </w:r>
    </w:p>
    <w:p>
      <w:pPr>
        <w:pStyle w:val="15"/>
        <w:ind w:firstLineChars="200" w:firstLine="560"/>
        <w:rPr>
          <w:rFonts w:hint="eastAsia"/>
          <w:color w:val="auto"/>
          <w:lang w:eastAsia="zh-CN"/>
        </w:rPr>
      </w:pPr>
      <w:r>
        <w:rPr>
          <w:rFonts w:ascii="宋体" w:eastAsia="宋体" w:cs="宋体" w:hAnsi="宋体" w:hint="eastAsia"/>
          <w:color w:val="auto"/>
          <w:kern w:val="0"/>
          <w:sz w:val="28"/>
          <w:szCs w:val="28"/>
          <w:lang w:eastAsia="zh-CN"/>
        </w:rPr>
        <w:t>本工程风力发电机与箱式变</w:t>
      </w:r>
      <w:r>
        <w:rPr>
          <w:rFonts w:cs="宋体" w:hAnsi="宋体" w:hint="eastAsia"/>
          <w:color w:val="auto"/>
          <w:kern w:val="0"/>
          <w:sz w:val="28"/>
          <w:szCs w:val="28"/>
          <w:lang w:eastAsia="zh-CN"/>
        </w:rPr>
        <w:t>压器</w:t>
      </w:r>
      <w:r>
        <w:rPr>
          <w:rFonts w:ascii="宋体" w:eastAsia="宋体" w:cs="宋体" w:hAnsi="宋体" w:hint="eastAsia"/>
          <w:color w:val="auto"/>
          <w:kern w:val="0"/>
          <w:sz w:val="28"/>
          <w:szCs w:val="28"/>
          <w:lang w:eastAsia="zh-CN"/>
        </w:rPr>
        <w:t>组合方式采用一机一变方案，即每台风机配备一台箱式变电站，布置于风机基础电缆埋管的出线侧。各风电机组</w:t>
      </w:r>
      <w:r>
        <w:rPr>
          <w:rFonts w:cs="宋体" w:hAnsi="宋体" w:hint="eastAsia"/>
          <w:color w:val="auto"/>
          <w:kern w:val="0"/>
          <w:sz w:val="28"/>
          <w:szCs w:val="28"/>
          <w:lang w:eastAsia="zh-CN"/>
        </w:rPr>
        <w:t>通过</w:t>
      </w:r>
      <w:r>
        <w:rPr>
          <w:rFonts w:ascii="宋体" w:eastAsia="宋体" w:cs="宋体" w:hAnsi="宋体" w:hint="eastAsia"/>
          <w:color w:val="auto"/>
          <w:kern w:val="0"/>
          <w:sz w:val="28"/>
          <w:szCs w:val="28"/>
          <w:lang w:eastAsia="zh-CN"/>
        </w:rPr>
        <w:t>集电线路接入</w:t>
      </w:r>
      <w:r>
        <w:rPr>
          <w:rFonts w:cs="宋体" w:hAnsi="宋体" w:hint="eastAsia"/>
          <w:color w:val="auto"/>
          <w:kern w:val="0"/>
          <w:sz w:val="28"/>
          <w:szCs w:val="28"/>
          <w:lang w:eastAsia="zh-CN"/>
        </w:rPr>
        <w:t>开关站和储能站用地</w:t>
      </w:r>
      <w:r>
        <w:rPr>
          <w:rFonts w:ascii="宋体" w:eastAsia="宋体" w:cs="宋体" w:hAnsi="宋体" w:hint="eastAsia"/>
          <w:color w:val="auto"/>
          <w:kern w:val="0"/>
          <w:sz w:val="28"/>
          <w:szCs w:val="28"/>
          <w:lang w:eastAsia="zh-CN"/>
        </w:rPr>
        <w:t>。从</w:t>
      </w:r>
      <w:r>
        <w:rPr>
          <w:rFonts w:cs="宋体" w:hAnsi="宋体" w:hint="eastAsia"/>
          <w:color w:val="auto"/>
          <w:kern w:val="0"/>
          <w:sz w:val="28"/>
          <w:szCs w:val="28"/>
          <w:lang w:eastAsia="zh-CN"/>
        </w:rPr>
        <w:t>开关站</w:t>
      </w:r>
      <w:r>
        <w:rPr>
          <w:rFonts w:ascii="宋体" w:eastAsia="宋体" w:cs="宋体" w:hAnsi="宋体" w:hint="eastAsia"/>
          <w:color w:val="auto"/>
          <w:kern w:val="0"/>
          <w:sz w:val="28"/>
          <w:szCs w:val="28"/>
          <w:lang w:eastAsia="zh-CN"/>
        </w:rPr>
        <w:t>以</w:t>
      </w:r>
      <w:r>
        <w:rPr>
          <w:rFonts w:cs="宋体" w:hAnsi="宋体" w:hint="eastAsia"/>
          <w:color w:val="auto"/>
          <w:kern w:val="0"/>
          <w:sz w:val="28"/>
          <w:szCs w:val="28"/>
          <w:lang w:val="en-US" w:eastAsia="zh-CN"/>
        </w:rPr>
        <w:t>35</w:t>
      </w:r>
      <w:r>
        <w:rPr>
          <w:rFonts w:cs="宋体" w:hAnsi="宋体" w:hint="eastAsia"/>
          <w:color w:val="auto"/>
          <w:kern w:val="0"/>
          <w:sz w:val="28"/>
          <w:szCs w:val="28"/>
          <w:lang w:eastAsia="zh-CN"/>
        </w:rPr>
        <w:t>kV</w:t>
      </w:r>
      <w:r>
        <w:rPr>
          <w:rFonts w:ascii="宋体" w:eastAsia="宋体" w:cs="宋体" w:hAnsi="宋体" w:hint="eastAsia"/>
          <w:color w:val="auto"/>
          <w:kern w:val="0"/>
          <w:sz w:val="28"/>
          <w:szCs w:val="28"/>
          <w:lang w:eastAsia="zh-CN"/>
        </w:rPr>
        <w:t>等级电压接入电网系统</w:t>
      </w:r>
      <w:r>
        <w:rPr>
          <w:rFonts w:cs="宋体" w:hAnsi="宋体" w:hint="eastAsia"/>
          <w:color w:val="auto"/>
          <w:kern w:val="0"/>
          <w:sz w:val="28"/>
          <w:szCs w:val="28"/>
          <w:lang w:eastAsia="zh-CN"/>
        </w:rPr>
        <w:t>。</w:t>
      </w:r>
    </w:p>
    <w:p>
      <w:pPr>
        <w:widowControl/>
        <w:spacing w:before="4" w:line="360" w:lineRule="auto"/>
        <w:ind w:left="118" w:right="351" w:firstLineChars="200" w:firstLine="560"/>
        <w:jc w:val="left"/>
        <w:rPr>
          <w:rFonts w:hint="eastAsia"/>
          <w:color w:val="auto"/>
          <w:lang w:eastAsia="zh-CN"/>
        </w:rPr>
      </w:pP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开关站、储能站用地布局</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hint="eastAsia"/>
          <w:color w:val="auto"/>
          <w:sz w:val="28"/>
          <w:szCs w:val="28"/>
          <w:lang w:eastAsia="zh-CN"/>
        </w:rPr>
        <w:t>参照</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开关站与城镇的距离＜</w:t>
      </w:r>
      <w:r>
        <w:rPr>
          <w:rFonts w:ascii="宋体" w:eastAsia="宋体" w:cs="宋体" w:hAnsi="宋体" w:hint="eastAsia"/>
          <w:color w:val="auto"/>
          <w:kern w:val="0"/>
          <w:sz w:val="28"/>
          <w:szCs w:val="28"/>
          <w:lang w:val="en-US" w:eastAsia="zh-CN"/>
        </w:rPr>
        <w:t>10km，不单独设置生活服务设施。</w:t>
      </w:r>
      <w:r>
        <w:rPr>
          <w:rFonts w:ascii="宋体" w:eastAsia="宋体" w:cs="宋体" w:hAnsi="宋体" w:hint="eastAsia"/>
          <w:color w:val="auto"/>
          <w:kern w:val="0"/>
          <w:sz w:val="28"/>
          <w:szCs w:val="28"/>
          <w:lang w:eastAsia="zh-CN"/>
        </w:rPr>
        <w:t>本风电场</w:t>
      </w:r>
      <w:r>
        <w:rPr>
          <w:rFonts w:hint="eastAsia"/>
          <w:color w:val="auto"/>
          <w:kern w:val="0"/>
          <w:sz w:val="28"/>
          <w:szCs w:val="28"/>
          <w:lang w:val="en-US"/>
        </w:rPr>
        <w:t>距离大垌镇约4 公里，距那蒙镇约3.3 公里</w:t>
      </w:r>
      <w:r>
        <w:rPr>
          <w:rFonts w:hint="eastAsia"/>
          <w:color w:val="auto"/>
          <w:kern w:val="0"/>
          <w:sz w:val="28"/>
          <w:szCs w:val="28"/>
          <w:lang w:val="en-US" w:eastAsia="zh-CN"/>
        </w:rPr>
        <w:t>，</w:t>
      </w:r>
      <w:r>
        <w:rPr>
          <w:rFonts w:ascii="宋体" w:eastAsia="宋体" w:cs="宋体" w:hAnsi="宋体" w:hint="eastAsia"/>
          <w:color w:val="auto"/>
          <w:kern w:val="0"/>
          <w:sz w:val="28"/>
          <w:szCs w:val="28"/>
          <w:lang w:eastAsia="zh-CN"/>
        </w:rPr>
        <w:t>项目根据实际建设需要，主要在</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开关站地块内布置生产建筑和</w:t>
      </w:r>
      <w:r>
        <w:rPr>
          <w:rFonts w:ascii="宋体" w:eastAsia="宋体" w:cs="宋体" w:hAnsi="宋体" w:hint="eastAsia"/>
          <w:color w:val="auto"/>
          <w:kern w:val="0"/>
          <w:sz w:val="28"/>
          <w:szCs w:val="28"/>
          <w:lang w:val="en-US" w:eastAsia="zh-CN"/>
        </w:rPr>
        <w:t>电气配电装置，</w:t>
      </w:r>
      <w:r>
        <w:rPr>
          <w:rFonts w:ascii="宋体" w:eastAsia="宋体" w:cs="宋体" w:hAnsi="宋体" w:hint="eastAsia"/>
          <w:color w:val="auto"/>
          <w:kern w:val="0"/>
          <w:sz w:val="28"/>
          <w:szCs w:val="28"/>
          <w:lang w:eastAsia="zh-CN"/>
        </w:rPr>
        <w:t>储能站地块内</w:t>
      </w:r>
      <w:r>
        <w:rPr>
          <w:rFonts w:ascii="宋体" w:eastAsia="宋体" w:cs="宋体" w:hAnsi="宋体" w:hint="eastAsia"/>
          <w:color w:val="auto"/>
          <w:kern w:val="0"/>
          <w:sz w:val="28"/>
          <w:szCs w:val="28"/>
          <w:lang w:val="en-US" w:eastAsia="zh-CN"/>
        </w:rPr>
        <w:t>布置储能建筑及配套设备。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本项目规划的开关站电压等级为</w:t>
      </w:r>
      <w:r>
        <w:rPr>
          <w:rFonts w:ascii="宋体" w:eastAsia="宋体" w:cs="宋体" w:hAnsi="宋体" w:hint="eastAsia"/>
          <w:color w:val="auto"/>
          <w:kern w:val="0"/>
          <w:sz w:val="28"/>
          <w:szCs w:val="28"/>
          <w:lang w:val="en-US" w:eastAsia="zh-CN"/>
        </w:rPr>
        <w:t>35</w:t>
      </w:r>
      <w:r>
        <w:rPr>
          <w:rFonts w:ascii="宋体" w:eastAsia="宋体" w:cs="宋体" w:hAnsi="宋体" w:hint="eastAsia"/>
          <w:color w:val="auto"/>
          <w:kern w:val="0"/>
          <w:sz w:val="28"/>
          <w:szCs w:val="28"/>
          <w:lang w:eastAsia="zh-CN"/>
        </w:rPr>
        <w:t>kV，为整个风电场的控制中心，规划范围面积为</w:t>
      </w:r>
      <w:r>
        <w:rPr>
          <w:rFonts w:ascii="宋体" w:eastAsia="宋体" w:cs="宋体" w:hAnsi="宋体" w:hint="eastAsia"/>
          <w:color w:val="auto"/>
          <w:kern w:val="0"/>
          <w:sz w:val="28"/>
          <w:szCs w:val="28"/>
          <w:lang w:val="en-US" w:eastAsia="zh-CN"/>
        </w:rPr>
        <w:t>1273.51平方米</w:t>
      </w:r>
      <w:r>
        <w:rPr>
          <w:rFonts w:ascii="宋体" w:eastAsia="宋体" w:cs="宋体" w:hAnsi="宋体" w:hint="eastAsia"/>
          <w:color w:val="auto"/>
          <w:kern w:val="0"/>
          <w:sz w:val="28"/>
          <w:szCs w:val="28"/>
          <w:lang w:eastAsia="zh-CN"/>
        </w:rPr>
        <w:t>；规划的储能站为风电场的电能储备中心，规划范围面积为</w:t>
      </w:r>
      <w:r>
        <w:rPr>
          <w:rFonts w:ascii="宋体" w:eastAsia="宋体" w:cs="宋体" w:hAnsi="宋体" w:hint="eastAsia"/>
          <w:color w:val="auto"/>
          <w:kern w:val="0"/>
          <w:sz w:val="28"/>
          <w:szCs w:val="28"/>
          <w:lang w:val="en-US" w:eastAsia="zh-CN"/>
        </w:rPr>
        <w:t>997.49平方米</w:t>
      </w:r>
      <w:r>
        <w:rPr>
          <w:rFonts w:ascii="宋体" w:eastAsia="宋体" w:cs="宋体" w:hAnsi="宋体" w:hint="eastAsia"/>
          <w:color w:val="auto"/>
          <w:kern w:val="0"/>
          <w:sz w:val="28"/>
          <w:szCs w:val="28"/>
          <w:lang w:eastAsia="zh-CN"/>
        </w:rPr>
        <w:t>。开关站和储能站平面上均呈类矩形布置，南北偏东朝向</w:t>
      </w:r>
      <w:r>
        <w:rPr>
          <w:rFonts w:ascii="宋体" w:eastAsia="宋体" w:cs="宋体" w:hAnsi="宋体" w:hint="eastAsia"/>
          <w:color w:val="auto"/>
          <w:kern w:val="0"/>
          <w:sz w:val="28"/>
          <w:szCs w:val="28"/>
          <w:lang w:val="en-US" w:eastAsia="zh-CN"/>
        </w:rPr>
        <w:t>。两站内主要规划布局</w:t>
      </w:r>
      <w:r>
        <w:rPr>
          <w:rFonts w:ascii="宋体" w:eastAsia="宋体" w:cs="宋体" w:hAnsi="宋体" w:hint="eastAsia"/>
          <w:color w:val="auto"/>
          <w:kern w:val="0"/>
          <w:sz w:val="28"/>
          <w:szCs w:val="28"/>
          <w:lang w:eastAsia="zh-CN"/>
        </w:rPr>
        <w:t>生产</w:t>
      </w:r>
      <w:r>
        <w:rPr>
          <w:rFonts w:ascii="宋体" w:eastAsia="宋体" w:cs="宋体" w:hAnsi="宋体" w:hint="eastAsia"/>
          <w:color w:val="auto"/>
          <w:kern w:val="0"/>
          <w:sz w:val="28"/>
          <w:szCs w:val="28"/>
          <w:lang w:val="en-US" w:eastAsia="zh-CN"/>
        </w:rPr>
        <w:t>用地、站内道路用地、绿地等建设用地。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生产</w:t>
      </w:r>
      <w:r>
        <w:rPr>
          <w:rFonts w:ascii="宋体" w:eastAsia="宋体" w:cs="宋体" w:hAnsi="宋体" w:hint="eastAsia"/>
          <w:color w:val="auto"/>
          <w:kern w:val="0"/>
          <w:sz w:val="28"/>
          <w:szCs w:val="28"/>
          <w:lang w:val="en-US" w:eastAsia="zh-CN"/>
        </w:rPr>
        <w:t>用地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开关站和储能站生产</w:t>
      </w:r>
      <w:r>
        <w:rPr>
          <w:rFonts w:ascii="宋体" w:eastAsia="宋体" w:cs="宋体" w:hAnsi="宋体" w:hint="eastAsia"/>
          <w:color w:val="auto"/>
          <w:kern w:val="0"/>
          <w:sz w:val="28"/>
          <w:szCs w:val="28"/>
          <w:lang w:val="en-US" w:eastAsia="zh-CN"/>
        </w:rPr>
        <w:t>用地主要包括生产建筑用地和辅助生产建筑用地。开关站生产建筑用地包括35kV设备预制舱、SVG成套设备、配电室及接地变兼站用变模块用地等；</w:t>
      </w:r>
      <w:r>
        <w:rPr>
          <w:rFonts w:ascii="宋体" w:eastAsia="宋体" w:cs="宋体" w:hAnsi="宋体" w:hint="eastAsia"/>
          <w:color w:val="auto"/>
          <w:kern w:val="0"/>
          <w:sz w:val="28"/>
          <w:szCs w:val="28"/>
          <w:lang w:eastAsia="zh-CN"/>
        </w:rPr>
        <w:t>储能站</w:t>
      </w:r>
      <w:r>
        <w:rPr>
          <w:rFonts w:ascii="宋体" w:eastAsia="宋体" w:cs="宋体" w:hAnsi="宋体" w:hint="eastAsia"/>
          <w:color w:val="auto"/>
          <w:kern w:val="0"/>
          <w:sz w:val="28"/>
          <w:szCs w:val="28"/>
          <w:lang w:val="en-US" w:eastAsia="zh-CN"/>
        </w:rPr>
        <w:t>生产建筑用地包括储能电池集装箱设备、升压变流设备用地等。辅助生产建筑用地包括消防水箱、集水池、电缆廊道、道路及绿化等用地。</w:t>
      </w:r>
    </w:p>
    <w:p>
      <w:pPr>
        <w:widowControl/>
        <w:spacing w:before="4" w:line="360" w:lineRule="auto"/>
        <w:ind w:right="351"/>
        <w:jc w:val="center"/>
        <w:rPr>
          <w:rFonts w:hint="eastAsia"/>
          <w:color w:val="auto"/>
          <w:lang w:eastAsia="zh-CN"/>
        </w:rPr>
      </w:pPr>
      <w:r>
        <w:rPr>
          <w:rFonts w:ascii="宋体" w:eastAsia="宋体" w:cs="宋体" w:hAnsi="宋体" w:hint="eastAsia"/>
          <w:color w:val="auto"/>
          <w:kern w:val="0"/>
          <w:sz w:val="28"/>
          <w:szCs w:val="28"/>
          <w:lang w:val="en-US" w:eastAsia="zh-CN"/>
        </w:rPr>
        <w:drawing>
          <wp:inline distT="0" distB="0" distL="114300" distR="114300">
            <wp:extent cx="5408930" cy="3585209"/>
            <wp:effectExtent l="0" t="0" r="44" b="41"/>
            <wp:docPr id="49" name="图片 7" descr="SF-F202300598S-D0101 开关站扩建总的部分8.1 3"/>
            <wp:cNvGraphicFramePr>
              <a:graphicFrameLocks noChangeAspect="1"/>
            </wp:cNvGraphicFramePr>
            <a:graphic>
              <a:graphicData uri="http://schemas.openxmlformats.org/drawingml/2006/picture">
                <pic:pic>
                  <pic:nvPicPr>
                    <pic:cNvPr id="50" name="图片 7 50"/>
                    <pic:cNvPicPr/>
                  </pic:nvPicPr>
                  <pic:blipFill>
                    <a:blip r:embed="rId19"/>
                    <a:stretch>
                      <a:fillRect/>
                    </a:stretch>
                  </pic:blipFill>
                  <pic:spPr>
                    <a:xfrm rot="0">
                      <a:off x="0" y="0"/>
                      <a:ext cx="5408930" cy="3585209"/>
                    </a:xfrm>
                    <a:prstGeom prst="rect"/>
                    <a:noFill/>
                    <a:ln w="9525" cmpd="sng" cap="flat">
                      <a:noFill/>
                      <a:prstDash val="solid"/>
                      <a:miter/>
                    </a:ln>
                  </pic:spPr>
                </pic:pic>
              </a:graphicData>
            </a:graphic>
          </wp:inline>
        </w:drawing>
      </w:r>
      <w:r>
        <w:rPr>
          <w:rFonts w:ascii="宋体" w:eastAsia="宋体" w:cs="宋体" w:hAnsi="宋体" w:hint="eastAsia"/>
          <w:b/>
          <w:bCs/>
          <w:color w:val="auto"/>
          <w:kern w:val="0"/>
          <w:sz w:val="24"/>
          <w:szCs w:val="24"/>
          <w:lang w:val="en-US" w:eastAsia="zh-CN"/>
        </w:rPr>
        <w:t>35kV</w:t>
      </w:r>
      <w:r>
        <w:rPr>
          <w:rFonts w:hint="eastAsia"/>
          <w:b/>
          <w:bCs/>
          <w:color w:val="auto"/>
          <w:sz w:val="24"/>
          <w:lang w:eastAsia="zh-CN"/>
        </w:rPr>
        <w:t>开关站平面布局示意图</w:t>
      </w:r>
    </w:p>
    <w:p>
      <w:pPr>
        <w:widowControl/>
        <w:spacing w:before="4" w:line="360" w:lineRule="auto"/>
        <w:ind w:right="351"/>
        <w:jc w:val="center"/>
        <w:rPr>
          <w:rFonts w:ascii="宋体" w:eastAsia="宋体" w:cs="宋体" w:hAnsi="宋体" w:hint="eastAsia"/>
          <w:color w:val="auto"/>
          <w:kern w:val="0"/>
          <w:sz w:val="28"/>
          <w:szCs w:val="28"/>
          <w:lang w:val="en-US" w:eastAsia="zh-CN"/>
        </w:rPr>
      </w:pPr>
      <w:r>
        <w:rPr>
          <w:rFonts w:hint="eastAsia"/>
          <w:b/>
          <w:bCs/>
          <w:color w:val="auto"/>
          <w:sz w:val="24"/>
          <w:lang w:eastAsia="zh-CN"/>
        </w:rPr>
        <w:drawing>
          <wp:inline distT="0" distB="0" distL="114300" distR="114300">
            <wp:extent cx="5273675" cy="3361055"/>
            <wp:effectExtent l="0" t="0" r="46" b="20"/>
            <wp:docPr id="51" name="图片 19" descr="E:/00王麒麟项目/王麒麟钦州低风速二期分散式风电场工程项目独立地块控制性详细规划2025.04/低风速插图/TT0108站区消防图 2.pngTT0108站区消防图 2"/>
            <wp:cNvGraphicFramePr>
              <a:graphicFrameLocks noChangeAspect="1"/>
            </wp:cNvGraphicFramePr>
            <a:graphic>
              <a:graphicData uri="http://schemas.openxmlformats.org/drawingml/2006/picture">
                <pic:pic>
                  <pic:nvPicPr>
                    <pic:cNvPr id="52" name="图片 19 52"/>
                    <pic:cNvPicPr/>
                  </pic:nvPicPr>
                  <pic:blipFill>
                    <a:blip r:embed="rId20"/>
                    <a:srcRect t="6" b="6"/>
                    <a:stretch>
                      <a:fillRect/>
                    </a:stretch>
                  </pic:blipFill>
                  <pic:spPr>
                    <a:xfrm rot="0">
                      <a:off x="0" y="0"/>
                      <a:ext cx="5273675" cy="3361055"/>
                    </a:xfrm>
                    <a:prstGeom prst="rect"/>
                    <a:noFill/>
                    <a:ln w="9525" cmpd="sng" cap="flat">
                      <a:noFill/>
                      <a:prstDash val="solid"/>
                      <a:miter/>
                    </a:ln>
                  </pic:spPr>
                </pic:pic>
              </a:graphicData>
            </a:graphic>
          </wp:inline>
        </w:drawing>
      </w:r>
      <w:r>
        <w:rPr>
          <w:rFonts w:hint="eastAsia"/>
          <w:b/>
          <w:bCs/>
          <w:color w:val="auto"/>
          <w:sz w:val="24"/>
          <w:lang w:eastAsia="zh-CN"/>
        </w:rPr>
        <w:t>储能站平面布局示意图</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2）站内</w:t>
      </w:r>
      <w:r>
        <w:rPr>
          <w:rFonts w:ascii="宋体" w:eastAsia="宋体" w:cs="宋体" w:hAnsi="宋体" w:hint="eastAsia"/>
          <w:color w:val="auto"/>
          <w:kern w:val="0"/>
          <w:sz w:val="28"/>
          <w:szCs w:val="28"/>
          <w:lang w:eastAsia="zh-CN"/>
        </w:rPr>
        <w:t>道路</w:t>
      </w:r>
      <w:r>
        <w:rPr>
          <w:rFonts w:ascii="宋体" w:eastAsia="宋体" w:cs="宋体" w:hAnsi="宋体" w:hint="eastAsia"/>
          <w:color w:val="auto"/>
          <w:kern w:val="0"/>
          <w:sz w:val="28"/>
          <w:szCs w:val="28"/>
          <w:lang w:val="en-US" w:eastAsia="zh-CN"/>
        </w:rPr>
        <w:t>用地</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开关站和储能站内道路布置除满足运行、检修、设备安装要求外，还应符合安全、消防、节约用地的有关规定</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站内道路宜采用混凝土路面或沥青路面，出入口宽度和主干道</w:t>
      </w:r>
      <w:r>
        <w:rPr>
          <w:rFonts w:ascii="宋体" w:eastAsia="宋体" w:cs="宋体" w:hAnsi="宋体" w:hint="eastAsia"/>
          <w:color w:val="auto"/>
          <w:kern w:val="0"/>
          <w:sz w:val="28"/>
          <w:szCs w:val="28"/>
        </w:rPr>
        <w:t>红线宽度</w:t>
      </w:r>
      <w:r>
        <w:rPr>
          <w:rFonts w:ascii="宋体" w:eastAsia="宋体" w:cs="宋体" w:hAnsi="宋体" w:hint="eastAsia"/>
          <w:color w:val="auto"/>
          <w:kern w:val="0"/>
          <w:sz w:val="28"/>
          <w:szCs w:val="28"/>
          <w:lang w:eastAsia="zh-CN"/>
        </w:rPr>
        <w:t>不宜小于</w:t>
      </w:r>
      <w:r>
        <w:rPr>
          <w:rFonts w:ascii="宋体" w:eastAsia="宋体" w:cs="宋体" w:hAnsi="宋体" w:hint="eastAsia"/>
          <w:color w:val="auto"/>
          <w:kern w:val="0"/>
          <w:sz w:val="28"/>
          <w:szCs w:val="28"/>
        </w:rPr>
        <w:t>4米</w:t>
      </w:r>
      <w:r>
        <w:rPr>
          <w:rFonts w:ascii="宋体" w:eastAsia="宋体" w:cs="宋体" w:hAnsi="宋体" w:hint="eastAsia"/>
          <w:color w:val="auto"/>
          <w:kern w:val="0"/>
          <w:sz w:val="28"/>
          <w:szCs w:val="28"/>
          <w:lang w:eastAsia="zh-CN"/>
        </w:rPr>
        <w:t>，达到消防车通行、大型施工车辆运行、检修等方面的要求，站内支路红线宽度规划为</w:t>
      </w:r>
      <w:r>
        <w:rPr>
          <w:rFonts w:ascii="宋体" w:eastAsia="宋体" w:cs="宋体" w:hAnsi="宋体" w:hint="eastAsia"/>
          <w:color w:val="auto"/>
          <w:kern w:val="0"/>
          <w:sz w:val="28"/>
          <w:szCs w:val="28"/>
          <w:lang w:val="en-US" w:eastAsia="zh-CN"/>
        </w:rPr>
        <w:t>2.5～3米，满足一般车辆和行人的需求。</w:t>
      </w:r>
    </w:p>
    <w:p>
      <w:pPr>
        <w:widowControl/>
        <w:autoSpaceDE w:val="0"/>
        <w:autoSpaceDN w:val="0"/>
        <w:spacing w:before="4" w:line="360" w:lineRule="auto"/>
        <w:ind w:left="118" w:right="351" w:firstLineChars="200" w:firstLine="560"/>
        <w:jc w:val="left"/>
        <w:rPr>
          <w:color w:val="auto"/>
          <w:kern w:val="0"/>
          <w:sz w:val="28"/>
          <w:szCs w:val="28"/>
          <w:lang w:val="en-US"/>
        </w:rPr>
      </w:pPr>
      <w:r>
        <w:rPr>
          <w:rFonts w:ascii="宋体" w:eastAsia="宋体" w:cs="宋体" w:hAnsi="宋体" w:hint="eastAsia"/>
          <w:color w:val="auto"/>
          <w:kern w:val="0"/>
          <w:sz w:val="28"/>
          <w:szCs w:val="28"/>
          <w:lang w:val="en-US" w:eastAsia="zh-CN"/>
        </w:rPr>
        <w:t>3）绿地</w:t>
      </w:r>
    </w:p>
    <w:p>
      <w:pPr>
        <w:pStyle w:val="18"/>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在开关站</w:t>
      </w:r>
      <w:r>
        <w:rPr>
          <w:rFonts w:cs="宋体" w:hint="eastAsia"/>
          <w:color w:val="auto"/>
          <w:kern w:val="0"/>
          <w:sz w:val="28"/>
          <w:szCs w:val="28"/>
          <w:lang w:eastAsia="zh-CN"/>
        </w:rPr>
        <w:t>、储能站排水沟渠和</w:t>
      </w:r>
      <w:r>
        <w:rPr>
          <w:rFonts w:hint="eastAsia"/>
          <w:color w:val="auto"/>
          <w:kern w:val="0"/>
          <w:sz w:val="28"/>
          <w:szCs w:val="28"/>
          <w:lang w:val="en-US"/>
        </w:rPr>
        <w:t>道路周围</w:t>
      </w:r>
      <w:r>
        <w:rPr>
          <w:rFonts w:hint="eastAsia"/>
          <w:color w:val="auto"/>
          <w:kern w:val="0"/>
          <w:sz w:val="28"/>
          <w:szCs w:val="28"/>
          <w:lang w:val="en-US" w:eastAsia="zh-CN"/>
        </w:rPr>
        <w:t>以及</w:t>
      </w:r>
      <w:r>
        <w:rPr>
          <w:rFonts w:hint="eastAsia"/>
          <w:color w:val="auto"/>
          <w:kern w:val="0"/>
          <w:sz w:val="28"/>
          <w:szCs w:val="28"/>
          <w:lang w:val="en-US"/>
        </w:rPr>
        <w:t>站内未利用空地可根据实际需要规划种植适应本地区气候条件的耐旱灌木及花草进行绿化和美化</w:t>
      </w:r>
      <w:r>
        <w:rPr>
          <w:rFonts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3" w:name="_Toc443"/>
      <w:r>
        <w:rPr>
          <w:rFonts w:ascii="宋体" w:eastAsia="宋体" w:cs="宋体" w:hAnsi="宋体" w:hint="eastAsia"/>
          <w:bCs/>
          <w:color w:val="auto"/>
          <w:sz w:val="32"/>
          <w:szCs w:val="32"/>
          <w:lang w:val="en-US" w:eastAsia="zh-CN"/>
        </w:rPr>
        <w:t>3.4用地规划与相邻区域关系</w:t>
      </w:r>
      <w:bookmarkEnd w:id="43"/>
    </w:p>
    <w:p>
      <w:pPr>
        <w:pStyle w:val="18"/>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（1）对相邻区域的影响</w:t>
      </w:r>
    </w:p>
    <w:p>
      <w:pPr>
        <w:pStyle w:val="18"/>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钦州低风速二期分散式风电场工程位于钦北区大垌镇和那蒙镇行政交界山脊区域，项目用地范围内</w:t>
      </w:r>
      <w:r>
        <w:rPr>
          <w:rFonts w:hint="eastAsia"/>
          <w:color w:val="auto"/>
          <w:kern w:val="0"/>
          <w:sz w:val="28"/>
          <w:szCs w:val="28"/>
          <w:lang w:val="en-US"/>
        </w:rPr>
        <w:t>不涉及</w:t>
      </w:r>
      <w:r>
        <w:rPr>
          <w:rFonts w:hint="eastAsia"/>
          <w:color w:val="auto"/>
          <w:kern w:val="0"/>
          <w:sz w:val="28"/>
          <w:szCs w:val="28"/>
          <w:lang w:val="en-US" w:eastAsia="zh-CN"/>
        </w:rPr>
        <w:t>占用</w:t>
      </w:r>
      <w:r>
        <w:rPr>
          <w:rFonts w:hint="eastAsia"/>
          <w:color w:val="auto"/>
          <w:kern w:val="0"/>
          <w:sz w:val="28"/>
          <w:szCs w:val="28"/>
          <w:lang w:val="en-US"/>
        </w:rPr>
        <w:t>基本农田</w:t>
      </w:r>
      <w:r>
        <w:rPr>
          <w:rFonts w:hint="eastAsia"/>
          <w:color w:val="auto"/>
          <w:kern w:val="0"/>
          <w:sz w:val="28"/>
          <w:szCs w:val="28"/>
          <w:lang w:val="en-US" w:eastAsia="zh-CN"/>
        </w:rPr>
        <w:t>和</w:t>
      </w:r>
      <w:r>
        <w:rPr>
          <w:rFonts w:hint="eastAsia"/>
          <w:color w:val="auto"/>
          <w:sz w:val="28"/>
          <w:szCs w:val="28"/>
          <w:lang w:val="en-US" w:eastAsia="zh-CN"/>
        </w:rPr>
        <w:t>生态保护红线，</w:t>
      </w:r>
      <w:r>
        <w:rPr>
          <w:rFonts w:hint="eastAsia"/>
          <w:color w:val="auto"/>
          <w:kern w:val="0"/>
          <w:sz w:val="28"/>
          <w:szCs w:val="28"/>
          <w:lang w:val="en-US" w:eastAsia="zh-CN"/>
        </w:rPr>
        <w:t>用地</w:t>
      </w:r>
      <w:r>
        <w:rPr>
          <w:rFonts w:hint="eastAsia"/>
          <w:color w:val="auto"/>
          <w:kern w:val="0"/>
          <w:sz w:val="28"/>
          <w:szCs w:val="28"/>
          <w:lang w:val="en-US"/>
        </w:rPr>
        <w:t>周边区域主要为林地、草地等</w:t>
      </w:r>
      <w:r>
        <w:rPr>
          <w:rFonts w:hint="eastAsia"/>
          <w:color w:val="auto"/>
          <w:kern w:val="0"/>
          <w:sz w:val="28"/>
          <w:szCs w:val="28"/>
          <w:lang w:val="en-US" w:eastAsia="zh-CN"/>
        </w:rPr>
        <w:t>。</w:t>
      </w:r>
      <w:r>
        <w:rPr>
          <w:rFonts w:hint="eastAsia"/>
          <w:color w:val="auto"/>
          <w:kern w:val="0"/>
          <w:sz w:val="28"/>
          <w:szCs w:val="28"/>
          <w:lang w:val="en-US"/>
        </w:rPr>
        <w:t>规划</w:t>
      </w:r>
      <w:r>
        <w:rPr>
          <w:rFonts w:hint="eastAsia"/>
          <w:color w:val="auto"/>
          <w:kern w:val="0"/>
          <w:sz w:val="28"/>
          <w:szCs w:val="28"/>
          <w:lang w:val="en-US" w:eastAsia="zh-CN"/>
        </w:rPr>
        <w:t>项目</w:t>
      </w:r>
      <w:r>
        <w:rPr>
          <w:rFonts w:hint="eastAsia"/>
          <w:color w:val="auto"/>
          <w:kern w:val="0"/>
          <w:sz w:val="28"/>
          <w:szCs w:val="28"/>
          <w:lang w:val="en-US"/>
        </w:rPr>
        <w:t>地块为供电用地，</w:t>
      </w:r>
      <w:r>
        <w:rPr>
          <w:rFonts w:hint="eastAsia"/>
          <w:color w:val="auto"/>
          <w:kern w:val="0"/>
          <w:sz w:val="28"/>
          <w:szCs w:val="28"/>
          <w:lang w:val="en-US" w:eastAsia="zh-CN"/>
        </w:rPr>
        <w:t>是</w:t>
      </w:r>
      <w:r>
        <w:rPr>
          <w:rFonts w:hint="eastAsia"/>
          <w:color w:val="auto"/>
          <w:kern w:val="0"/>
          <w:sz w:val="28"/>
          <w:szCs w:val="28"/>
          <w:lang w:val="en-US"/>
        </w:rPr>
        <w:t>建设节能环保</w:t>
      </w:r>
      <w:r>
        <w:rPr>
          <w:rFonts w:hint="eastAsia"/>
          <w:color w:val="auto"/>
          <w:kern w:val="0"/>
          <w:sz w:val="28"/>
          <w:szCs w:val="28"/>
          <w:lang w:val="en-US" w:eastAsia="zh-CN"/>
        </w:rPr>
        <w:t>、</w:t>
      </w:r>
      <w:r>
        <w:rPr>
          <w:rFonts w:hint="eastAsia"/>
          <w:color w:val="auto"/>
          <w:kern w:val="0"/>
          <w:sz w:val="28"/>
          <w:szCs w:val="28"/>
          <w:lang w:val="en-US"/>
        </w:rPr>
        <w:t>清洁的可再生能源项目</w:t>
      </w:r>
      <w:r>
        <w:rPr>
          <w:rFonts w:hint="eastAsia"/>
          <w:color w:val="auto"/>
          <w:kern w:val="0"/>
          <w:sz w:val="28"/>
          <w:szCs w:val="28"/>
          <w:lang w:val="en-US" w:eastAsia="zh-CN"/>
        </w:rPr>
        <w:t>。</w:t>
      </w:r>
    </w:p>
    <w:p>
      <w:pPr>
        <w:pStyle w:val="18"/>
        <w:autoSpaceDE w:val="0"/>
        <w:autoSpaceDN w:val="0"/>
        <w:spacing w:before="4" w:line="360" w:lineRule="auto"/>
        <w:ind w:right="351" w:firstLineChars="200" w:firstLine="560"/>
        <w:jc w:val="left"/>
        <w:rPr>
          <w:rFonts w:hint="eastAsia"/>
          <w:color w:val="auto"/>
          <w:kern w:val="0"/>
          <w:sz w:val="28"/>
          <w:szCs w:val="28"/>
          <w:lang w:val="en-US" w:eastAsia="zh-CN"/>
        </w:rPr>
      </w:pPr>
      <w:r>
        <w:rPr>
          <w:rFonts w:hint="eastAsia"/>
          <w:color w:val="auto"/>
          <w:kern w:val="0"/>
          <w:sz w:val="28"/>
          <w:szCs w:val="28"/>
          <w:lang w:val="en-US" w:eastAsia="zh-CN"/>
        </w:rPr>
        <w:t>项目用地与居民、工厂、企事业单位（点）距离较远，最近的风机位距离那于村约800m，35kV开关站距离那于村约950m，项目运行期送出线路及风电机组，风力发电机在设计时考虑了防磁、防辐射等要求，在选材时已将辐射降至最小；变电所及输电线路，根据国家环保总局颁布的《电磁辐射环境保护管理办法》中规定，远低于《作业场所工频电场卫生标准》(GB16203-1996)标准限值（作业场所工频电场8h 最高容许量为5kV/m）；同时对已建成风电场2km 范围内的居民及无线电设备进行了调查，结果表明风电场在运行过程中产生的电磁辐射对当地居民、无线电和电视等电器设备基本没有影响，本项目的建设及运行也不会产生电磁辐射扰民的环境问题，但应对场内的工作人员及电</w:t>
      </w:r>
      <w:r>
        <w:rPr>
          <w:color w:val="auto"/>
          <w:kern w:val="0"/>
          <w:sz w:val="28"/>
          <w:szCs w:val="28"/>
          <w:lang w:val="en-US" w:eastAsia="zh-CN"/>
        </w:rPr>
        <w:t>气</w:t>
      </w:r>
      <w:r>
        <w:rPr>
          <w:rFonts w:hint="eastAsia"/>
          <w:color w:val="auto"/>
          <w:kern w:val="0"/>
          <w:sz w:val="28"/>
          <w:szCs w:val="28"/>
          <w:lang w:val="en-US" w:eastAsia="zh-CN"/>
        </w:rPr>
        <w:t>设备采取相应的电磁辐射的防护措施。</w:t>
      </w:r>
    </w:p>
    <w:p>
      <w:pPr>
        <w:pStyle w:val="18"/>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（2）与对外交通的衔接</w:t>
      </w:r>
    </w:p>
    <w:p>
      <w:pPr>
        <w:pStyle w:val="18"/>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风电场</w:t>
      </w:r>
      <w:r>
        <w:rPr>
          <w:rFonts w:hint="eastAsia"/>
          <w:color w:val="auto"/>
          <w:kern w:val="0"/>
          <w:sz w:val="28"/>
          <w:szCs w:val="28"/>
          <w:lang w:val="en-US"/>
        </w:rPr>
        <w:t>场址位于钦北区大垌镇</w:t>
      </w:r>
      <w:r>
        <w:rPr>
          <w:rFonts w:hint="eastAsia"/>
          <w:color w:val="auto"/>
          <w:kern w:val="0"/>
          <w:sz w:val="28"/>
          <w:szCs w:val="28"/>
          <w:lang w:val="en-US" w:eastAsia="zh-CN"/>
        </w:rPr>
        <w:t>与那蒙镇行政</w:t>
      </w:r>
      <w:r>
        <w:rPr>
          <w:rFonts w:hint="eastAsia"/>
          <w:color w:val="auto"/>
          <w:kern w:val="0"/>
          <w:sz w:val="28"/>
          <w:szCs w:val="28"/>
          <w:lang w:val="en-US"/>
        </w:rPr>
        <w:t>交界处附近，</w:t>
      </w:r>
      <w:r>
        <w:rPr>
          <w:rFonts w:hint="eastAsia"/>
          <w:color w:val="auto"/>
          <w:kern w:val="0"/>
          <w:sz w:val="28"/>
          <w:szCs w:val="28"/>
          <w:lang w:val="en-US" w:eastAsia="zh-CN"/>
        </w:rPr>
        <w:t>根据已</w:t>
      </w:r>
      <w:r>
        <w:rPr>
          <w:color w:val="auto"/>
          <w:kern w:val="0"/>
          <w:sz w:val="28"/>
          <w:szCs w:val="28"/>
          <w:lang w:val="en-US" w:eastAsia="zh-CN"/>
        </w:rPr>
        <w:t>批准</w:t>
      </w:r>
      <w:r>
        <w:rPr>
          <w:rFonts w:hint="eastAsia"/>
          <w:color w:val="auto"/>
          <w:kern w:val="0"/>
          <w:sz w:val="28"/>
          <w:szCs w:val="28"/>
          <w:lang w:val="en-US" w:eastAsia="zh-CN"/>
        </w:rPr>
        <w:t>的衔接方案，项目用地范围与大垌镇道路规划图叠加分析，本项目不占用公路、道路等交通用地。风电场与对外交通的衔接主要为：</w:t>
      </w:r>
      <w:r>
        <w:rPr>
          <w:rFonts w:ascii="宋体" w:eastAsia="宋体" w:cs="宋体" w:hAnsi="宋体" w:hint="eastAsia"/>
          <w:color w:val="auto"/>
          <w:kern w:val="0"/>
          <w:sz w:val="28"/>
          <w:szCs w:val="28"/>
        </w:rPr>
        <w:t>由钦北区到风电场，交通路线为通过高速公路至钦北区，然后自国道G325 转乡道213 至风电场西部场址；自国道G325 转1㎞农村道路至风电场东部场址。在利用现有交通便道的基础上修建新的至各风机和</w:t>
      </w:r>
      <w:r>
        <w:rPr>
          <w:rFonts w:cs="宋体" w:hint="eastAsia"/>
          <w:color w:val="auto"/>
          <w:kern w:val="0"/>
          <w:sz w:val="28"/>
          <w:szCs w:val="28"/>
          <w:lang w:eastAsia="zh-CN"/>
        </w:rPr>
        <w:t>开关站</w:t>
      </w:r>
      <w:r>
        <w:rPr>
          <w:rFonts w:ascii="宋体" w:eastAsia="宋体" w:cs="宋体" w:hAnsi="宋体" w:hint="eastAsia"/>
          <w:color w:val="auto"/>
          <w:kern w:val="0"/>
          <w:sz w:val="28"/>
          <w:szCs w:val="28"/>
        </w:rPr>
        <w:t>及储能站的连接道路</w:t>
      </w:r>
      <w:r>
        <w:rPr>
          <w:rFonts w:hint="eastAsia"/>
          <w:color w:val="auto"/>
          <w:kern w:val="0"/>
          <w:sz w:val="28"/>
          <w:szCs w:val="28"/>
          <w:lang w:val="en-US" w:eastAsia="zh-CN"/>
        </w:rPr>
        <w:t>，尽可能</w:t>
      </w:r>
      <w:r>
        <w:rPr>
          <w:rFonts w:hint="eastAsia"/>
          <w:color w:val="auto"/>
          <w:kern w:val="0"/>
          <w:sz w:val="28"/>
          <w:szCs w:val="28"/>
          <w:lang w:val="en-US"/>
        </w:rPr>
        <w:t>减少对植被的破坏和节约投资</w:t>
      </w:r>
      <w:r>
        <w:rPr>
          <w:rFonts w:hint="eastAsia"/>
          <w:color w:val="auto"/>
          <w:kern w:val="0"/>
          <w:sz w:val="28"/>
          <w:szCs w:val="28"/>
          <w:lang w:val="en-US" w:eastAsia="zh-CN"/>
        </w:rPr>
        <w:t>。</w:t>
      </w:r>
      <w:r>
        <w:rPr>
          <w:rFonts w:hint="eastAsia"/>
          <w:color w:val="auto"/>
          <w:kern w:val="0"/>
          <w:sz w:val="28"/>
          <w:szCs w:val="28"/>
          <w:lang w:val="en-US"/>
        </w:rPr>
        <w:t>在风电场建成营运后，场区道路将作为</w:t>
      </w:r>
      <w:r>
        <w:rPr>
          <w:rFonts w:hint="eastAsia"/>
          <w:color w:val="auto"/>
          <w:kern w:val="0"/>
          <w:sz w:val="28"/>
          <w:szCs w:val="28"/>
          <w:lang w:val="en-US" w:eastAsia="zh-CN"/>
        </w:rPr>
        <w:t>公共道路和</w:t>
      </w:r>
      <w:r>
        <w:rPr>
          <w:rFonts w:hint="eastAsia"/>
          <w:color w:val="auto"/>
          <w:kern w:val="0"/>
          <w:sz w:val="28"/>
          <w:szCs w:val="28"/>
          <w:lang w:val="en-US"/>
        </w:rPr>
        <w:t>林业三产道路使用。</w:t>
      </w:r>
    </w:p>
    <w:p>
      <w:pPr>
        <w:pStyle w:val="18"/>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（3）与基础设施的衔接</w:t>
      </w:r>
    </w:p>
    <w:p>
      <w:pPr>
        <w:pStyle w:val="18"/>
        <w:autoSpaceDE w:val="0"/>
        <w:autoSpaceDN w:val="0"/>
        <w:spacing w:before="4" w:line="360" w:lineRule="auto"/>
        <w:ind w:right="351" w:firstLineChars="200" w:firstLine="560"/>
        <w:jc w:val="left"/>
        <w:rPr>
          <w:rFonts w:eastAsia="宋体" w:hint="eastAsia"/>
          <w:color w:val="auto"/>
          <w:kern w:val="0"/>
          <w:sz w:val="28"/>
          <w:szCs w:val="28"/>
          <w:lang w:val="en-US" w:eastAsia="zh-CN"/>
        </w:rPr>
      </w:pPr>
      <w:r>
        <w:rPr>
          <w:rFonts w:hint="eastAsia"/>
          <w:color w:val="auto"/>
          <w:kern w:val="0"/>
          <w:sz w:val="28"/>
          <w:szCs w:val="28"/>
          <w:lang w:val="en-US"/>
        </w:rPr>
        <w:t>项目区距G325国道约950m，距离最近村庄那于村800m，距离大垌镇</w:t>
      </w:r>
      <w:r>
        <w:rPr>
          <w:rFonts w:hint="eastAsia"/>
          <w:color w:val="auto"/>
          <w:kern w:val="0"/>
          <w:sz w:val="28"/>
          <w:szCs w:val="28"/>
          <w:lang w:val="en-US" w:eastAsia="zh-CN"/>
        </w:rPr>
        <w:t>直线距离</w:t>
      </w:r>
      <w:r>
        <w:rPr>
          <w:rFonts w:hint="eastAsia"/>
          <w:color w:val="auto"/>
          <w:kern w:val="0"/>
          <w:sz w:val="28"/>
          <w:szCs w:val="28"/>
          <w:lang w:val="en-US"/>
        </w:rPr>
        <w:t>约4公里，距那蒙镇</w:t>
      </w:r>
      <w:r>
        <w:rPr>
          <w:rFonts w:hint="eastAsia"/>
          <w:color w:val="auto"/>
          <w:kern w:val="0"/>
          <w:sz w:val="28"/>
          <w:szCs w:val="28"/>
          <w:lang w:val="en-US" w:eastAsia="zh-CN"/>
        </w:rPr>
        <w:t>直线距离仅</w:t>
      </w:r>
      <w:r>
        <w:rPr>
          <w:rFonts w:hint="eastAsia"/>
          <w:color w:val="auto"/>
          <w:kern w:val="0"/>
          <w:sz w:val="28"/>
          <w:szCs w:val="28"/>
          <w:lang w:val="en-US"/>
        </w:rPr>
        <w:t>约3.3公里，</w:t>
      </w:r>
      <w:r>
        <w:rPr>
          <w:rFonts w:hint="eastAsia"/>
          <w:color w:val="auto"/>
          <w:kern w:val="0"/>
          <w:sz w:val="28"/>
          <w:szCs w:val="28"/>
          <w:lang w:val="en-US" w:eastAsia="zh-CN"/>
        </w:rPr>
        <w:t>用地周边地下水资源丰富，项目建设期用水可通过打井取水，供水、供电、通讯等基础设施有保障，</w:t>
      </w:r>
      <w:r>
        <w:rPr>
          <w:rFonts w:hint="eastAsia"/>
          <w:color w:val="auto"/>
          <w:kern w:val="0"/>
          <w:sz w:val="28"/>
          <w:szCs w:val="28"/>
          <w:lang w:val="en-US"/>
        </w:rPr>
        <w:t>项目建设所需材料主要有石料、砂、水泥、钢筋等，原材料在钦北区及周边市场均有足量供应，易于采购。钦州市境内建筑施工企业众多，技术力量及施工设备等可满足项目建设要求</w:t>
      </w:r>
      <w:r>
        <w:rPr>
          <w:rFonts w:hint="eastAsia"/>
          <w:color w:val="auto"/>
          <w:kern w:val="0"/>
          <w:sz w:val="28"/>
          <w:szCs w:val="28"/>
          <w:lang w:val="en-US" w:eastAsia="zh-CN"/>
        </w:rPr>
        <w:t>。</w:t>
      </w:r>
    </w:p>
    <w:p>
      <w:pPr>
        <w:pStyle w:val="18"/>
        <w:autoSpaceDE w:val="0"/>
        <w:autoSpaceDN w:val="0"/>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hint="eastAsia"/>
          <w:color w:val="auto"/>
          <w:kern w:val="0"/>
          <w:sz w:val="28"/>
          <w:szCs w:val="28"/>
          <w:lang w:val="en-US"/>
        </w:rPr>
        <w:t>钦州市及钦北区的优良工业负荷增速较快，为风电负荷就地消化提供条件。建设风电场</w:t>
      </w:r>
      <w:r>
        <w:rPr>
          <w:rFonts w:hint="eastAsia"/>
          <w:color w:val="auto"/>
          <w:kern w:val="0"/>
          <w:sz w:val="28"/>
          <w:szCs w:val="28"/>
          <w:lang w:val="en-US" w:eastAsia="zh-CN"/>
        </w:rPr>
        <w:t>项目占地</w:t>
      </w:r>
      <w:r>
        <w:rPr>
          <w:rFonts w:hint="eastAsia"/>
          <w:color w:val="auto"/>
          <w:kern w:val="0"/>
          <w:sz w:val="28"/>
          <w:szCs w:val="28"/>
          <w:lang w:val="en-US"/>
        </w:rPr>
        <w:t>规模相对较小，</w:t>
      </w:r>
      <w:r>
        <w:rPr>
          <w:rFonts w:hint="eastAsia"/>
          <w:color w:val="auto"/>
          <w:kern w:val="0"/>
          <w:sz w:val="28"/>
          <w:szCs w:val="28"/>
          <w:lang w:val="en-US" w:eastAsia="zh-CN"/>
        </w:rPr>
        <w:t>可有效地</w:t>
      </w:r>
      <w:r>
        <w:rPr>
          <w:rFonts w:hint="eastAsia"/>
          <w:color w:val="auto"/>
          <w:kern w:val="0"/>
          <w:sz w:val="28"/>
          <w:szCs w:val="28"/>
          <w:lang w:val="en-US"/>
        </w:rPr>
        <w:t>节约集约土地</w:t>
      </w:r>
      <w:r>
        <w:rPr>
          <w:rFonts w:hint="eastAsia"/>
          <w:color w:val="auto"/>
          <w:kern w:val="0"/>
          <w:sz w:val="28"/>
          <w:szCs w:val="28"/>
          <w:lang w:val="en-US" w:eastAsia="zh-CN"/>
        </w:rPr>
        <w:t>。编制地块控制性详细规划指导建设</w:t>
      </w:r>
      <w:r>
        <w:rPr>
          <w:rFonts w:ascii="宋体" w:eastAsia="宋体" w:cs="宋体" w:hAnsi="宋体" w:hint="eastAsia"/>
          <w:color w:val="auto"/>
          <w:kern w:val="0"/>
          <w:sz w:val="28"/>
          <w:szCs w:val="28"/>
        </w:rPr>
        <w:t>钦州低风速二期分散式风电场工程</w:t>
      </w:r>
      <w:r>
        <w:rPr>
          <w:rFonts w:hint="eastAsia"/>
          <w:color w:val="auto"/>
          <w:kern w:val="0"/>
          <w:sz w:val="28"/>
          <w:szCs w:val="28"/>
          <w:lang w:val="en-US" w:eastAsia="zh-CN"/>
        </w:rPr>
        <w:t>项目，</w:t>
      </w:r>
      <w:r>
        <w:rPr>
          <w:rFonts w:hint="eastAsia"/>
          <w:color w:val="auto"/>
          <w:kern w:val="0"/>
          <w:sz w:val="28"/>
          <w:szCs w:val="28"/>
          <w:lang w:val="en-US"/>
        </w:rPr>
        <w:t>不但不会对电网稳定产生影响，还可配合国家电网，补充电网末端的电力供应，满足当地较为分散负荷的用电需求</w:t>
      </w:r>
      <w:r>
        <w:rPr>
          <w:rFonts w:hint="eastAsia"/>
          <w:color w:val="auto"/>
          <w:kern w:val="0"/>
          <w:sz w:val="28"/>
          <w:szCs w:val="28"/>
          <w:lang w:val="en-US" w:eastAsia="zh-CN"/>
        </w:rPr>
        <w:t>。项目建成后年</w:t>
      </w:r>
      <w:r>
        <w:rPr>
          <w:rFonts w:ascii="宋体" w:eastAsia="宋体" w:cs="宋体" w:hAnsi="宋体" w:hint="eastAsia"/>
          <w:color w:val="auto"/>
          <w:kern w:val="0"/>
          <w:sz w:val="28"/>
          <w:szCs w:val="28"/>
        </w:rPr>
        <w:t>上网电量约7848 万kWh，年等效满负荷利用小时数约2616h。项目以1回35k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送出线路接入220k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歌标站的35k</w:t>
      </w:r>
      <w:r>
        <w:rPr>
          <w:rFonts w:cs="宋体" w:hint="eastAsia"/>
          <w:color w:val="auto"/>
          <w:kern w:val="0"/>
          <w:sz w:val="28"/>
          <w:szCs w:val="28"/>
          <w:lang w:val="en-US" w:eastAsia="zh-CN"/>
        </w:rPr>
        <w:t>V</w:t>
      </w:r>
      <w:r>
        <w:rPr>
          <w:rFonts w:ascii="宋体" w:eastAsia="宋体" w:cs="宋体" w:hAnsi="宋体" w:hint="eastAsia"/>
          <w:color w:val="auto"/>
          <w:kern w:val="0"/>
          <w:sz w:val="28"/>
          <w:szCs w:val="28"/>
        </w:rPr>
        <w:t>母线并网</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线路导线选JNRLH1/LB20A-240/30型铝包钢芯耐热铝合金绞线</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线路长度5.78km</w:t>
      </w:r>
      <w:r>
        <w:rPr>
          <w:rFonts w:cs="宋体" w:hint="eastAsia"/>
          <w:color w:val="auto"/>
          <w:kern w:val="0"/>
          <w:sz w:val="28"/>
          <w:szCs w:val="28"/>
          <w:lang w:eastAsia="zh-CN"/>
        </w:rPr>
        <w:t>。</w:t>
      </w:r>
    </w:p>
    <w:p>
      <w:pPr>
        <w:pStyle w:val="18"/>
        <w:autoSpaceDE w:val="0"/>
        <w:autoSpaceDN w:val="0"/>
        <w:spacing w:before="4" w:line="360" w:lineRule="auto"/>
        <w:ind w:right="351" w:firstLineChars="200" w:firstLine="560"/>
        <w:jc w:val="left"/>
        <w:rPr>
          <w:rFonts w:hint="eastAsia"/>
          <w:color w:val="auto"/>
          <w:kern w:val="0"/>
          <w:sz w:val="28"/>
          <w:szCs w:val="28"/>
          <w:lang w:val="en-US"/>
        </w:rPr>
      </w:pPr>
      <w:r>
        <w:rPr>
          <w:rFonts w:hint="eastAsia"/>
          <w:color w:val="auto"/>
          <w:kern w:val="0"/>
          <w:sz w:val="28"/>
          <w:szCs w:val="28"/>
          <w:lang w:val="en-US" w:eastAsia="zh-CN"/>
        </w:rPr>
        <w:t>（4）地下矿产资源及文物古迹状况</w:t>
      </w:r>
    </w:p>
    <w:p>
      <w:pPr>
        <w:pStyle w:val="18"/>
        <w:autoSpaceDE w:val="0"/>
        <w:autoSpaceDN w:val="0"/>
        <w:spacing w:before="4" w:line="360" w:lineRule="auto"/>
        <w:ind w:right="351" w:firstLineChars="200" w:firstLine="560"/>
        <w:jc w:val="left"/>
        <w:rPr>
          <w:rFonts w:hint="eastAsia"/>
          <w:color w:val="auto"/>
          <w:kern w:val="0"/>
          <w:sz w:val="28"/>
          <w:szCs w:val="28"/>
          <w:lang w:val="en-US" w:eastAsia="zh-CN"/>
        </w:rPr>
      </w:pPr>
      <w:r>
        <w:rPr>
          <w:rFonts w:ascii="宋体" w:eastAsia="宋体" w:cs="宋体" w:hAnsi="宋体" w:hint="eastAsia"/>
          <w:color w:val="auto"/>
          <w:kern w:val="0"/>
          <w:sz w:val="28"/>
          <w:szCs w:val="28"/>
        </w:rPr>
        <w:t>钦州低风速二期分散式风电场</w:t>
      </w:r>
      <w:r>
        <w:rPr>
          <w:rFonts w:hint="eastAsia"/>
          <w:color w:val="auto"/>
          <w:kern w:val="0"/>
          <w:sz w:val="28"/>
          <w:szCs w:val="28"/>
          <w:lang w:val="en-US" w:eastAsia="zh-CN"/>
        </w:rPr>
        <w:t>的场址涉及区域范围面积较大，但实际用地面积较小，本项目的工程设施、建构筑物数量少，工程活动主要位于开关站、储能站、风机及吊装平台里，建设项目的影响范围主要位于实际用地范围内，影响范围较小，根据</w:t>
      </w:r>
      <w:r>
        <w:rPr>
          <w:rFonts w:ascii="宋体" w:eastAsia="宋体" w:cs="宋体" w:hAnsi="宋体" w:hint="eastAsia"/>
          <w:color w:val="auto"/>
          <w:kern w:val="0"/>
          <w:sz w:val="28"/>
          <w:szCs w:val="28"/>
          <w:lang w:eastAsia="zh-CN"/>
        </w:rPr>
        <w:t>钦北区自然资源局</w:t>
      </w:r>
      <w:r>
        <w:rPr>
          <w:rFonts w:cs="宋体" w:hint="eastAsia"/>
          <w:color w:val="auto"/>
          <w:kern w:val="0"/>
          <w:sz w:val="28"/>
          <w:szCs w:val="28"/>
          <w:lang w:eastAsia="zh-CN"/>
        </w:rPr>
        <w:t>现有矿业权管理数据库和矿区规划空间数据库以及建设项目压覆矿查询坐标外推</w:t>
      </w:r>
      <w:r>
        <w:rPr>
          <w:rFonts w:cs="宋体" w:hint="eastAsia"/>
          <w:color w:val="auto"/>
          <w:kern w:val="0"/>
          <w:sz w:val="28"/>
          <w:szCs w:val="28"/>
          <w:lang w:val="en-US" w:eastAsia="zh-CN"/>
        </w:rPr>
        <w:t>310米（机位外扩310米）作压覆矿产资源查询范围，风机基础离最近矿区＞310 米，</w:t>
      </w:r>
      <w:r>
        <w:rPr>
          <w:rFonts w:hint="eastAsia"/>
          <w:color w:val="auto"/>
          <w:kern w:val="0"/>
          <w:sz w:val="28"/>
          <w:szCs w:val="28"/>
          <w:lang w:val="en-US" w:eastAsia="zh-CN"/>
        </w:rPr>
        <w:t>建设项目压覆矿评估范围内未发现已探明的重要矿床；没有采矿权、探矿权设置</w:t>
      </w:r>
      <w:r>
        <w:rPr>
          <w:rFonts w:hint="eastAsia"/>
          <w:color w:val="auto"/>
          <w:kern w:val="0"/>
          <w:sz w:val="28"/>
          <w:szCs w:val="28"/>
          <w:lang w:val="en-US"/>
        </w:rPr>
        <w:t>，也未发现有文物保护单位及古迹遗址分布，</w:t>
      </w:r>
      <w:r>
        <w:rPr>
          <w:rFonts w:hint="eastAsia"/>
          <w:color w:val="auto"/>
          <w:kern w:val="0"/>
          <w:sz w:val="28"/>
          <w:szCs w:val="28"/>
          <w:lang w:val="en-US" w:eastAsia="zh-CN"/>
        </w:rPr>
        <w:t>不在历史文化保护核心地段和控制建设区范围内，</w:t>
      </w:r>
      <w:r>
        <w:rPr>
          <w:rFonts w:hint="eastAsia"/>
          <w:color w:val="auto"/>
          <w:kern w:val="0"/>
          <w:sz w:val="28"/>
          <w:szCs w:val="28"/>
          <w:lang w:val="en-US"/>
        </w:rPr>
        <w:t>不存在压覆</w:t>
      </w:r>
      <w:r>
        <w:rPr>
          <w:rFonts w:hint="eastAsia"/>
          <w:color w:val="auto"/>
          <w:kern w:val="0"/>
          <w:sz w:val="28"/>
          <w:szCs w:val="28"/>
          <w:lang w:val="en-US" w:eastAsia="zh-CN"/>
        </w:rPr>
        <w:t>重要</w:t>
      </w:r>
      <w:r>
        <w:rPr>
          <w:rFonts w:hint="eastAsia"/>
          <w:color w:val="auto"/>
          <w:kern w:val="0"/>
          <w:sz w:val="28"/>
          <w:szCs w:val="28"/>
          <w:lang w:val="en-US"/>
        </w:rPr>
        <w:t>矿产资源和压埋文物古迹问题</w:t>
      </w:r>
      <w:r>
        <w:rPr>
          <w:rFonts w:cs="宋体" w:hint="eastAsia"/>
          <w:color w:val="auto"/>
          <w:kern w:val="0"/>
          <w:sz w:val="28"/>
          <w:szCs w:val="28"/>
          <w:lang w:eastAsia="zh-CN"/>
        </w:rPr>
        <w:t>。</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4" w:name="_Toc1563"/>
      <w:r>
        <w:rPr>
          <w:rFonts w:ascii="宋体" w:eastAsia="宋体" w:cs="宋体" w:hAnsi="宋体" w:hint="eastAsia"/>
          <w:bCs/>
          <w:color w:val="auto"/>
          <w:sz w:val="32"/>
          <w:szCs w:val="32"/>
          <w:lang w:eastAsia="zh-CN"/>
        </w:rPr>
        <w:t>第四章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综合交通及竖向规划</w:t>
      </w:r>
      <w:bookmarkEnd w:id="44"/>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5" w:name="_Toc31493"/>
      <w:r>
        <w:rPr>
          <w:rFonts w:ascii="宋体" w:eastAsia="宋体" w:cs="宋体" w:hAnsi="宋体" w:hint="eastAsia"/>
          <w:bCs/>
          <w:color w:val="auto"/>
          <w:sz w:val="32"/>
          <w:szCs w:val="32"/>
          <w:lang w:val="en-US" w:eastAsia="zh-CN"/>
        </w:rPr>
        <w:t>4.1综合交通规划</w:t>
      </w:r>
      <w:bookmarkEnd w:id="45"/>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）场外道路交通规划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钦北区交通发达便捷，G75兰海高速公路、国道G325 和省道</w:t>
      </w:r>
      <w:r>
        <w:rPr>
          <w:rFonts w:ascii="宋体" w:eastAsia="宋体" w:cs="宋体" w:hAnsi="宋体" w:hint="eastAsia"/>
          <w:color w:val="auto"/>
          <w:kern w:val="0"/>
          <w:sz w:val="28"/>
          <w:szCs w:val="28"/>
          <w:lang w:eastAsia="zh-CN"/>
        </w:rPr>
        <w:t>S312</w:t>
      </w:r>
      <w:r>
        <w:rPr>
          <w:rFonts w:ascii="宋体" w:eastAsia="宋体" w:cs="宋体" w:hAnsi="宋体" w:hint="eastAsia"/>
          <w:color w:val="auto"/>
          <w:kern w:val="0"/>
          <w:sz w:val="28"/>
          <w:szCs w:val="28"/>
        </w:rPr>
        <w:t>、黎钦铁路等均贯穿境内，全区公路四通八达。</w:t>
      </w:r>
      <w:r>
        <w:rPr>
          <w:rFonts w:ascii="宋体" w:eastAsia="宋体" w:cs="宋体" w:hAnsi="宋体" w:hint="eastAsia"/>
          <w:color w:val="auto"/>
          <w:kern w:val="0"/>
          <w:sz w:val="28"/>
          <w:szCs w:val="28"/>
          <w:lang w:eastAsia="zh-CN"/>
        </w:rPr>
        <w:t>风电场</w:t>
      </w:r>
      <w:r>
        <w:rPr>
          <w:rFonts w:ascii="宋体" w:eastAsia="宋体" w:cs="宋体" w:hAnsi="宋体" w:hint="eastAsia"/>
          <w:color w:val="auto"/>
          <w:kern w:val="0"/>
          <w:sz w:val="28"/>
          <w:szCs w:val="28"/>
        </w:rPr>
        <w:t>场址位于钦北区</w:t>
      </w:r>
      <w:r>
        <w:rPr>
          <w:rFonts w:ascii="宋体" w:eastAsia="宋体" w:cs="宋体" w:hAnsi="宋体" w:hint="eastAsia"/>
          <w:color w:val="auto"/>
          <w:kern w:val="0"/>
          <w:sz w:val="28"/>
          <w:szCs w:val="28"/>
          <w:lang w:eastAsia="zh-CN"/>
        </w:rPr>
        <w:t>大垌</w:t>
      </w:r>
      <w:r>
        <w:rPr>
          <w:rFonts w:ascii="宋体" w:eastAsia="宋体" w:cs="宋体" w:hAnsi="宋体" w:hint="eastAsia"/>
          <w:color w:val="auto"/>
          <w:kern w:val="0"/>
          <w:sz w:val="28"/>
          <w:szCs w:val="28"/>
        </w:rPr>
        <w:t>镇、</w:t>
      </w:r>
      <w:r>
        <w:rPr>
          <w:rFonts w:ascii="宋体" w:eastAsia="宋体" w:cs="宋体" w:hAnsi="宋体" w:hint="eastAsia"/>
          <w:color w:val="auto"/>
          <w:kern w:val="0"/>
          <w:sz w:val="28"/>
          <w:szCs w:val="28"/>
          <w:lang w:eastAsia="zh-CN"/>
        </w:rPr>
        <w:t>那蒙</w:t>
      </w:r>
      <w:r>
        <w:rPr>
          <w:rFonts w:ascii="宋体" w:eastAsia="宋体" w:cs="宋体" w:hAnsi="宋体" w:hint="eastAsia"/>
          <w:color w:val="auto"/>
          <w:kern w:val="0"/>
          <w:sz w:val="28"/>
          <w:szCs w:val="28"/>
        </w:rPr>
        <w:t>镇交界处附近</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由钦北区到风电场，交通路线为通过高速公路至钦北区，然后自国道G325 转乡道213 至风电场西部场址；自国道G325 转1</w:t>
      </w:r>
      <w:r>
        <w:rPr>
          <w:rFonts w:ascii="宋体" w:eastAsia="宋体" w:cs="宋体" w:hAnsi="宋体" w:hint="eastAsia"/>
          <w:color w:val="auto"/>
          <w:kern w:val="0"/>
          <w:sz w:val="28"/>
          <w:szCs w:val="28"/>
          <w:lang w:val="en-US" w:eastAsia="zh-CN"/>
        </w:rPr>
        <w:t>km</w:t>
      </w:r>
      <w:r>
        <w:rPr>
          <w:rFonts w:ascii="宋体" w:eastAsia="宋体" w:cs="宋体" w:hAnsi="宋体" w:hint="eastAsia"/>
          <w:color w:val="auto"/>
          <w:kern w:val="0"/>
          <w:sz w:val="28"/>
          <w:szCs w:val="28"/>
        </w:rPr>
        <w:t>农村道路至风电场东部场址。场内道路在利用现有交通便道的基础上修建新的至各风机</w:t>
      </w:r>
      <w:r>
        <w:rPr>
          <w:rFonts w:ascii="宋体" w:eastAsia="宋体" w:cs="宋体" w:hAnsi="宋体" w:hint="eastAsia"/>
          <w:color w:val="auto"/>
          <w:kern w:val="0"/>
          <w:sz w:val="28"/>
          <w:szCs w:val="28"/>
          <w:lang w:eastAsia="zh-CN"/>
        </w:rPr>
        <w:t>和开关站及储能站的</w:t>
      </w:r>
      <w:r>
        <w:rPr>
          <w:rFonts w:ascii="宋体" w:eastAsia="宋体" w:cs="宋体" w:hAnsi="宋体" w:hint="eastAsia"/>
          <w:color w:val="auto"/>
          <w:kern w:val="0"/>
          <w:sz w:val="28"/>
          <w:szCs w:val="28"/>
        </w:rPr>
        <w:t>连接道路。国道G325 为二级公路，途径路段正在改扩建，乡道213 和农村道路路况为水泥路，路宽2-5m，以上</w:t>
      </w:r>
      <w:r>
        <w:rPr>
          <w:rFonts w:ascii="宋体" w:eastAsia="宋体" w:cs="宋体" w:hAnsi="宋体" w:hint="eastAsia"/>
          <w:color w:val="auto"/>
          <w:kern w:val="0"/>
          <w:sz w:val="28"/>
          <w:szCs w:val="28"/>
          <w:lang w:val="en-US" w:eastAsia="zh-CN"/>
        </w:rPr>
        <w:t>路段</w:t>
      </w:r>
      <w:r>
        <w:rPr>
          <w:rFonts w:ascii="宋体" w:eastAsia="宋体" w:cs="宋体" w:hAnsi="宋体" w:hint="eastAsia"/>
          <w:color w:val="auto"/>
          <w:kern w:val="0"/>
          <w:sz w:val="28"/>
          <w:szCs w:val="28"/>
        </w:rPr>
        <w:t>路况均良好，路线平坦，公路主干道路面宽度、线路纵坡度、线路横向坡度、竖曲线等均</w:t>
      </w:r>
      <w:r>
        <w:rPr>
          <w:rFonts w:ascii="宋体" w:eastAsia="宋体" w:cs="宋体" w:hAnsi="宋体" w:hint="eastAsia"/>
          <w:color w:val="auto"/>
          <w:kern w:val="0"/>
          <w:sz w:val="28"/>
          <w:szCs w:val="28"/>
          <w:lang w:eastAsia="zh-CN"/>
        </w:rPr>
        <w:t>基本</w:t>
      </w:r>
      <w:r>
        <w:rPr>
          <w:rFonts w:ascii="宋体" w:eastAsia="宋体" w:cs="宋体" w:hAnsi="宋体" w:hint="eastAsia"/>
          <w:color w:val="auto"/>
          <w:kern w:val="0"/>
          <w:sz w:val="28"/>
          <w:szCs w:val="28"/>
        </w:rPr>
        <w:t>能满足</w:t>
      </w:r>
      <w:r>
        <w:rPr>
          <w:rFonts w:ascii="宋体" w:eastAsia="宋体" w:cs="宋体" w:hAnsi="宋体" w:hint="eastAsia"/>
          <w:color w:val="auto"/>
          <w:kern w:val="0"/>
          <w:sz w:val="28"/>
          <w:szCs w:val="28"/>
          <w:lang w:eastAsia="zh-CN"/>
        </w:rPr>
        <w:t>风机等</w:t>
      </w:r>
      <w:r>
        <w:rPr>
          <w:rFonts w:ascii="宋体" w:eastAsia="宋体" w:cs="宋体" w:hAnsi="宋体" w:hint="eastAsia"/>
          <w:color w:val="auto"/>
          <w:kern w:val="0"/>
          <w:sz w:val="28"/>
          <w:szCs w:val="28"/>
        </w:rPr>
        <w:t>大件运输的要求，交通运输条件较好。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）场内道路交通规划</w:t>
      </w:r>
    </w:p>
    <w:p>
      <w:pPr>
        <w:widowControl/>
        <w:spacing w:before="4" w:line="360" w:lineRule="auto"/>
        <w:ind w:left="118" w:right="351" w:firstLineChars="200" w:firstLine="560"/>
        <w:jc w:val="left"/>
        <w:rPr>
          <w:rFonts w:hint="eastAsia"/>
          <w:color w:val="auto"/>
          <w:kern w:val="0"/>
          <w:sz w:val="28"/>
          <w:szCs w:val="28"/>
          <w:lang w:val="en-US" w:eastAsia="zh-CN"/>
        </w:rPr>
      </w:pPr>
      <w:r>
        <w:rPr>
          <w:rFonts w:hint="eastAsia"/>
          <w:color w:val="auto"/>
          <w:kern w:val="0"/>
          <w:sz w:val="28"/>
          <w:szCs w:val="28"/>
          <w:lang w:val="en-US"/>
        </w:rPr>
        <w:t>场内交通线路规划：风电场的施工及检修道路同永久道路一同考虑，按通向各机位修建。在风电场中沿风力发电机组沿线修建干道，再由干道修建通向各机位的支路。根据风电场风力机的布局，场内交通运输线路在充分利用既有道路的情况下，需新修及扩宽施工运输道路，新修道路按照临时用地申报用地。用推土机进行平整，平整路基宽度为6m，道路总长为11.5km，在已平整的路基上修筑宽度4.5m 宽的施工维修道路，按《厂矿道路设计规范》中四级厂外道路设计。路面采用碎石路面，道路的一般最小圆曲线半径60m。极限最小圆曲线半径40m，场内道路的土石方开挖等工程修筑局部区域会造成水土流失，项目已编制水土保持方案，并通过当地水利部门的审批，施工时将按照水土保持方案要求，降低水土流失的影响</w:t>
      </w:r>
      <w:r>
        <w:rPr>
          <w:rFonts w:hint="eastAsia"/>
          <w:color w:val="auto"/>
          <w:kern w:val="0"/>
          <w:sz w:val="28"/>
          <w:szCs w:val="28"/>
          <w:lang w:val="en-US" w:eastAsia="zh-CN"/>
        </w:rPr>
        <w:t>。</w:t>
      </w:r>
    </w:p>
    <w:p>
      <w:pPr>
        <w:widowControl/>
        <w:numPr>
          <w:ilvl w:val="0"/>
          <w:numId w:val="2"/>
        </w:numPr>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开关站和储能站地块内部道路</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开关站和储能站分别</w:t>
      </w:r>
      <w:r>
        <w:rPr>
          <w:rFonts w:ascii="宋体" w:eastAsia="宋体" w:cs="宋体" w:hAnsi="宋体" w:hint="eastAsia"/>
          <w:color w:val="auto"/>
          <w:kern w:val="0"/>
          <w:sz w:val="28"/>
          <w:szCs w:val="28"/>
        </w:rPr>
        <w:t>是整个风电场的控制中心</w:t>
      </w:r>
      <w:r>
        <w:rPr>
          <w:rFonts w:ascii="宋体" w:eastAsia="宋体" w:cs="宋体" w:hAnsi="宋体" w:hint="eastAsia"/>
          <w:color w:val="auto"/>
          <w:kern w:val="0"/>
          <w:sz w:val="28"/>
          <w:szCs w:val="28"/>
          <w:lang w:eastAsia="zh-CN"/>
        </w:rPr>
        <w:t>和电能储备中心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为本次规划研究的两个独立地块，位于风电场场址中部。</w:t>
      </w:r>
      <w:r>
        <w:rPr>
          <w:rFonts w:ascii="宋体" w:eastAsia="宋体" w:cs="宋体" w:hAnsi="宋体" w:hint="eastAsia"/>
          <w:color w:val="auto"/>
          <w:kern w:val="0"/>
          <w:sz w:val="28"/>
          <w:szCs w:val="28"/>
        </w:rPr>
        <w:t>根据</w:t>
      </w:r>
      <w:r>
        <w:rPr>
          <w:rFonts w:ascii="宋体" w:eastAsia="宋体" w:cs="宋体" w:hAnsi="宋体" w:hint="eastAsia"/>
          <w:color w:val="auto"/>
          <w:kern w:val="0"/>
          <w:sz w:val="28"/>
          <w:szCs w:val="28"/>
          <w:lang w:eastAsia="zh-CN"/>
        </w:rPr>
        <w:t>实际地形和周边现状道路情况</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开关站主要</w:t>
      </w:r>
      <w:r>
        <w:rPr>
          <w:rFonts w:ascii="宋体" w:eastAsia="宋体" w:cs="宋体" w:hAnsi="宋体" w:hint="eastAsia"/>
          <w:color w:val="auto"/>
          <w:kern w:val="0"/>
          <w:sz w:val="28"/>
          <w:szCs w:val="28"/>
        </w:rPr>
        <w:t>对外出入口设于</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lang w:val="en-US" w:eastAsia="zh-CN"/>
        </w:rPr>
        <w:t>西</w:t>
      </w:r>
      <w:r>
        <w:rPr>
          <w:rFonts w:ascii="宋体" w:eastAsia="宋体" w:cs="宋体" w:hAnsi="宋体" w:hint="eastAsia"/>
          <w:color w:val="auto"/>
          <w:kern w:val="0"/>
          <w:sz w:val="28"/>
          <w:szCs w:val="28"/>
        </w:rPr>
        <w:t>侧</w:t>
      </w:r>
      <w:r>
        <w:rPr>
          <w:rFonts w:ascii="宋体" w:eastAsia="宋体" w:cs="宋体" w:hAnsi="宋体" w:hint="eastAsia"/>
          <w:color w:val="auto"/>
          <w:kern w:val="0"/>
          <w:sz w:val="28"/>
          <w:szCs w:val="28"/>
          <w:lang w:eastAsia="zh-CN"/>
        </w:rPr>
        <w:t>通过支路</w:t>
      </w:r>
      <w:r>
        <w:rPr>
          <w:rFonts w:ascii="宋体" w:eastAsia="宋体" w:cs="宋体" w:hAnsi="宋体" w:hint="eastAsia"/>
          <w:color w:val="auto"/>
          <w:kern w:val="0"/>
          <w:sz w:val="28"/>
          <w:szCs w:val="28"/>
        </w:rPr>
        <w:t>接出</w:t>
      </w:r>
      <w:r>
        <w:rPr>
          <w:rFonts w:ascii="宋体" w:eastAsia="宋体" w:cs="宋体" w:hAnsi="宋体" w:hint="eastAsia"/>
          <w:color w:val="auto"/>
          <w:kern w:val="0"/>
          <w:sz w:val="28"/>
          <w:szCs w:val="28"/>
          <w:lang w:eastAsia="zh-CN"/>
        </w:rPr>
        <w:t>场区检修道路；储能站主要对外出入口设于地块南面接出检修道路。</w:t>
      </w:r>
      <w:r>
        <w:rPr>
          <w:rFonts w:ascii="宋体" w:eastAsia="宋体" w:cs="宋体" w:hAnsi="宋体" w:hint="eastAsia"/>
          <w:color w:val="auto"/>
          <w:kern w:val="0"/>
          <w:sz w:val="28"/>
          <w:szCs w:val="28"/>
        </w:rPr>
        <w:t>地块内道路设计充分结合地形，实行人车混行的交通流线，满足车辆、人员通行</w:t>
      </w:r>
      <w:r>
        <w:rPr>
          <w:rFonts w:ascii="宋体" w:eastAsia="宋体" w:cs="宋体" w:hAnsi="宋体" w:hint="eastAsia"/>
          <w:color w:val="auto"/>
          <w:kern w:val="0"/>
          <w:sz w:val="28"/>
          <w:szCs w:val="28"/>
          <w:lang w:eastAsia="zh-CN"/>
        </w:rPr>
        <w:t>。规划地块内铺设混凝土道路</w:t>
      </w:r>
      <w:r>
        <w:rPr>
          <w:rFonts w:ascii="宋体" w:eastAsia="宋体" w:cs="宋体" w:hAnsi="宋体" w:hint="eastAsia"/>
          <w:color w:val="auto"/>
          <w:kern w:val="0"/>
          <w:sz w:val="28"/>
          <w:szCs w:val="28"/>
          <w:lang w:val="en-US" w:eastAsia="zh-CN"/>
        </w:rPr>
        <w:t>连接至各功能用房</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出入口宽度和主干道</w:t>
      </w:r>
      <w:r>
        <w:rPr>
          <w:rFonts w:ascii="宋体" w:eastAsia="宋体" w:cs="宋体" w:hAnsi="宋体" w:hint="eastAsia"/>
          <w:color w:val="auto"/>
          <w:kern w:val="0"/>
          <w:sz w:val="28"/>
          <w:szCs w:val="28"/>
        </w:rPr>
        <w:t>红线宽度</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4米</w:t>
      </w:r>
      <w:r>
        <w:rPr>
          <w:rFonts w:ascii="宋体" w:eastAsia="宋体" w:cs="宋体" w:hAnsi="宋体" w:hint="eastAsia"/>
          <w:color w:val="auto"/>
          <w:kern w:val="0"/>
          <w:sz w:val="28"/>
          <w:szCs w:val="28"/>
          <w:lang w:eastAsia="zh-CN"/>
        </w:rPr>
        <w:t>，达到消防车通行、大型施工车辆运行、检修等方面的要求，站内支路红线宽度规划为</w:t>
      </w:r>
      <w:r>
        <w:rPr>
          <w:rFonts w:ascii="宋体" w:eastAsia="宋体" w:cs="宋体" w:hAnsi="宋体" w:hint="eastAsia"/>
          <w:color w:val="auto"/>
          <w:kern w:val="0"/>
          <w:sz w:val="28"/>
          <w:szCs w:val="28"/>
          <w:lang w:val="en-US" w:eastAsia="zh-CN"/>
        </w:rPr>
        <w:t>2.5～3米，满足一般车辆和行人的需求</w:t>
      </w:r>
      <w:r>
        <w:rPr>
          <w:rFonts w:ascii="宋体" w:eastAsia="宋体" w:cs="宋体" w:hAnsi="宋体" w:hint="eastAsia"/>
          <w:color w:val="auto"/>
          <w:kern w:val="0"/>
          <w:sz w:val="28"/>
          <w:szCs w:val="28"/>
        </w:rPr>
        <w:t>。</w:t>
      </w:r>
    </w:p>
    <w:p>
      <w:pPr>
        <w:pStyle w:val="1"/>
        <w:keepNext/>
        <w:keepLines/>
        <w:widowControl/>
        <w:numPr>
          <w:ilvl w:val="0"/>
          <w:numId w:val="0"/>
        </w:numPr>
        <w:spacing w:before="260" w:line="360" w:lineRule="auto"/>
        <w:ind w:left="0" w:right="351" w:firstLineChars="200" w:firstLine="640"/>
        <w:jc w:val="left"/>
        <w:rPr>
          <w:rFonts w:ascii="宋体" w:eastAsia="宋体" w:cs="宋体" w:hAnsi="宋体" w:hint="eastAsia"/>
          <w:bCs/>
          <w:color w:val="auto"/>
          <w:sz w:val="32"/>
          <w:szCs w:val="32"/>
          <w:lang w:val="en-US" w:eastAsia="zh-CN"/>
        </w:rPr>
      </w:pPr>
      <w:bookmarkStart w:id="46" w:name="_Toc32660"/>
      <w:r>
        <w:rPr>
          <w:rFonts w:ascii="宋体" w:eastAsia="宋体" w:cs="宋体" w:hAnsi="宋体" w:hint="eastAsia"/>
          <w:bCs/>
          <w:color w:val="auto"/>
          <w:sz w:val="32"/>
          <w:szCs w:val="32"/>
          <w:lang w:val="en-US" w:eastAsia="zh-CN"/>
        </w:rPr>
        <w:t>4.2竖向规划</w:t>
      </w:r>
      <w:bookmarkEnd w:id="46"/>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本</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选址主要位于</w:t>
      </w:r>
      <w:r>
        <w:rPr>
          <w:rFonts w:hint="eastAsia"/>
          <w:color w:val="auto"/>
          <w:kern w:val="0"/>
          <w:sz w:val="28"/>
          <w:szCs w:val="28"/>
          <w:lang w:val="en-US"/>
        </w:rPr>
        <w:t>大垌镇和那蒙镇行政交界</w:t>
      </w:r>
      <w:r>
        <w:rPr>
          <w:rFonts w:ascii="宋体" w:eastAsia="宋体" w:cs="宋体" w:hAnsi="宋体" w:hint="eastAsia"/>
          <w:color w:val="auto"/>
          <w:kern w:val="0"/>
          <w:sz w:val="28"/>
          <w:szCs w:val="28"/>
          <w:lang w:eastAsia="zh-CN"/>
        </w:rPr>
        <w:t>山脊或山包较高位置且相对较平缓的区域，</w:t>
      </w:r>
      <w:r>
        <w:rPr>
          <w:rFonts w:ascii="宋体" w:eastAsia="宋体" w:cs="宋体" w:hAnsi="宋体" w:hint="eastAsia"/>
          <w:color w:val="auto"/>
          <w:kern w:val="0"/>
          <w:sz w:val="28"/>
          <w:szCs w:val="28"/>
        </w:rPr>
        <w:t>依据周边的现状地势及标高来确定场地内的标高。地块内场地标高均高于周边用地标高，以避免场地内积水。</w:t>
      </w:r>
      <w:r>
        <w:rPr>
          <w:rFonts w:ascii="宋体" w:eastAsia="宋体" w:cs="宋体" w:hAnsi="宋体" w:hint="eastAsia"/>
          <w:color w:val="auto"/>
          <w:kern w:val="0"/>
          <w:sz w:val="28"/>
          <w:szCs w:val="28"/>
          <w:lang w:eastAsia="zh-CN"/>
        </w:rPr>
        <w:t>其中，开关站和储能站</w:t>
      </w:r>
      <w:r>
        <w:rPr>
          <w:rFonts w:ascii="宋体" w:eastAsia="宋体" w:cs="宋体" w:hAnsi="宋体" w:hint="eastAsia"/>
          <w:color w:val="auto"/>
          <w:kern w:val="0"/>
          <w:sz w:val="28"/>
          <w:szCs w:val="28"/>
        </w:rPr>
        <w:t>地块场地</w:t>
      </w:r>
      <w:r>
        <w:rPr>
          <w:rFonts w:ascii="宋体" w:eastAsia="宋体" w:cs="宋体" w:hAnsi="宋体" w:hint="eastAsia"/>
          <w:color w:val="auto"/>
          <w:kern w:val="0"/>
          <w:sz w:val="28"/>
          <w:szCs w:val="28"/>
          <w:lang w:eastAsia="zh-CN"/>
        </w:rPr>
        <w:t>内整体呈东南高、西北低，开关站场地</w:t>
      </w:r>
      <w:r>
        <w:rPr>
          <w:rFonts w:ascii="宋体" w:eastAsia="宋体" w:cs="宋体" w:hAnsi="宋体" w:hint="eastAsia"/>
          <w:color w:val="auto"/>
          <w:kern w:val="0"/>
          <w:sz w:val="28"/>
          <w:szCs w:val="28"/>
        </w:rPr>
        <w:t>设计标高</w:t>
      </w:r>
      <w:r>
        <w:rPr>
          <w:rFonts w:ascii="宋体" w:eastAsia="宋体" w:cs="宋体" w:hAnsi="宋体" w:hint="eastAsia"/>
          <w:color w:val="auto"/>
          <w:kern w:val="0"/>
          <w:sz w:val="28"/>
          <w:szCs w:val="28"/>
          <w:lang w:eastAsia="zh-CN"/>
        </w:rPr>
        <w:t>在</w:t>
      </w:r>
      <w:r>
        <w:rPr>
          <w:rFonts w:ascii="宋体" w:eastAsia="宋体" w:cs="宋体" w:hAnsi="宋体" w:hint="eastAsia"/>
          <w:color w:val="auto"/>
          <w:kern w:val="0"/>
          <w:sz w:val="28"/>
          <w:szCs w:val="28"/>
          <w:lang w:val="en-US" w:eastAsia="zh-CN"/>
        </w:rPr>
        <w:t>188.44m</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190.5m</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；储能站场地</w:t>
      </w:r>
      <w:r>
        <w:rPr>
          <w:rFonts w:ascii="宋体" w:eastAsia="宋体" w:cs="宋体" w:hAnsi="宋体" w:hint="eastAsia"/>
          <w:color w:val="auto"/>
          <w:kern w:val="0"/>
          <w:sz w:val="28"/>
          <w:szCs w:val="28"/>
        </w:rPr>
        <w:t>设计标高</w:t>
      </w:r>
      <w:r>
        <w:rPr>
          <w:rFonts w:ascii="宋体" w:eastAsia="宋体" w:cs="宋体" w:hAnsi="宋体" w:hint="eastAsia"/>
          <w:color w:val="auto"/>
          <w:kern w:val="0"/>
          <w:sz w:val="28"/>
          <w:szCs w:val="28"/>
          <w:lang w:eastAsia="zh-CN"/>
        </w:rPr>
        <w:t>在</w:t>
      </w:r>
      <w:r>
        <w:rPr>
          <w:rFonts w:ascii="宋体" w:eastAsia="宋体" w:cs="宋体" w:hAnsi="宋体" w:hint="eastAsia"/>
          <w:color w:val="auto"/>
          <w:kern w:val="0"/>
          <w:sz w:val="28"/>
          <w:szCs w:val="28"/>
          <w:lang w:val="en-US" w:eastAsia="zh-CN"/>
        </w:rPr>
        <w:t>169.5m</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171.5m</w:t>
      </w:r>
      <w:r>
        <w:rPr>
          <w:rFonts w:ascii="宋体" w:eastAsia="宋体" w:cs="宋体" w:hAnsi="宋体" w:hint="eastAsia"/>
          <w:color w:val="auto"/>
          <w:kern w:val="0"/>
          <w:sz w:val="28"/>
          <w:szCs w:val="28"/>
        </w:rPr>
        <w:t>之间。整个场地较为平缓，高差不大，道路设计坡度在0.</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%之间。</w:t>
      </w:r>
      <w:r>
        <w:rPr>
          <w:rFonts w:ascii="宋体" w:eastAsia="宋体" w:cs="宋体" w:hAnsi="宋体" w:hint="eastAsia"/>
          <w:color w:val="auto"/>
          <w:kern w:val="0"/>
          <w:sz w:val="28"/>
          <w:szCs w:val="28"/>
          <w:lang w:eastAsia="zh-CN"/>
        </w:rPr>
        <w:t>并沿开关站和储能站围墙四周设置排水沟渠排水至低洼处，排水坡度为</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。其余风机和箱变用地的场地标高详见图则。</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47" w:name="_Toc19377"/>
      <w:r>
        <w:rPr>
          <w:rFonts w:ascii="宋体" w:eastAsia="宋体" w:cs="宋体" w:hAnsi="宋体" w:hint="eastAsia"/>
          <w:bCs/>
          <w:color w:val="auto"/>
          <w:sz w:val="32"/>
          <w:szCs w:val="32"/>
          <w:lang w:eastAsia="zh-CN"/>
        </w:rPr>
        <w:t>第五章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市政工程规划</w:t>
      </w:r>
      <w:bookmarkEnd w:id="47"/>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8" w:name="_Toc3824"/>
      <w:r>
        <w:rPr>
          <w:rFonts w:ascii="宋体" w:eastAsia="宋体" w:cs="宋体" w:hAnsi="宋体" w:hint="eastAsia"/>
          <w:bCs/>
          <w:color w:val="auto"/>
          <w:sz w:val="32"/>
          <w:szCs w:val="32"/>
          <w:lang w:val="en-US" w:eastAsia="zh-CN"/>
        </w:rPr>
        <w:t>5.1给水工程规划</w:t>
      </w:r>
      <w:bookmarkEnd w:id="48"/>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（1）《城市给水工程规划规范》GB50282-2016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）《室外给水设计规范》GB50013-2018</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《城市供水水质标准》（CJ/T206-2005）</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《钦州市城市规划技术标准与准则》（2015年版）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）其它有关国家及地方的现行规程、规范及标准</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）甲方提供的用地勘测地形图和市政给水基础资料。</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5.1.2 </w:t>
      </w:r>
      <w:r>
        <w:rPr>
          <w:rFonts w:hint="eastAsia"/>
          <w:b/>
          <w:bCs/>
          <w:color w:val="auto"/>
          <w:sz w:val="28"/>
          <w:szCs w:val="28"/>
        </w:rPr>
        <w:t>用水量预测</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根据以上章节分析，由于本项目离镇区较近，不规划运营管理中心等用房，因此，给水工程规划主要为风电场开关站和储能站用地场地清洗用水、绿化用水和消防用水。</w:t>
      </w:r>
      <w:r>
        <w:rPr>
          <w:rFonts w:ascii="宋体" w:eastAsia="宋体" w:cs="宋体" w:hAnsi="宋体" w:hint="eastAsia"/>
          <w:color w:val="auto"/>
          <w:kern w:val="0"/>
          <w:sz w:val="28"/>
          <w:szCs w:val="28"/>
        </w:rPr>
        <w:t>根据钦北区气候特点，场址地形及给水设施基础条件，参照现行《城市给水工程规划规范》及《钦州市城市规划技术标准与准则》，详细规划的用水量预测采用分类建筑面积指标法，其中，市政公用设施按用地面积计算，用水量指标为2～4L/㎡•d，本规划根据地块实际用途取2L/㎡•d，本地块为公用设施用地的供电用地，</w:t>
      </w:r>
      <w:r>
        <w:rPr>
          <w:rFonts w:ascii="宋体" w:eastAsia="宋体" w:cs="宋体" w:hAnsi="宋体" w:hint="eastAsia"/>
          <w:color w:val="auto"/>
          <w:kern w:val="0"/>
          <w:sz w:val="28"/>
          <w:szCs w:val="28"/>
          <w:lang w:eastAsia="zh-CN"/>
        </w:rPr>
        <w:t>开关站</w:t>
      </w:r>
      <w:r>
        <w:rPr>
          <w:rFonts w:ascii="宋体" w:eastAsia="宋体" w:cs="宋体" w:hAnsi="宋体" w:hint="eastAsia"/>
          <w:color w:val="auto"/>
          <w:kern w:val="0"/>
          <w:sz w:val="28"/>
          <w:szCs w:val="28"/>
        </w:rPr>
        <w:t>用地面积为</w:t>
      </w:r>
      <w:r>
        <w:rPr>
          <w:rFonts w:ascii="宋体" w:eastAsia="宋体" w:cs="宋体" w:hAnsi="宋体" w:hint="eastAsia"/>
          <w:color w:val="auto"/>
          <w:kern w:val="0"/>
          <w:sz w:val="28"/>
          <w:szCs w:val="28"/>
          <w:lang w:val="en-US" w:eastAsia="zh-CN"/>
        </w:rPr>
        <w:t>1273.51</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储能站</w:t>
      </w:r>
      <w:r>
        <w:rPr>
          <w:rFonts w:ascii="宋体" w:eastAsia="宋体" w:cs="宋体" w:hAnsi="宋体" w:hint="eastAsia"/>
          <w:color w:val="auto"/>
          <w:kern w:val="0"/>
          <w:sz w:val="28"/>
          <w:szCs w:val="28"/>
        </w:rPr>
        <w:t>用地面积为</w:t>
      </w:r>
      <w:r>
        <w:rPr>
          <w:rFonts w:ascii="宋体" w:eastAsia="宋体" w:cs="宋体" w:hAnsi="宋体" w:hint="eastAsia"/>
          <w:color w:val="auto"/>
          <w:kern w:val="0"/>
          <w:sz w:val="28"/>
          <w:szCs w:val="28"/>
          <w:lang w:val="en-US" w:eastAsia="zh-CN"/>
        </w:rPr>
        <w:t>997.49</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则</w:t>
      </w:r>
      <w:r>
        <w:rPr>
          <w:rFonts w:ascii="宋体" w:eastAsia="宋体" w:cs="宋体" w:hAnsi="宋体" w:hint="eastAsia"/>
          <w:color w:val="auto"/>
          <w:kern w:val="0"/>
          <w:sz w:val="28"/>
          <w:szCs w:val="28"/>
          <w:lang w:eastAsia="zh-CN"/>
        </w:rPr>
        <w:t>开关站</w:t>
      </w:r>
      <w:r>
        <w:rPr>
          <w:rFonts w:ascii="宋体" w:eastAsia="宋体" w:cs="宋体" w:hAnsi="宋体" w:hint="eastAsia"/>
          <w:color w:val="auto"/>
          <w:kern w:val="0"/>
          <w:sz w:val="28"/>
          <w:szCs w:val="28"/>
        </w:rPr>
        <w:t>地块最高日用水量</w:t>
      </w:r>
      <w:r>
        <w:rPr>
          <w:rFonts w:ascii="宋体" w:eastAsia="宋体" w:cs="宋体" w:hAnsi="宋体" w:hint="eastAsia"/>
          <w:color w:val="auto"/>
          <w:kern w:val="0"/>
          <w:sz w:val="28"/>
          <w:szCs w:val="28"/>
          <w:lang w:eastAsia="zh-CN"/>
        </w:rPr>
        <w:t>约</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val="en-US" w:eastAsia="zh-CN"/>
        </w:rPr>
        <w:t>5m³</w:t>
      </w:r>
      <w:r>
        <w:rPr>
          <w:rFonts w:ascii="宋体" w:eastAsia="宋体" w:cs="宋体" w:hAnsi="宋体" w:hint="eastAsia"/>
          <w:color w:val="auto"/>
          <w:kern w:val="0"/>
          <w:sz w:val="28"/>
          <w:szCs w:val="28"/>
        </w:rPr>
        <w:t>/d。</w:t>
      </w:r>
    </w:p>
    <w:p>
      <w:pPr>
        <w:pStyle w:val="18"/>
        <w:autoSpaceDE w:val="0"/>
        <w:autoSpaceDN w:val="0"/>
        <w:spacing w:before="4" w:line="420" w:lineRule="auto"/>
        <w:ind w:left="118" w:right="351" w:firstLine="479"/>
        <w:rPr>
          <w:b/>
          <w:bCs/>
          <w:color w:val="auto"/>
          <w:sz w:val="28"/>
          <w:szCs w:val="28"/>
          <w:lang w:val="en-US"/>
        </w:rPr>
      </w:pPr>
      <w:r>
        <w:rPr>
          <w:rFonts w:hint="eastAsia"/>
          <w:b/>
          <w:bCs/>
          <w:color w:val="auto"/>
          <w:sz w:val="28"/>
          <w:szCs w:val="28"/>
          <w:lang w:val="en-US" w:eastAsia="zh-CN"/>
        </w:rPr>
        <w:t xml:space="preserve">5.1.3 </w:t>
      </w:r>
      <w:r>
        <w:rPr>
          <w:rFonts w:hint="eastAsia"/>
          <w:b/>
          <w:bCs/>
          <w:color w:val="auto"/>
          <w:sz w:val="28"/>
          <w:szCs w:val="28"/>
        </w:rPr>
        <w:t>水源</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rPr>
        <w:t>区域地下水资源水量丰富，水质良好，运营期</w:t>
      </w: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用水主要包括</w:t>
      </w:r>
      <w:r>
        <w:rPr>
          <w:rFonts w:ascii="宋体" w:eastAsia="宋体" w:cs="宋体" w:hAnsi="宋体" w:hint="eastAsia"/>
          <w:color w:val="auto"/>
          <w:kern w:val="0"/>
          <w:sz w:val="28"/>
          <w:szCs w:val="28"/>
          <w:lang w:eastAsia="zh-CN"/>
        </w:rPr>
        <w:t>站内清洗</w:t>
      </w:r>
      <w:r>
        <w:rPr>
          <w:rFonts w:ascii="宋体" w:eastAsia="宋体" w:cs="宋体" w:hAnsi="宋体" w:hint="eastAsia"/>
          <w:color w:val="auto"/>
          <w:kern w:val="0"/>
          <w:sz w:val="28"/>
          <w:szCs w:val="28"/>
        </w:rPr>
        <w:t>用水、</w:t>
      </w:r>
      <w:r>
        <w:rPr>
          <w:rFonts w:ascii="宋体" w:eastAsia="宋体" w:cs="宋体" w:hAnsi="宋体" w:hint="eastAsia"/>
          <w:color w:val="auto"/>
          <w:kern w:val="0"/>
          <w:sz w:val="28"/>
          <w:szCs w:val="28"/>
          <w:lang w:eastAsia="zh-CN"/>
        </w:rPr>
        <w:t>绿化用水及</w:t>
      </w:r>
      <w:r>
        <w:rPr>
          <w:rFonts w:ascii="宋体" w:eastAsia="宋体" w:cs="宋体" w:hAnsi="宋体" w:hint="eastAsia"/>
          <w:color w:val="auto"/>
          <w:kern w:val="0"/>
          <w:sz w:val="28"/>
          <w:szCs w:val="28"/>
        </w:rPr>
        <w:t>消防补给水，拟</w:t>
      </w:r>
      <w:r>
        <w:rPr>
          <w:rFonts w:ascii="宋体" w:eastAsia="宋体" w:cs="宋体" w:hAnsi="宋体" w:hint="eastAsia"/>
          <w:color w:val="auto"/>
          <w:kern w:val="0"/>
          <w:sz w:val="28"/>
          <w:szCs w:val="28"/>
          <w:lang w:eastAsia="zh-CN"/>
        </w:rPr>
        <w:t>在开关站和储能站用地外西向约</w:t>
      </w:r>
      <w:r>
        <w:rPr>
          <w:rFonts w:ascii="宋体" w:eastAsia="宋体" w:cs="宋体" w:hAnsi="宋体" w:hint="eastAsia"/>
          <w:color w:val="auto"/>
          <w:kern w:val="0"/>
          <w:sz w:val="28"/>
          <w:szCs w:val="28"/>
          <w:lang w:val="en-US" w:eastAsia="zh-CN"/>
        </w:rPr>
        <w:t>150米处</w:t>
      </w:r>
      <w:r>
        <w:rPr>
          <w:rFonts w:ascii="宋体" w:eastAsia="宋体" w:cs="宋体" w:hAnsi="宋体" w:hint="eastAsia"/>
          <w:color w:val="auto"/>
          <w:kern w:val="0"/>
          <w:sz w:val="28"/>
          <w:szCs w:val="28"/>
        </w:rPr>
        <w:t>打井取水作为站区供水水源</w:t>
      </w:r>
      <w:r>
        <w:rPr>
          <w:rFonts w:ascii="宋体" w:eastAsia="宋体" w:cs="宋体" w:hAnsi="宋体" w:hint="eastAsia"/>
          <w:color w:val="auto"/>
          <w:kern w:val="0"/>
          <w:sz w:val="28"/>
          <w:szCs w:val="28"/>
          <w:lang w:eastAsia="zh-CN"/>
        </w:rPr>
        <w:t>，管距约</w:t>
      </w:r>
      <w:r>
        <w:rPr>
          <w:rFonts w:ascii="宋体" w:eastAsia="宋体" w:cs="宋体" w:hAnsi="宋体" w:hint="eastAsia"/>
          <w:color w:val="auto"/>
          <w:kern w:val="0"/>
          <w:sz w:val="28"/>
          <w:szCs w:val="28"/>
          <w:lang w:val="en-US" w:eastAsia="zh-CN"/>
        </w:rPr>
        <w:t>180米</w:t>
      </w:r>
      <w:r>
        <w:rPr>
          <w:rFonts w:ascii="宋体" w:eastAsia="宋体" w:cs="宋体" w:hAnsi="宋体" w:hint="eastAsia"/>
          <w:color w:val="auto"/>
          <w:kern w:val="0"/>
          <w:sz w:val="28"/>
          <w:szCs w:val="28"/>
          <w:lang w:eastAsia="zh-CN"/>
        </w:rPr>
        <w:t>。开关站内东面设置一个集水池，储能</w:t>
      </w:r>
      <w:r>
        <w:rPr>
          <w:rFonts w:ascii="宋体" w:eastAsia="宋体" w:cs="宋体" w:hAnsi="宋体" w:hint="eastAsia"/>
          <w:color w:val="auto"/>
          <w:kern w:val="0"/>
          <w:sz w:val="28"/>
          <w:szCs w:val="28"/>
        </w:rPr>
        <w:t>站内</w:t>
      </w:r>
      <w:r>
        <w:rPr>
          <w:rFonts w:ascii="宋体" w:eastAsia="宋体" w:cs="宋体" w:hAnsi="宋体" w:hint="eastAsia"/>
          <w:color w:val="auto"/>
          <w:kern w:val="0"/>
          <w:sz w:val="28"/>
          <w:szCs w:val="28"/>
          <w:lang w:eastAsia="zh-CN"/>
        </w:rPr>
        <w:t>南面</w:t>
      </w:r>
      <w:r>
        <w:rPr>
          <w:rFonts w:ascii="宋体" w:eastAsia="宋体" w:cs="宋体" w:hAnsi="宋体" w:hint="eastAsia"/>
          <w:color w:val="auto"/>
          <w:kern w:val="0"/>
          <w:sz w:val="28"/>
          <w:szCs w:val="28"/>
        </w:rPr>
        <w:t>设一套供水设备和消防水</w:t>
      </w:r>
      <w:r>
        <w:rPr>
          <w:rFonts w:ascii="宋体" w:eastAsia="宋体" w:cs="宋体" w:hAnsi="宋体" w:hint="eastAsia"/>
          <w:color w:val="auto"/>
          <w:kern w:val="0"/>
          <w:sz w:val="28"/>
          <w:szCs w:val="28"/>
          <w:lang w:eastAsia="zh-CN"/>
        </w:rPr>
        <w:t>箱</w:t>
      </w:r>
      <w:r>
        <w:rPr>
          <w:rFonts w:ascii="宋体" w:eastAsia="宋体" w:cs="宋体" w:hAnsi="宋体" w:hint="eastAsia"/>
          <w:color w:val="auto"/>
          <w:kern w:val="0"/>
          <w:sz w:val="28"/>
          <w:szCs w:val="28"/>
        </w:rPr>
        <w:t>，配置两台深井潜水泵布置在井内，用DN100 给水管将水供至地块内水泵房及消防水</w:t>
      </w:r>
      <w:r>
        <w:rPr>
          <w:rFonts w:ascii="宋体" w:eastAsia="宋体" w:cs="宋体" w:hAnsi="宋体" w:hint="eastAsia"/>
          <w:color w:val="auto"/>
          <w:kern w:val="0"/>
          <w:sz w:val="28"/>
          <w:szCs w:val="28"/>
          <w:lang w:eastAsia="zh-CN"/>
        </w:rPr>
        <w:t>箱</w:t>
      </w:r>
      <w:r>
        <w:rPr>
          <w:rFonts w:ascii="宋体" w:eastAsia="宋体" w:cs="宋体" w:hAnsi="宋体" w:hint="eastAsia"/>
          <w:color w:val="auto"/>
          <w:kern w:val="0"/>
          <w:sz w:val="28"/>
          <w:szCs w:val="28"/>
        </w:rPr>
        <w:t>。水泵房内设一套给水处理设备，净化处理后的水经成套供水设备供至站内各个用水点。</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49" w:name="_Toc28574"/>
      <w:r>
        <w:rPr>
          <w:rFonts w:ascii="宋体" w:eastAsia="宋体" w:cs="宋体" w:hAnsi="宋体" w:hint="eastAsia"/>
          <w:bCs/>
          <w:color w:val="auto"/>
          <w:sz w:val="32"/>
          <w:szCs w:val="32"/>
          <w:lang w:val="en-US" w:eastAsia="zh-CN"/>
        </w:rPr>
        <w:t>5.2排水工程规划</w:t>
      </w:r>
      <w:bookmarkEnd w:id="49"/>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5.2.1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《城市排水工程规划规范》GB50318-2017</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rPr>
        <w:t>）《室外排水设计规范》GB50014-2016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《城市工程管线综合规划规范》（GB50289-2016）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《污水综合排放标准》（GB8978-1996）</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《钦州市城市规划技术标准与准则》（2015年版）</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rPr>
        <w:t>）其它有关国家及地方的现行规程、规范及标准</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）甲方提供的用地勘测地形图和市政排水基础资料。</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5.2.2 </w:t>
      </w:r>
      <w:r>
        <w:rPr>
          <w:rFonts w:hint="eastAsia"/>
          <w:b/>
          <w:bCs/>
          <w:color w:val="auto"/>
          <w:sz w:val="28"/>
          <w:szCs w:val="28"/>
        </w:rPr>
        <w:t>现状概况</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项目用地</w:t>
      </w:r>
      <w:r>
        <w:rPr>
          <w:rFonts w:ascii="宋体" w:eastAsia="宋体" w:cs="宋体" w:hAnsi="宋体" w:hint="eastAsia"/>
          <w:color w:val="auto"/>
          <w:kern w:val="0"/>
          <w:sz w:val="28"/>
          <w:szCs w:val="28"/>
        </w:rPr>
        <w:t>离城镇中心较</w:t>
      </w:r>
      <w:r>
        <w:rPr>
          <w:rFonts w:ascii="宋体" w:eastAsia="宋体" w:cs="宋体" w:hAnsi="宋体" w:hint="eastAsia"/>
          <w:color w:val="auto"/>
          <w:kern w:val="0"/>
          <w:sz w:val="28"/>
          <w:szCs w:val="28"/>
          <w:lang w:eastAsia="zh-CN"/>
        </w:rPr>
        <w:t>近</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但由于地势较高</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主要为</w:t>
      </w:r>
      <w:r>
        <w:rPr>
          <w:rFonts w:hint="eastAsia"/>
          <w:color w:val="auto"/>
          <w:kern w:val="0"/>
          <w:sz w:val="28"/>
          <w:szCs w:val="28"/>
          <w:lang w:val="en-US"/>
        </w:rPr>
        <w:t>丘陵谷地</w:t>
      </w:r>
      <w:r>
        <w:rPr>
          <w:rFonts w:hint="eastAsia"/>
          <w:color w:val="auto"/>
          <w:kern w:val="0"/>
          <w:sz w:val="28"/>
          <w:szCs w:val="28"/>
          <w:lang w:val="en-US" w:eastAsia="zh-CN"/>
        </w:rPr>
        <w:t>地貌，</w:t>
      </w:r>
      <w:r>
        <w:rPr>
          <w:rFonts w:ascii="宋体" w:eastAsia="宋体" w:cs="宋体" w:hAnsi="宋体" w:hint="eastAsia"/>
          <w:color w:val="auto"/>
          <w:kern w:val="0"/>
          <w:sz w:val="28"/>
          <w:szCs w:val="28"/>
        </w:rPr>
        <w:t>现状</w:t>
      </w:r>
      <w:r>
        <w:rPr>
          <w:rFonts w:ascii="宋体" w:eastAsia="宋体" w:cs="宋体" w:hAnsi="宋体" w:hint="eastAsia"/>
          <w:color w:val="auto"/>
          <w:kern w:val="0"/>
          <w:sz w:val="28"/>
          <w:szCs w:val="28"/>
          <w:lang w:eastAsia="zh-CN"/>
        </w:rPr>
        <w:t>场区</w:t>
      </w:r>
      <w:r>
        <w:rPr>
          <w:rFonts w:ascii="宋体" w:eastAsia="宋体" w:cs="宋体" w:hAnsi="宋体" w:hint="eastAsia"/>
          <w:color w:val="auto"/>
          <w:kern w:val="0"/>
          <w:sz w:val="28"/>
          <w:szCs w:val="28"/>
        </w:rPr>
        <w:t>周边</w:t>
      </w:r>
      <w:r>
        <w:rPr>
          <w:rFonts w:ascii="宋体" w:eastAsia="宋体" w:cs="宋体" w:hAnsi="宋体" w:hint="eastAsia"/>
          <w:color w:val="auto"/>
          <w:kern w:val="0"/>
          <w:sz w:val="28"/>
          <w:szCs w:val="28"/>
          <w:lang w:eastAsia="zh-CN"/>
        </w:rPr>
        <w:t>没有完善的</w:t>
      </w:r>
      <w:r>
        <w:rPr>
          <w:rFonts w:ascii="宋体" w:eastAsia="宋体" w:cs="宋体" w:hAnsi="宋体" w:hint="eastAsia"/>
          <w:color w:val="auto"/>
          <w:kern w:val="0"/>
          <w:sz w:val="28"/>
          <w:szCs w:val="28"/>
        </w:rPr>
        <w:t>市政</w:t>
      </w:r>
      <w:r>
        <w:rPr>
          <w:rFonts w:ascii="宋体" w:eastAsia="宋体" w:cs="宋体" w:hAnsi="宋体" w:hint="eastAsia"/>
          <w:color w:val="auto"/>
          <w:kern w:val="0"/>
          <w:sz w:val="28"/>
          <w:szCs w:val="28"/>
          <w:lang w:eastAsia="zh-CN"/>
        </w:rPr>
        <w:t>排</w:t>
      </w:r>
      <w:r>
        <w:rPr>
          <w:rFonts w:ascii="宋体" w:eastAsia="宋体" w:cs="宋体" w:hAnsi="宋体" w:hint="eastAsia"/>
          <w:color w:val="auto"/>
          <w:kern w:val="0"/>
          <w:sz w:val="28"/>
          <w:szCs w:val="28"/>
        </w:rPr>
        <w:t>水设施。</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5.2.3 </w:t>
      </w:r>
      <w:r>
        <w:rPr>
          <w:rFonts w:hint="eastAsia"/>
          <w:b/>
          <w:bCs/>
          <w:color w:val="auto"/>
          <w:sz w:val="28"/>
          <w:szCs w:val="28"/>
        </w:rPr>
        <w:t>排水体制</w:t>
      </w:r>
    </w:p>
    <w:p>
      <w:pPr>
        <w:widowControl/>
        <w:spacing w:before="4" w:line="360" w:lineRule="auto"/>
        <w:ind w:left="118" w:right="351" w:firstLineChars="200" w:firstLine="560"/>
        <w:jc w:val="left"/>
        <w:rPr>
          <w:color w:val="auto"/>
        </w:rPr>
      </w:pPr>
      <w:r>
        <w:rPr>
          <w:rFonts w:ascii="宋体" w:eastAsia="宋体" w:cs="宋体" w:hAnsi="宋体" w:hint="eastAsia"/>
          <w:color w:val="auto"/>
          <w:kern w:val="0"/>
          <w:sz w:val="28"/>
          <w:szCs w:val="28"/>
          <w:lang w:eastAsia="zh-CN"/>
        </w:rPr>
        <w:t>本项目不产生生活污水，本规划</w:t>
      </w:r>
      <w:r>
        <w:rPr>
          <w:rFonts w:ascii="宋体" w:eastAsia="宋体" w:cs="宋体" w:hAnsi="宋体" w:hint="eastAsia"/>
          <w:color w:val="auto"/>
          <w:kern w:val="0"/>
          <w:sz w:val="28"/>
          <w:szCs w:val="28"/>
        </w:rPr>
        <w:t>排水系统主要包括</w:t>
      </w:r>
      <w:r>
        <w:rPr>
          <w:rFonts w:ascii="宋体" w:eastAsia="宋体" w:cs="宋体" w:hAnsi="宋体" w:hint="eastAsia"/>
          <w:color w:val="auto"/>
          <w:kern w:val="0"/>
          <w:sz w:val="28"/>
          <w:szCs w:val="28"/>
          <w:lang w:eastAsia="zh-CN"/>
        </w:rPr>
        <w:t>风电机组场地排水、开关站和储能站</w:t>
      </w:r>
      <w:r>
        <w:rPr>
          <w:rFonts w:ascii="宋体" w:eastAsia="宋体" w:cs="宋体" w:hAnsi="宋体" w:hint="eastAsia"/>
          <w:color w:val="auto"/>
          <w:kern w:val="0"/>
          <w:sz w:val="28"/>
          <w:szCs w:val="28"/>
        </w:rPr>
        <w:t>排水系统。</w:t>
      </w:r>
    </w:p>
    <w:p>
      <w:pPr>
        <w:pStyle w:val="18"/>
        <w:autoSpaceDE w:val="0"/>
        <w:autoSpaceDN w:val="0"/>
        <w:spacing w:before="4" w:line="420" w:lineRule="auto"/>
        <w:ind w:left="0" w:right="351" w:firstLineChars="200" w:firstLine="560"/>
        <w:rPr>
          <w:b/>
          <w:bCs/>
          <w:color w:val="auto"/>
          <w:sz w:val="28"/>
          <w:szCs w:val="28"/>
        </w:rPr>
      </w:pPr>
      <w:r>
        <w:rPr>
          <w:rFonts w:hint="eastAsia"/>
          <w:b/>
          <w:bCs/>
          <w:color w:val="auto"/>
          <w:sz w:val="28"/>
          <w:szCs w:val="28"/>
          <w:lang w:val="en-US" w:eastAsia="zh-CN"/>
        </w:rPr>
        <w:t xml:space="preserve">5.2.4 </w:t>
      </w:r>
      <w:r>
        <w:rPr>
          <w:rFonts w:hint="eastAsia"/>
          <w:b/>
          <w:bCs/>
          <w:color w:val="auto"/>
          <w:sz w:val="28"/>
          <w:szCs w:val="28"/>
        </w:rPr>
        <w:t>雨水工程</w:t>
      </w:r>
    </w:p>
    <w:p>
      <w:pPr>
        <w:widowControl/>
        <w:numPr>
          <w:ilvl w:val="0"/>
          <w:numId w:val="3"/>
        </w:numPr>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雨水量预测</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雨水量的计算与城市排涝系统规划相协调，雨水规划设计流量按下式计算：</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 Q=q•ψ•F</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——雨水设计流量（升/秒）；q ——设计暴雨强度（升/公顷•秒）；ψ ——径流系数；F ——汇水面积（公顷）。</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设计暴雨强度按钦州市暴雨强度公式计算：</w:t>
      </w:r>
    </w:p>
    <w:p>
      <w:pPr>
        <w:widowControl/>
        <w:spacing w:before="4" w:line="360" w:lineRule="auto"/>
        <w:ind w:leftChars="200" w:left="420" w:right="351" w:firstLine="0"/>
        <w:jc w:val="left"/>
        <w:rPr>
          <w:rFonts w:ascii="宋体" w:eastAsia="宋体" w:cs="宋体" w:hAnsi="宋体"/>
          <w:color w:val="auto"/>
          <w:kern w:val="0"/>
          <w:sz w:val="28"/>
          <w:szCs w:val="28"/>
          <w:vertAlign w:val="superscript"/>
        </w:rPr>
      </w:pPr>
      <w:r>
        <w:rPr>
          <w:rFonts w:ascii="宋体" w:eastAsia="宋体" w:cs="宋体" w:hAnsi="宋体" w:hint="eastAsia"/>
          <w:color w:val="auto"/>
          <w:kern w:val="0"/>
          <w:sz w:val="28"/>
          <w:szCs w:val="28"/>
        </w:rPr>
        <w:t>q=1817(1+0.505LgP)/(t+5.7)</w:t>
      </w:r>
      <w:r>
        <w:rPr>
          <w:rFonts w:ascii="宋体" w:eastAsia="宋体" w:cs="宋体" w:hAnsi="宋体"/>
          <w:color w:val="auto"/>
          <w:kern w:val="0"/>
          <w:sz w:val="28"/>
          <w:szCs w:val="28"/>
          <w:vertAlign w:val="superscript"/>
        </w:rPr>
        <w:t xml:space="preserve"> 0.58</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式中：q ——设计暴雨强度（升/公顷•秒）；P ——重现期；t ——降雨历时（分钟），t=t</w:t>
      </w:r>
      <w:r>
        <w:rPr>
          <w:rFonts w:ascii="宋体" w:eastAsia="宋体" w:cs="宋体" w:hAnsi="宋体"/>
          <w:color w:val="auto"/>
          <w:kern w:val="0"/>
          <w:sz w:val="28"/>
          <w:szCs w:val="28"/>
          <w:vertAlign w:val="subscript"/>
        </w:rPr>
        <w:t>1</w:t>
      </w:r>
      <w:r>
        <w:rPr>
          <w:rFonts w:ascii="宋体" w:eastAsia="宋体" w:cs="宋体" w:hAnsi="宋体" w:hint="eastAsia"/>
          <w:color w:val="auto"/>
          <w:kern w:val="0"/>
          <w:sz w:val="28"/>
          <w:szCs w:val="28"/>
        </w:rPr>
        <w:t>+t</w:t>
      </w:r>
      <w:r>
        <w:rPr>
          <w:rFonts w:ascii="宋体" w:eastAsia="宋体" w:cs="宋体" w:hAnsi="宋体"/>
          <w:color w:val="auto"/>
          <w:kern w:val="0"/>
          <w:sz w:val="28"/>
          <w:szCs w:val="28"/>
          <w:vertAlign w:val="subscript"/>
        </w:rPr>
        <w:t>2</w:t>
      </w:r>
      <w:r>
        <w:rPr>
          <w:rFonts w:ascii="宋体" w:eastAsia="宋体" w:cs="宋体" w:hAnsi="宋体" w:hint="eastAsia"/>
          <w:color w:val="auto"/>
          <w:kern w:val="0"/>
          <w:sz w:val="28"/>
          <w:szCs w:val="28"/>
        </w:rPr>
        <w:t>。（t</w:t>
      </w:r>
      <w:r>
        <w:rPr>
          <w:rFonts w:ascii="宋体" w:eastAsia="宋体" w:cs="宋体" w:hAnsi="宋体" w:hint="eastAsia"/>
          <w:color w:val="auto"/>
          <w:kern w:val="0"/>
          <w:sz w:val="28"/>
          <w:szCs w:val="28"/>
          <w:vertAlign w:val="subscript"/>
        </w:rPr>
        <w:t>1</w:t>
      </w:r>
      <w:r>
        <w:rPr>
          <w:rFonts w:ascii="宋体" w:eastAsia="宋体" w:cs="宋体" w:hAnsi="宋体" w:hint="eastAsia"/>
          <w:color w:val="auto"/>
          <w:kern w:val="0"/>
          <w:sz w:val="28"/>
          <w:szCs w:val="28"/>
        </w:rPr>
        <w:t xml:space="preserve"> ——地面集水时间，应根据汇水距离，地形坡度和地面种类计算确定，一般采用5～15 分钟；t</w:t>
      </w:r>
      <w:r>
        <w:rPr>
          <w:rFonts w:ascii="宋体" w:eastAsia="宋体" w:cs="宋体" w:hAnsi="宋体" w:hint="eastAsia"/>
          <w:color w:val="auto"/>
          <w:kern w:val="0"/>
          <w:sz w:val="28"/>
          <w:szCs w:val="28"/>
          <w:vertAlign w:val="subscript"/>
        </w:rPr>
        <w:t>2</w:t>
      </w:r>
      <w:r>
        <w:rPr>
          <w:rFonts w:ascii="宋体" w:eastAsia="宋体" w:cs="宋体" w:hAnsi="宋体" w:hint="eastAsia"/>
          <w:color w:val="auto"/>
          <w:kern w:val="0"/>
          <w:sz w:val="28"/>
          <w:szCs w:val="28"/>
        </w:rPr>
        <w:t>——管渠内雨水流行时间。）</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考虑到规划地块以丘陵谷地地形为主，重现期宜采用3～4年。</w:t>
      </w:r>
    </w:p>
    <w:p>
      <w:pPr>
        <w:widowControl/>
        <w:spacing w:before="4" w:line="360" w:lineRule="auto"/>
        <w:ind w:leftChars="200" w:left="420" w:right="351" w:firstLine="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综合径流系数：=0.45～0.6</w:t>
      </w:r>
    </w:p>
    <w:p>
      <w:pPr>
        <w:widowControl/>
        <w:spacing w:before="4" w:line="360" w:lineRule="auto"/>
        <w:ind w:leftChars="200" w:left="420" w:right="351" w:firstLineChars="200" w:firstLine="560"/>
        <w:jc w:val="left"/>
        <w:rPr>
          <w:rFonts w:ascii="宋体" w:eastAsia="宋体" w:cs="宋体" w:hAnsi="宋体"/>
          <w:b w:val="0"/>
          <w:bCs w:val="0"/>
          <w:color w:val="auto"/>
          <w:kern w:val="0"/>
          <w:sz w:val="28"/>
          <w:szCs w:val="28"/>
        </w:rPr>
      </w:pPr>
      <w:r>
        <w:rPr>
          <w:rFonts w:ascii="宋体" w:eastAsia="宋体" w:cs="宋体" w:hAnsi="宋体" w:hint="eastAsia"/>
          <w:b w:val="0"/>
          <w:bCs w:val="0"/>
          <w:color w:val="auto"/>
          <w:kern w:val="0"/>
          <w:sz w:val="28"/>
          <w:szCs w:val="28"/>
        </w:rPr>
        <w:t>（</w:t>
      </w:r>
      <w:r>
        <w:rPr>
          <w:rFonts w:ascii="宋体" w:eastAsia="宋体" w:cs="宋体" w:hAnsi="宋体"/>
          <w:b w:val="0"/>
          <w:bCs w:val="0"/>
          <w:color w:val="auto"/>
          <w:kern w:val="0"/>
          <w:sz w:val="28"/>
          <w:szCs w:val="28"/>
        </w:rPr>
        <w:t>2</w:t>
      </w:r>
      <w:r>
        <w:rPr>
          <w:rFonts w:ascii="宋体" w:eastAsia="宋体" w:cs="宋体" w:hAnsi="宋体" w:hint="eastAsia"/>
          <w:b w:val="0"/>
          <w:bCs w:val="0"/>
          <w:color w:val="auto"/>
          <w:kern w:val="0"/>
          <w:sz w:val="28"/>
          <w:szCs w:val="28"/>
        </w:rPr>
        <w:t>）雨水分区和管网规划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eastAsia="zh-CN"/>
        </w:rPr>
        <w:t>规划风电机组用地和开关站及储能站用地</w:t>
      </w:r>
      <w:r>
        <w:rPr>
          <w:rFonts w:ascii="宋体" w:eastAsia="宋体" w:cs="宋体" w:hAnsi="宋体" w:hint="eastAsia"/>
          <w:color w:val="auto"/>
          <w:kern w:val="0"/>
          <w:sz w:val="28"/>
          <w:szCs w:val="28"/>
        </w:rPr>
        <w:t>按照高水高排、低水低排的原则，充分利用地形就近排放。</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开关站和储能站用地内</w:t>
      </w:r>
      <w:r>
        <w:rPr>
          <w:rFonts w:ascii="宋体" w:eastAsia="宋体" w:cs="宋体" w:hAnsi="宋体" w:hint="eastAsia"/>
          <w:color w:val="auto"/>
          <w:kern w:val="0"/>
          <w:sz w:val="28"/>
          <w:szCs w:val="28"/>
        </w:rPr>
        <w:t>雨水管网沿</w:t>
      </w:r>
      <w:r>
        <w:rPr>
          <w:rFonts w:ascii="宋体" w:eastAsia="宋体" w:cs="宋体" w:hAnsi="宋体" w:hint="eastAsia"/>
          <w:color w:val="auto"/>
          <w:kern w:val="0"/>
          <w:sz w:val="28"/>
          <w:szCs w:val="28"/>
          <w:lang w:eastAsia="zh-CN"/>
        </w:rPr>
        <w:t>场内道</w:t>
      </w:r>
      <w:r>
        <w:rPr>
          <w:rFonts w:ascii="宋体" w:eastAsia="宋体" w:cs="宋体" w:hAnsi="宋体" w:hint="eastAsia"/>
          <w:color w:val="auto"/>
          <w:kern w:val="0"/>
          <w:sz w:val="28"/>
          <w:szCs w:val="28"/>
        </w:rPr>
        <w:t>路敷设，</w:t>
      </w:r>
      <w:r>
        <w:rPr>
          <w:rFonts w:ascii="宋体" w:eastAsia="宋体" w:cs="宋体" w:hAnsi="宋体" w:hint="eastAsia"/>
          <w:color w:val="auto"/>
          <w:kern w:val="0"/>
          <w:sz w:val="28"/>
          <w:szCs w:val="28"/>
          <w:lang w:eastAsia="zh-CN"/>
        </w:rPr>
        <w:t>规划</w:t>
      </w:r>
      <w:r>
        <w:rPr>
          <w:rFonts w:ascii="宋体" w:eastAsia="宋体" w:cs="宋体" w:hAnsi="宋体" w:hint="eastAsia"/>
          <w:color w:val="auto"/>
          <w:kern w:val="0"/>
          <w:sz w:val="28"/>
          <w:szCs w:val="28"/>
        </w:rPr>
        <w:t>雨水管径d400mm-600mm。</w:t>
      </w:r>
      <w:r>
        <w:rPr>
          <w:rFonts w:ascii="宋体" w:eastAsia="宋体" w:cs="宋体" w:hAnsi="宋体" w:hint="eastAsia"/>
          <w:color w:val="auto"/>
          <w:kern w:val="0"/>
          <w:sz w:val="28"/>
          <w:szCs w:val="28"/>
          <w:lang w:eastAsia="zh-CN"/>
        </w:rPr>
        <w:t>站区四周设置排水沟渠，最终</w:t>
      </w:r>
      <w:r>
        <w:rPr>
          <w:rFonts w:ascii="宋体" w:eastAsia="宋体" w:cs="宋体" w:hAnsi="宋体" w:hint="eastAsia"/>
          <w:color w:val="auto"/>
          <w:kern w:val="0"/>
          <w:sz w:val="28"/>
          <w:szCs w:val="28"/>
        </w:rPr>
        <w:t>以山地冲沟和坑塘河道为主要排水出口将雨水排出。</w:t>
      </w:r>
    </w:p>
    <w:p>
      <w:pPr>
        <w:pStyle w:val="1"/>
        <w:numPr>
          <w:ilvl w:val="0"/>
          <w:numId w:val="0"/>
        </w:numPr>
        <w:autoSpaceDE w:val="0"/>
        <w:autoSpaceDN w:val="0"/>
        <w:spacing w:before="260" w:line="360" w:lineRule="auto"/>
        <w:ind w:left="420" w:right="351"/>
        <w:rPr>
          <w:rFonts w:ascii="宋体" w:eastAsia="宋体" w:cs="宋体" w:hAnsi="宋体" w:hint="eastAsia"/>
          <w:b/>
          <w:bCs/>
          <w:color w:val="auto"/>
          <w:sz w:val="32"/>
          <w:szCs w:val="32"/>
        </w:rPr>
      </w:pPr>
      <w:bookmarkStart w:id="50" w:name="_Toc10944"/>
      <w:r>
        <w:rPr>
          <w:rFonts w:ascii="宋体" w:eastAsia="宋体" w:cs="宋体" w:hAnsi="宋体" w:hint="eastAsia"/>
          <w:bCs/>
          <w:color w:val="auto"/>
          <w:sz w:val="32"/>
          <w:szCs w:val="32"/>
          <w:lang w:val="en-US" w:eastAsia="zh-CN"/>
        </w:rPr>
        <w:t xml:space="preserve">5.3 </w:t>
      </w:r>
      <w:r>
        <w:rPr>
          <w:rFonts w:ascii="宋体" w:eastAsia="宋体" w:cs="宋体" w:hAnsi="宋体" w:hint="eastAsia"/>
          <w:bCs/>
          <w:color w:val="auto"/>
          <w:sz w:val="32"/>
          <w:szCs w:val="32"/>
        </w:rPr>
        <w:t>电力工程规划</w:t>
      </w:r>
      <w:bookmarkEnd w:id="50"/>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5.3.1 </w:t>
      </w:r>
      <w:r>
        <w:rPr>
          <w:rFonts w:hint="eastAsia"/>
          <w:b/>
          <w:bCs/>
          <w:color w:val="auto"/>
          <w:sz w:val="28"/>
          <w:szCs w:val="28"/>
        </w:rPr>
        <w:t>规划依据</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（试行）</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w:t>
      </w:r>
      <w:r>
        <w:rPr>
          <w:rFonts w:ascii="宋体" w:eastAsia="宋体" w:cs="宋体" w:hAnsi="宋体" w:hint="eastAsia"/>
          <w:color w:val="auto"/>
          <w:kern w:val="0"/>
          <w:sz w:val="28"/>
          <w:szCs w:val="28"/>
          <w:lang w:val="en-US" w:eastAsia="zh-CN"/>
        </w:rPr>
        <w:t>力发电场设计规范</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w:t>
      </w:r>
      <w:r>
        <w:rPr>
          <w:rFonts w:ascii="宋体" w:eastAsia="宋体" w:cs="宋体" w:hAnsi="宋体"/>
          <w:color w:val="auto"/>
          <w:kern w:val="0"/>
          <w:sz w:val="28"/>
          <w:szCs w:val="28"/>
        </w:rPr>
        <w:t>GB</w:t>
      </w:r>
      <w:r>
        <w:rPr>
          <w:rFonts w:ascii="宋体" w:eastAsia="宋体" w:cs="宋体" w:hAnsi="宋体" w:hint="eastAsia"/>
          <w:color w:val="auto"/>
          <w:kern w:val="0"/>
          <w:sz w:val="28"/>
          <w:szCs w:val="28"/>
          <w:lang w:eastAsia="zh-CN"/>
        </w:rPr>
        <w:t>5</w:t>
      </w:r>
      <w:r>
        <w:rPr>
          <w:rFonts w:ascii="宋体" w:eastAsia="宋体" w:cs="宋体" w:hAnsi="宋体" w:hint="eastAsia"/>
          <w:color w:val="auto"/>
          <w:kern w:val="0"/>
          <w:sz w:val="28"/>
          <w:szCs w:val="28"/>
          <w:lang w:val="en-US" w:eastAsia="zh-CN"/>
        </w:rPr>
        <w:t>1096</w:t>
      </w:r>
      <w:r>
        <w:rPr>
          <w:rFonts w:ascii="宋体" w:eastAsia="宋体" w:cs="宋体" w:hAnsi="宋体"/>
          <w:color w:val="auto"/>
          <w:kern w:val="0"/>
          <w:sz w:val="28"/>
          <w:szCs w:val="28"/>
        </w:rPr>
        <w:t>-201</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《中国南方电网城市配电网技术导则》（Q/CSG l0012-2005）；</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《城市电力网规划设计导则》（Q/GDW156-2006）；</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《城市电力规划规范》( GB50293-2014)</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《通用用电设备配电设计规范》GB 50055-2011；</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p>
    <w:p>
      <w:pPr>
        <w:widowControl/>
        <w:spacing w:before="4" w:line="360" w:lineRule="auto"/>
        <w:ind w:left="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《综合布线系统工程设计规范》GB 50311-2016；</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《供配电系统设计规范》GB50052-2009</w:t>
      </w:r>
      <w:r>
        <w:rPr>
          <w:rFonts w:ascii="宋体" w:eastAsia="宋体" w:cs="宋体" w:hAnsi="宋体" w:hint="eastAsia"/>
          <w:color w:val="auto"/>
          <w:kern w:val="0"/>
          <w:sz w:val="28"/>
          <w:szCs w:val="28"/>
          <w:lang w:eastAsia="zh-CN"/>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《35～110</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变电站设计规范》GB50059-2011</w:t>
      </w:r>
      <w:r>
        <w:rPr>
          <w:rFonts w:ascii="宋体" w:eastAsia="宋体" w:cs="宋体" w:hAnsi="宋体" w:hint="eastAsia"/>
          <w:color w:val="auto"/>
          <w:kern w:val="0"/>
          <w:sz w:val="28"/>
          <w:szCs w:val="28"/>
          <w:lang w:eastAsia="zh-CN"/>
        </w:rPr>
        <w:t>；</w:t>
      </w:r>
    </w:p>
    <w:p>
      <w:pPr>
        <w:widowControl/>
        <w:spacing w:before="4" w:line="360" w:lineRule="auto"/>
        <w:ind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11</w:t>
      </w:r>
      <w:r>
        <w:rPr>
          <w:rFonts w:ascii="宋体" w:eastAsia="宋体" w:cs="宋体" w:hAnsi="宋体" w:hint="eastAsia"/>
          <w:color w:val="auto"/>
          <w:kern w:val="0"/>
          <w:sz w:val="28"/>
          <w:szCs w:val="28"/>
        </w:rPr>
        <w:t>）其它有关国家及地方的现行规程、规范及标准</w:t>
      </w:r>
      <w:r>
        <w:rPr>
          <w:rFonts w:ascii="宋体" w:eastAsia="宋体" w:cs="宋体" w:hAnsi="宋体" w:hint="eastAsia"/>
          <w:color w:val="auto"/>
          <w:kern w:val="0"/>
          <w:sz w:val="28"/>
          <w:szCs w:val="28"/>
          <w:lang w:eastAsia="zh-CN"/>
        </w:rPr>
        <w:t>。</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5.3.2 规划原则</w:t>
      </w:r>
    </w:p>
    <w:p>
      <w:pPr>
        <w:widowControl/>
        <w:autoSpaceDE w:val="0"/>
        <w:autoSpaceDN w:val="0"/>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风电场主接线设计方案根据风电机组单机容量和出口电压等级确定，一般选用一机一变，经过技术经济比较选定若干台风电机组成一组，根据风电场装机容量确定组数，再根据组数确定风电场专用变电站高压进线柜的数量，并根据风电场规划装机容量预留扩建的余地。</w:t>
      </w:r>
    </w:p>
    <w:p>
      <w:pPr>
        <w:widowControl/>
        <w:autoSpaceDE w:val="0"/>
        <w:autoSpaceDN w:val="0"/>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在风电场接入电力系统设计完成并通过审查和风电场主接线设计完成后，才能考虑风电厂集电线路、变电设备及通信和控制设备的订货</w:t>
      </w:r>
      <w:r>
        <w:rPr>
          <w:rFonts w:ascii="宋体" w:eastAsia="宋体" w:cs="宋体" w:hAnsi="宋体" w:hint="eastAsia"/>
          <w:color w:val="auto"/>
          <w:kern w:val="0"/>
          <w:sz w:val="28"/>
          <w:szCs w:val="28"/>
          <w:lang w:eastAsia="zh-CN"/>
        </w:rPr>
        <w:t>。</w:t>
      </w:r>
    </w:p>
    <w:p>
      <w:pPr>
        <w:widowControl/>
        <w:autoSpaceDE w:val="0"/>
        <w:autoSpaceDN w:val="0"/>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）集电线路一般采用架空线路形式，当风场环境和景观有特殊要求时可采用电缆</w:t>
      </w:r>
      <w:r>
        <w:rPr>
          <w:rFonts w:ascii="宋体" w:eastAsia="宋体" w:cs="宋体" w:hAnsi="宋体" w:hint="eastAsia"/>
          <w:color w:val="auto"/>
          <w:kern w:val="0"/>
          <w:sz w:val="28"/>
          <w:szCs w:val="28"/>
        </w:rPr>
        <w:t>。</w:t>
      </w:r>
    </w:p>
    <w:p>
      <w:pPr>
        <w:pStyle w:val="15"/>
        <w:rPr>
          <w:rFonts w:hint="eastAsia"/>
          <w:lang w:eastAsia="zh-CN"/>
        </w:rPr>
      </w:pP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5.3.3 开关站和储能站地块</w:t>
      </w:r>
      <w:r>
        <w:rPr>
          <w:rFonts w:hint="eastAsia"/>
          <w:b/>
          <w:bCs/>
          <w:color w:val="auto"/>
          <w:sz w:val="28"/>
          <w:szCs w:val="28"/>
        </w:rPr>
        <w:t>用电负荷预测</w:t>
      </w:r>
    </w:p>
    <w:p>
      <w:pPr>
        <w:widowControl/>
        <w:autoSpaceDE w:val="0"/>
        <w:autoSpaceDN w:val="0"/>
        <w:spacing w:before="4" w:line="360" w:lineRule="auto"/>
        <w:ind w:leftChars="200" w:left="420" w:right="351" w:firstLineChars="200" w:firstLine="560"/>
        <w:rPr>
          <w:rFonts w:eastAsia="宋体" w:hint="eastAsia"/>
          <w:color w:val="auto"/>
          <w:lang w:val="en-US" w:eastAsia="zh-CN"/>
        </w:rPr>
      </w:pP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地块为公用设施用地的供电用地，用地面积</w:t>
      </w:r>
      <w:r>
        <w:rPr>
          <w:rFonts w:ascii="宋体" w:eastAsia="宋体" w:cs="宋体" w:hAnsi="宋体" w:hint="eastAsia"/>
          <w:color w:val="auto"/>
          <w:kern w:val="0"/>
          <w:sz w:val="28"/>
          <w:szCs w:val="28"/>
          <w:lang w:eastAsia="zh-CN"/>
        </w:rPr>
        <w:t>分别</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val="en-US" w:eastAsia="zh-CN"/>
        </w:rPr>
        <w:t>1273.51</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lang w:val="en-US" w:eastAsia="zh-CN"/>
        </w:rPr>
        <w:t>997.49</w:t>
      </w:r>
      <w:r>
        <w:rPr>
          <w:rFonts w:ascii="宋体" w:eastAsia="宋体" w:cs="宋体" w:hAnsi="宋体" w:hint="eastAsia"/>
          <w:color w:val="auto"/>
          <w:kern w:val="0"/>
          <w:sz w:val="28"/>
          <w:szCs w:val="28"/>
        </w:rPr>
        <w:t>平方米，根据《钦州市城市规划技术标准与准则》（2015年版），本地块电力负荷预测以分类的单位用地负荷密度法进行计算，公用设施用地按250kW/hm²标准取值，则计得</w:t>
      </w: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用地用电负荷</w:t>
      </w:r>
      <w:r>
        <w:rPr>
          <w:rFonts w:ascii="宋体" w:eastAsia="宋体" w:cs="宋体" w:hAnsi="宋体" w:hint="eastAsia"/>
          <w:color w:val="auto"/>
          <w:kern w:val="0"/>
          <w:sz w:val="28"/>
          <w:szCs w:val="28"/>
          <w:lang w:eastAsia="zh-CN"/>
        </w:rPr>
        <w:t>分别</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val="en-US" w:eastAsia="zh-CN"/>
        </w:rPr>
        <w:t>32</w:t>
      </w:r>
      <w:r>
        <w:rPr>
          <w:rFonts w:ascii="宋体" w:eastAsia="宋体" w:cs="宋体" w:hAnsi="宋体" w:hint="eastAsia"/>
          <w:color w:val="auto"/>
          <w:kern w:val="0"/>
          <w:sz w:val="28"/>
          <w:szCs w:val="28"/>
        </w:rPr>
        <w:t>kW</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lang w:val="en-US" w:eastAsia="zh-CN"/>
        </w:rPr>
        <w:t>25</w:t>
      </w:r>
      <w:r>
        <w:rPr>
          <w:rFonts w:ascii="宋体" w:eastAsia="宋体" w:cs="宋体" w:hAnsi="宋体" w:hint="eastAsia"/>
          <w:color w:val="auto"/>
          <w:kern w:val="0"/>
          <w:sz w:val="28"/>
          <w:szCs w:val="28"/>
        </w:rPr>
        <w:t>kW。</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5.3.4 </w:t>
      </w:r>
      <w:r>
        <w:rPr>
          <w:rFonts w:hint="eastAsia"/>
          <w:b/>
          <w:bCs/>
          <w:color w:val="auto"/>
          <w:sz w:val="28"/>
          <w:szCs w:val="28"/>
        </w:rPr>
        <w:t>电源规划</w:t>
      </w:r>
    </w:p>
    <w:p>
      <w:pPr>
        <w:widowControl/>
        <w:spacing w:before="4" w:line="360" w:lineRule="auto"/>
        <w:ind w:leftChars="200" w:left="420" w:right="351" w:firstLineChars="200" w:firstLine="560"/>
        <w:jc w:val="left"/>
        <w:rPr>
          <w:color w:val="auto"/>
          <w:lang w:val="en-US" w:eastAsia="zh-CN"/>
        </w:rPr>
      </w:pPr>
      <w:r>
        <w:rPr>
          <w:rFonts w:ascii="宋体" w:eastAsia="宋体" w:cs="宋体" w:hAnsi="宋体" w:hint="eastAsia"/>
          <w:color w:val="auto"/>
          <w:kern w:val="0"/>
          <w:sz w:val="28"/>
          <w:szCs w:val="28"/>
          <w:lang w:eastAsia="zh-CN"/>
        </w:rPr>
        <w:t>根据项目建设需要，开关站</w:t>
      </w:r>
      <w:r>
        <w:rPr>
          <w:rFonts w:ascii="宋体" w:eastAsia="宋体" w:cs="宋体" w:hAnsi="宋体" w:hint="eastAsia"/>
          <w:color w:val="auto"/>
          <w:kern w:val="0"/>
          <w:sz w:val="28"/>
          <w:szCs w:val="28"/>
        </w:rPr>
        <w:t>地块远期规划建设</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rPr>
        <w:t>台</w:t>
      </w:r>
      <w:r>
        <w:rPr>
          <w:rFonts w:ascii="宋体" w:eastAsia="宋体" w:cs="宋体" w:hAnsi="宋体" w:hint="eastAsia"/>
          <w:color w:val="auto"/>
          <w:kern w:val="0"/>
          <w:sz w:val="28"/>
          <w:szCs w:val="28"/>
          <w:lang w:val="en-US" w:eastAsia="zh-CN"/>
        </w:rPr>
        <w:t>35kV一次设备预制舱、1台二次设备预制舱、一套接地变兼站用变模块和一套SVG设备等</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储能站</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内部</w:t>
      </w:r>
      <w:r>
        <w:rPr>
          <w:rFonts w:ascii="宋体" w:eastAsia="宋体" w:cs="宋体" w:hAnsi="宋体" w:hint="eastAsia"/>
          <w:color w:val="auto"/>
          <w:kern w:val="0"/>
          <w:sz w:val="28"/>
          <w:szCs w:val="28"/>
        </w:rPr>
        <w:t>规划建设2 台</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M</w:t>
      </w:r>
      <w:r>
        <w:rPr>
          <w:rFonts w:ascii="宋体" w:eastAsia="宋体" w:cs="宋体" w:hAnsi="宋体" w:hint="eastAsia"/>
          <w:color w:val="auto"/>
          <w:kern w:val="0"/>
          <w:sz w:val="28"/>
          <w:szCs w:val="28"/>
          <w:lang w:val="en-US" w:eastAsia="zh-CN"/>
        </w:rPr>
        <w:t>W升压变流舱和2台6.03MWh电池集装箱。</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5.3.5 </w:t>
      </w:r>
      <w:r>
        <w:rPr>
          <w:rFonts w:hint="eastAsia"/>
          <w:b/>
          <w:bCs/>
          <w:color w:val="auto"/>
          <w:sz w:val="28"/>
          <w:szCs w:val="28"/>
        </w:rPr>
        <w:t>配电线路规划</w:t>
      </w:r>
    </w:p>
    <w:p>
      <w:pPr>
        <w:widowControl/>
        <w:spacing w:before="4" w:line="360" w:lineRule="auto"/>
        <w:ind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项目共安装10台单机容量为GW150-3.0 V30R03C100的风力发电机组</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每台占地面积441㎡，总装机规模为30MW</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共占地面积4410㎡；配套建设一座35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开关站</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占地面积为127</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.51㎡及6MW/12MWh的储能站，占地面积为997.49㎡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风电场以2回35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集电线路接入35</w:t>
      </w:r>
      <w:r>
        <w:rPr>
          <w:rFonts w:ascii="宋体" w:eastAsia="宋体" w:cs="宋体" w:hAnsi="宋体" w:hint="eastAsia"/>
          <w:color w:val="auto"/>
          <w:kern w:val="0"/>
          <w:sz w:val="28"/>
          <w:szCs w:val="28"/>
          <w:lang w:eastAsia="zh-CN"/>
        </w:rPr>
        <w:t>kV</w:t>
      </w:r>
      <w:r>
        <w:rPr>
          <w:rFonts w:ascii="宋体" w:eastAsia="宋体" w:cs="宋体" w:hAnsi="宋体" w:hint="eastAsia"/>
          <w:color w:val="auto"/>
          <w:kern w:val="0"/>
          <w:sz w:val="28"/>
          <w:szCs w:val="28"/>
        </w:rPr>
        <w:t>开关站,以1回35k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送出线路接入220k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歌标站的35k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母线并网</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rPr>
        <w:t>线路导线选JNRLH1/LB20A-240/30型铝包钢芯耐热铝合金绞线</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线路长度5.78km。</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1" w:name="_Toc3209"/>
      <w:r>
        <w:rPr>
          <w:rFonts w:ascii="宋体" w:eastAsia="宋体" w:cs="宋体" w:hAnsi="宋体" w:hint="eastAsia"/>
          <w:bCs/>
          <w:color w:val="auto"/>
          <w:sz w:val="32"/>
          <w:szCs w:val="32"/>
          <w:lang w:val="en-US" w:eastAsia="zh-CN"/>
        </w:rPr>
        <w:t>5.4通信工程规划</w:t>
      </w:r>
      <w:bookmarkEnd w:id="51"/>
    </w:p>
    <w:p>
      <w:pPr>
        <w:pStyle w:val="18"/>
        <w:autoSpaceDE w:val="0"/>
        <w:autoSpaceDN w:val="0"/>
        <w:spacing w:before="4" w:line="420" w:lineRule="auto"/>
        <w:ind w:left="118" w:right="351" w:firstLine="479"/>
        <w:rPr>
          <w:rFonts w:eastAsia="宋体" w:hint="eastAsia"/>
          <w:b/>
          <w:bCs/>
          <w:color w:val="auto"/>
          <w:sz w:val="28"/>
          <w:szCs w:val="28"/>
          <w:lang w:eastAsia="zh-CN"/>
        </w:rPr>
      </w:pPr>
      <w:r>
        <w:rPr>
          <w:rFonts w:hint="eastAsia"/>
          <w:b/>
          <w:bCs/>
          <w:color w:val="auto"/>
          <w:sz w:val="28"/>
          <w:szCs w:val="28"/>
          <w:lang w:val="en-US" w:eastAsia="zh-CN"/>
        </w:rPr>
        <w:t>5.4.1 自动化监控、</w:t>
      </w:r>
      <w:r>
        <w:rPr>
          <w:rFonts w:hint="eastAsia"/>
          <w:b/>
          <w:bCs/>
          <w:color w:val="auto"/>
          <w:sz w:val="28"/>
          <w:szCs w:val="28"/>
          <w:lang w:eastAsia="zh-CN"/>
        </w:rPr>
        <w:t>通信系统</w:t>
      </w:r>
    </w:p>
    <w:p>
      <w:pPr>
        <w:pStyle w:val="18"/>
        <w:autoSpaceDE w:val="0"/>
        <w:autoSpaceDN w:val="0"/>
        <w:spacing w:before="4" w:line="420" w:lineRule="auto"/>
        <w:ind w:left="118" w:right="351" w:firstLine="479"/>
        <w:rPr>
          <w:rFonts w:cs="宋体" w:hint="eastAsia"/>
          <w:color w:val="auto"/>
          <w:kern w:val="0"/>
          <w:sz w:val="28"/>
          <w:szCs w:val="28"/>
          <w:lang w:eastAsia="zh-CN"/>
        </w:rPr>
      </w:pPr>
      <w:r>
        <w:rPr>
          <w:rFonts w:ascii="宋体" w:eastAsia="宋体" w:cs="宋体" w:hAnsi="宋体" w:hint="eastAsia"/>
          <w:color w:val="auto"/>
          <w:kern w:val="0"/>
          <w:sz w:val="28"/>
          <w:szCs w:val="28"/>
          <w:lang w:eastAsia="zh-CN"/>
        </w:rPr>
        <w:t>在工程中</w:t>
      </w:r>
      <w:r>
        <w:rPr>
          <w:rFonts w:cs="宋体" w:hint="eastAsia"/>
          <w:color w:val="auto"/>
          <w:kern w:val="0"/>
          <w:sz w:val="28"/>
          <w:szCs w:val="28"/>
          <w:lang w:eastAsia="zh-CN"/>
        </w:rPr>
        <w:t>规划设置三</w:t>
      </w:r>
      <w:r>
        <w:rPr>
          <w:rFonts w:ascii="宋体" w:eastAsia="宋体" w:cs="宋体" w:hAnsi="宋体" w:hint="eastAsia"/>
          <w:color w:val="auto"/>
          <w:kern w:val="0"/>
          <w:sz w:val="28"/>
          <w:szCs w:val="28"/>
          <w:lang w:eastAsia="zh-CN"/>
        </w:rPr>
        <w:t>套综合自动化系统，分别为风电场</w:t>
      </w:r>
      <w:r>
        <w:rPr>
          <w:rFonts w:cs="宋体" w:hint="eastAsia"/>
          <w:color w:val="auto"/>
          <w:kern w:val="0"/>
          <w:sz w:val="28"/>
          <w:szCs w:val="28"/>
          <w:lang w:eastAsia="zh-CN"/>
        </w:rPr>
        <w:t>风机</w:t>
      </w:r>
      <w:r>
        <w:rPr>
          <w:rFonts w:ascii="宋体" w:eastAsia="宋体" w:cs="宋体" w:hAnsi="宋体" w:hint="eastAsia"/>
          <w:color w:val="auto"/>
          <w:kern w:val="0"/>
          <w:sz w:val="28"/>
          <w:szCs w:val="28"/>
          <w:lang w:eastAsia="zh-CN"/>
        </w:rPr>
        <w:t>监控系统</w:t>
      </w:r>
      <w:r>
        <w:rPr>
          <w:rFonts w:cs="宋体" w:hint="eastAsia"/>
          <w:color w:val="auto"/>
          <w:kern w:val="0"/>
          <w:sz w:val="28"/>
          <w:szCs w:val="28"/>
          <w:lang w:eastAsia="zh-CN"/>
        </w:rPr>
        <w:t>、开关站</w:t>
      </w:r>
      <w:r>
        <w:rPr>
          <w:rFonts w:ascii="宋体" w:eastAsia="宋体" w:cs="宋体" w:hAnsi="宋体" w:hint="eastAsia"/>
          <w:color w:val="auto"/>
          <w:kern w:val="0"/>
          <w:sz w:val="28"/>
          <w:szCs w:val="28"/>
          <w:lang w:eastAsia="zh-CN"/>
        </w:rPr>
        <w:t>微机监控系统</w:t>
      </w:r>
      <w:r>
        <w:rPr>
          <w:rFonts w:cs="宋体" w:hint="eastAsia"/>
          <w:color w:val="auto"/>
          <w:kern w:val="0"/>
          <w:sz w:val="28"/>
          <w:szCs w:val="28"/>
          <w:lang w:eastAsia="zh-CN"/>
        </w:rPr>
        <w:t>和储能</w:t>
      </w:r>
      <w:r>
        <w:rPr>
          <w:rFonts w:ascii="宋体" w:eastAsia="宋体" w:cs="宋体" w:hAnsi="宋体" w:hint="eastAsia"/>
          <w:color w:val="auto"/>
          <w:kern w:val="0"/>
          <w:sz w:val="28"/>
          <w:szCs w:val="28"/>
          <w:lang w:eastAsia="zh-CN"/>
        </w:rPr>
        <w:t>站微机监控系统，具有保护、控制、通信、测量等功能，可实现风电场</w:t>
      </w:r>
      <w:r>
        <w:rPr>
          <w:rFonts w:cs="宋体" w:hint="eastAsia"/>
          <w:color w:val="auto"/>
          <w:kern w:val="0"/>
          <w:sz w:val="28"/>
          <w:szCs w:val="28"/>
          <w:lang w:eastAsia="zh-CN"/>
        </w:rPr>
        <w:t>、开关站和储能站</w:t>
      </w:r>
      <w:r>
        <w:rPr>
          <w:rFonts w:ascii="宋体" w:eastAsia="宋体" w:cs="宋体" w:hAnsi="宋体" w:hint="eastAsia"/>
          <w:color w:val="auto"/>
          <w:kern w:val="0"/>
          <w:sz w:val="28"/>
          <w:szCs w:val="28"/>
          <w:lang w:eastAsia="zh-CN"/>
        </w:rPr>
        <w:t>的全功能自动化管理及风电场与地调端的遥测、遥信功能和与风力发电公司总部的监测功能</w:t>
      </w:r>
      <w:r>
        <w:rPr>
          <w:rFonts w:cs="宋体" w:hint="eastAsia"/>
          <w:color w:val="auto"/>
          <w:kern w:val="0"/>
          <w:sz w:val="28"/>
          <w:szCs w:val="28"/>
          <w:lang w:eastAsia="zh-CN"/>
        </w:rPr>
        <w:t>。</w:t>
      </w:r>
    </w:p>
    <w:p>
      <w:pPr>
        <w:rPr>
          <w:rFonts w:hint="eastAsia"/>
          <w:color w:val="auto"/>
          <w:lang w:val="en-US" w:eastAsia="zh-CN"/>
        </w:rPr>
      </w:pP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5.4.2 </w:t>
      </w:r>
      <w:r>
        <w:rPr>
          <w:rFonts w:hint="eastAsia"/>
          <w:b/>
          <w:bCs/>
          <w:color w:val="auto"/>
          <w:sz w:val="28"/>
          <w:szCs w:val="28"/>
        </w:rPr>
        <w:t>固话容量预测</w:t>
      </w:r>
    </w:p>
    <w:p>
      <w:pPr>
        <w:widowControl/>
        <w:spacing w:before="4" w:line="360" w:lineRule="auto"/>
        <w:ind w:leftChars="200" w:left="420"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地块为公用设施用地的供电用地，用地面积</w:t>
      </w:r>
      <w:r>
        <w:rPr>
          <w:rFonts w:ascii="宋体" w:eastAsia="宋体" w:cs="宋体" w:hAnsi="宋体" w:hint="eastAsia"/>
          <w:color w:val="auto"/>
          <w:kern w:val="0"/>
          <w:sz w:val="28"/>
          <w:szCs w:val="28"/>
          <w:lang w:eastAsia="zh-CN"/>
        </w:rPr>
        <w:t>分别</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val="en-US" w:eastAsia="zh-CN"/>
        </w:rPr>
        <w:t>1273.51</w:t>
      </w:r>
      <w:r>
        <w:rPr>
          <w:rFonts w:ascii="宋体" w:eastAsia="宋体" w:cs="宋体" w:hAnsi="宋体" w:hint="eastAsia"/>
          <w:color w:val="auto"/>
          <w:kern w:val="0"/>
          <w:sz w:val="28"/>
          <w:szCs w:val="28"/>
        </w:rPr>
        <w:t>平方米</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lang w:val="en-US" w:eastAsia="zh-CN"/>
        </w:rPr>
        <w:t>997.49</w:t>
      </w:r>
      <w:r>
        <w:rPr>
          <w:rFonts w:ascii="宋体" w:eastAsia="宋体" w:cs="宋体" w:hAnsi="宋体" w:hint="eastAsia"/>
          <w:color w:val="auto"/>
          <w:kern w:val="0"/>
          <w:sz w:val="28"/>
          <w:szCs w:val="28"/>
        </w:rPr>
        <w:t>平方米，根据《钦州市城市规划技术标准与准则》（2015年版），固定通信用户预测采用分类用地固定通信用户密度法取值20线/hm²进行计算，则计得</w:t>
      </w:r>
      <w:r>
        <w:rPr>
          <w:rFonts w:ascii="宋体" w:eastAsia="宋体" w:cs="宋体" w:hAnsi="宋体" w:hint="eastAsia"/>
          <w:color w:val="auto"/>
          <w:kern w:val="0"/>
          <w:sz w:val="28"/>
          <w:szCs w:val="28"/>
          <w:lang w:eastAsia="zh-CN"/>
        </w:rPr>
        <w:t>开关站</w:t>
      </w:r>
      <w:r>
        <w:rPr>
          <w:rFonts w:ascii="宋体" w:eastAsia="宋体" w:cs="宋体" w:hAnsi="宋体" w:hint="eastAsia"/>
          <w:color w:val="auto"/>
          <w:kern w:val="0"/>
          <w:sz w:val="28"/>
          <w:szCs w:val="28"/>
        </w:rPr>
        <w:t>固话容量约为</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rPr>
        <w:t>门</w:t>
      </w:r>
      <w:r>
        <w:rPr>
          <w:rFonts w:ascii="宋体" w:eastAsia="宋体" w:cs="宋体" w:hAnsi="宋体" w:hint="eastAsia"/>
          <w:color w:val="auto"/>
          <w:kern w:val="0"/>
          <w:sz w:val="28"/>
          <w:szCs w:val="28"/>
          <w:lang w:eastAsia="zh-CN"/>
        </w:rPr>
        <w:t>，储能站固话容量约为</w:t>
      </w:r>
      <w:r>
        <w:rPr>
          <w:rFonts w:ascii="宋体" w:eastAsia="宋体" w:cs="宋体" w:hAnsi="宋体" w:hint="eastAsia"/>
          <w:color w:val="auto"/>
          <w:kern w:val="0"/>
          <w:sz w:val="28"/>
          <w:szCs w:val="28"/>
          <w:lang w:val="en-US" w:eastAsia="zh-CN"/>
        </w:rPr>
        <w:t>2门</w:t>
      </w:r>
      <w:r>
        <w:rPr>
          <w:rFonts w:ascii="宋体" w:eastAsia="宋体" w:cs="宋体" w:hAnsi="宋体" w:hint="eastAsia"/>
          <w:color w:val="auto"/>
          <w:kern w:val="0"/>
          <w:sz w:val="28"/>
          <w:szCs w:val="28"/>
        </w:rPr>
        <w:t>。</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5.4.3 </w:t>
      </w:r>
      <w:r>
        <w:rPr>
          <w:rFonts w:hint="eastAsia"/>
          <w:b/>
          <w:bCs/>
          <w:color w:val="auto"/>
          <w:sz w:val="28"/>
          <w:szCs w:val="28"/>
          <w:lang w:eastAsia="zh-CN"/>
        </w:rPr>
        <w:t>通</w:t>
      </w:r>
      <w:r>
        <w:rPr>
          <w:rFonts w:hint="eastAsia"/>
          <w:b/>
          <w:bCs/>
          <w:color w:val="auto"/>
          <w:sz w:val="28"/>
          <w:szCs w:val="28"/>
        </w:rPr>
        <w:t>信管线规划</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为保证重要变电站通信设备不间断供电，应根据通信设备的供电电源要求，设置通信专用的蓄电池组或由交流不停电电源供电。相同直流供电电压的通信设备宜由同一组蓄电池供电。当以专用蓄电池作为备用设备时，其容量宜按1h~3h 计算，组数为一组或两组(当为两组时，每组容量为总容量的50%)。</w:t>
      </w:r>
    </w:p>
    <w:p>
      <w:pPr>
        <w:pStyle w:val="15"/>
        <w:rPr>
          <w:rFonts w:ascii="宋体" w:eastAsia="宋体" w:cs="宋体" w:hAnsi="宋体" w:hint="eastAsia"/>
          <w:color w:val="auto"/>
          <w:kern w:val="0"/>
          <w:sz w:val="28"/>
          <w:szCs w:val="28"/>
        </w:rPr>
      </w:pPr>
    </w:p>
    <w:p>
      <w:pPr>
        <w:rPr>
          <w:rFonts w:hint="eastAsia"/>
        </w:rPr>
      </w:pP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2" w:name="_Toc28049"/>
      <w:r>
        <w:rPr>
          <w:rFonts w:ascii="宋体" w:eastAsia="宋体" w:cs="宋体" w:hAnsi="宋体" w:hint="eastAsia"/>
          <w:bCs/>
          <w:color w:val="auto"/>
          <w:sz w:val="32"/>
          <w:szCs w:val="32"/>
          <w:lang w:val="en-US" w:eastAsia="zh-CN"/>
        </w:rPr>
        <w:t>5.5环卫设施规划</w:t>
      </w:r>
      <w:bookmarkEnd w:id="52"/>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5.5.1 </w:t>
      </w:r>
      <w:r>
        <w:rPr>
          <w:rFonts w:hint="eastAsia"/>
          <w:b/>
          <w:bCs/>
          <w:color w:val="auto"/>
          <w:sz w:val="28"/>
          <w:szCs w:val="28"/>
          <w:lang w:eastAsia="zh-CN"/>
        </w:rPr>
        <w:t>生活产生垃圾量</w:t>
      </w:r>
      <w:r>
        <w:rPr>
          <w:rFonts w:hint="eastAsia"/>
          <w:b/>
          <w:bCs/>
          <w:color w:val="auto"/>
          <w:sz w:val="28"/>
          <w:szCs w:val="28"/>
        </w:rPr>
        <w:t>预测</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参照相关研究成果，采用如下公式预测规划</w:t>
      </w:r>
      <w:r>
        <w:rPr>
          <w:rFonts w:ascii="宋体" w:eastAsia="宋体" w:cs="宋体" w:hAnsi="宋体" w:hint="eastAsia"/>
          <w:color w:val="auto"/>
          <w:kern w:val="0"/>
          <w:sz w:val="28"/>
          <w:szCs w:val="28"/>
          <w:lang w:eastAsia="zh-CN"/>
        </w:rPr>
        <w:t>地块</w:t>
      </w:r>
      <w:r>
        <w:rPr>
          <w:rFonts w:ascii="宋体" w:eastAsia="宋体" w:cs="宋体" w:hAnsi="宋体" w:hint="eastAsia"/>
          <w:color w:val="auto"/>
          <w:kern w:val="0"/>
          <w:sz w:val="28"/>
          <w:szCs w:val="28"/>
        </w:rPr>
        <w:t>的生活垃圾产生量：</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GT=GR×M</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式中：GT——生活垃圾产生量（吨／日）；</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GR——生活垃圾人均产生量（kg／人·日），按</w:t>
      </w:r>
      <w:r>
        <w:rPr>
          <w:rFonts w:ascii="宋体" w:eastAsia="宋体" w:cs="宋体" w:hAnsi="宋体" w:hint="eastAsia"/>
          <w:color w:val="auto"/>
          <w:kern w:val="0"/>
          <w:sz w:val="28"/>
          <w:szCs w:val="28"/>
          <w:lang w:val="en-US" w:eastAsia="zh-CN"/>
        </w:rPr>
        <w:t>0.5</w:t>
      </w:r>
      <w:r>
        <w:rPr>
          <w:rFonts w:ascii="宋体" w:eastAsia="宋体" w:cs="宋体" w:hAnsi="宋体" w:hint="eastAsia"/>
          <w:color w:val="auto"/>
          <w:kern w:val="0"/>
          <w:sz w:val="28"/>
          <w:szCs w:val="28"/>
        </w:rPr>
        <w:t>kg／人·日取值；</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M——规划</w:t>
      </w:r>
      <w:r>
        <w:rPr>
          <w:rFonts w:ascii="宋体" w:eastAsia="宋体" w:cs="宋体" w:hAnsi="宋体" w:hint="eastAsia"/>
          <w:color w:val="auto"/>
          <w:kern w:val="0"/>
          <w:sz w:val="28"/>
          <w:szCs w:val="28"/>
          <w:lang w:eastAsia="zh-CN"/>
        </w:rPr>
        <w:t>地块人数</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根据项目的实际的运营情况，本项目为总装机容量</w:t>
      </w:r>
      <w:r>
        <w:rPr>
          <w:rFonts w:ascii="宋体" w:eastAsia="宋体" w:cs="宋体" w:hAnsi="宋体" w:hint="eastAsia"/>
          <w:color w:val="auto"/>
          <w:kern w:val="0"/>
          <w:sz w:val="28"/>
          <w:szCs w:val="28"/>
          <w:lang w:val="en-US" w:eastAsia="zh-CN"/>
        </w:rPr>
        <w:t>50MW以下的</w:t>
      </w:r>
      <w:r>
        <w:rPr>
          <w:rFonts w:ascii="宋体" w:eastAsia="宋体" w:cs="宋体" w:hAnsi="宋体" w:hint="eastAsia"/>
          <w:color w:val="auto"/>
          <w:kern w:val="0"/>
          <w:sz w:val="28"/>
          <w:szCs w:val="28"/>
          <w:lang w:eastAsia="zh-CN"/>
        </w:rPr>
        <w:t>小型风电场，定员</w:t>
      </w:r>
      <w:r>
        <w:rPr>
          <w:rFonts w:ascii="宋体" w:eastAsia="宋体" w:cs="宋体" w:hAnsi="宋体" w:hint="eastAsia"/>
          <w:color w:val="auto"/>
          <w:kern w:val="0"/>
          <w:sz w:val="28"/>
          <w:szCs w:val="28"/>
        </w:rPr>
        <w:t>规模</w:t>
      </w:r>
      <w:r>
        <w:rPr>
          <w:rFonts w:ascii="宋体" w:eastAsia="宋体" w:cs="宋体" w:hAnsi="宋体" w:hint="eastAsia"/>
          <w:color w:val="auto"/>
          <w:kern w:val="0"/>
          <w:sz w:val="28"/>
          <w:szCs w:val="28"/>
          <w:lang w:eastAsia="zh-CN"/>
        </w:rPr>
        <w:t>约为</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rPr>
        <w:t>人</w:t>
      </w:r>
      <w:r>
        <w:rPr>
          <w:rFonts w:ascii="宋体" w:eastAsia="宋体" w:cs="宋体" w:hAnsi="宋体" w:hint="eastAsia"/>
          <w:color w:val="auto"/>
          <w:kern w:val="0"/>
          <w:sz w:val="28"/>
          <w:szCs w:val="28"/>
          <w:lang w:eastAsia="zh-CN"/>
        </w:rPr>
        <w:t>，其中生产人员定员约</w:t>
      </w:r>
      <w:r>
        <w:rPr>
          <w:rFonts w:ascii="宋体" w:eastAsia="宋体" w:cs="宋体" w:hAnsi="宋体" w:hint="eastAsia"/>
          <w:color w:val="auto"/>
          <w:kern w:val="0"/>
          <w:sz w:val="28"/>
          <w:szCs w:val="28"/>
          <w:lang w:val="en-US" w:eastAsia="zh-CN"/>
        </w:rPr>
        <w:t>8人，管理人员定员约2人</w:t>
      </w:r>
      <w:r>
        <w:rPr>
          <w:rFonts w:ascii="宋体" w:eastAsia="宋体" w:cs="宋体" w:hAnsi="宋体" w:hint="eastAsia"/>
          <w:color w:val="auto"/>
          <w:kern w:val="0"/>
          <w:sz w:val="28"/>
          <w:szCs w:val="28"/>
          <w:lang w:eastAsia="zh-CN"/>
        </w:rPr>
        <w:t>。</w:t>
      </w:r>
    </w:p>
    <w:p>
      <w:pPr>
        <w:widowControl/>
        <w:spacing w:before="4" w:line="360" w:lineRule="auto"/>
        <w:ind w:leftChars="200" w:left="420" w:right="351" w:firstLineChars="200" w:firstLine="560"/>
        <w:jc w:val="left"/>
        <w:rPr>
          <w:rFonts w:hint="eastAsia"/>
          <w:color w:val="auto"/>
        </w:rPr>
      </w:pPr>
      <w:r>
        <w:rPr>
          <w:rFonts w:ascii="宋体" w:eastAsia="宋体" w:cs="宋体" w:hAnsi="宋体" w:hint="eastAsia"/>
          <w:color w:val="auto"/>
          <w:kern w:val="0"/>
          <w:sz w:val="28"/>
          <w:szCs w:val="28"/>
        </w:rPr>
        <w:t>按以上方式，预测</w:t>
      </w:r>
      <w:r>
        <w:rPr>
          <w:rFonts w:ascii="宋体" w:eastAsia="宋体" w:cs="宋体" w:hAnsi="宋体" w:hint="eastAsia"/>
          <w:color w:val="auto"/>
          <w:kern w:val="0"/>
          <w:sz w:val="28"/>
          <w:szCs w:val="28"/>
          <w:lang w:eastAsia="zh-CN"/>
        </w:rPr>
        <w:t>本项目场区</w:t>
      </w:r>
      <w:r>
        <w:rPr>
          <w:rFonts w:ascii="宋体" w:eastAsia="宋体" w:cs="宋体" w:hAnsi="宋体" w:hint="eastAsia"/>
          <w:color w:val="auto"/>
          <w:kern w:val="0"/>
          <w:sz w:val="28"/>
          <w:szCs w:val="28"/>
        </w:rPr>
        <w:t>生活垃圾量为</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kg／日。</w:t>
      </w:r>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 xml:space="preserve">5.5.2 </w:t>
      </w:r>
      <w:r>
        <w:rPr>
          <w:rFonts w:hint="eastAsia"/>
          <w:b/>
          <w:bCs/>
          <w:color w:val="auto"/>
          <w:sz w:val="28"/>
          <w:szCs w:val="28"/>
          <w:lang w:eastAsia="zh-CN"/>
        </w:rPr>
        <w:t>垃圾转运系统</w:t>
      </w:r>
    </w:p>
    <w:p>
      <w:pPr>
        <w:widowControl/>
        <w:spacing w:before="4" w:line="360" w:lineRule="auto"/>
        <w:ind w:leftChars="200" w:left="42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建立垃圾收集点--》垃圾转运站--》无害化垃圾处理场的收集处理体系。</w:t>
      </w:r>
      <w:r>
        <w:rPr>
          <w:rFonts w:ascii="宋体" w:eastAsia="宋体" w:cs="宋体" w:hAnsi="宋体" w:hint="eastAsia"/>
          <w:color w:val="auto"/>
          <w:kern w:val="0"/>
          <w:sz w:val="28"/>
          <w:szCs w:val="28"/>
          <w:lang w:eastAsia="zh-CN"/>
        </w:rPr>
        <w:t>规划在开关站地块及储能站内设置垃圾收集池，在风电机组地块内设置垃圾箱，风电场维护的工作人员</w:t>
      </w:r>
      <w:r>
        <w:rPr>
          <w:rFonts w:ascii="宋体" w:eastAsia="宋体" w:cs="宋体" w:hAnsi="宋体" w:hint="eastAsia"/>
          <w:color w:val="auto"/>
          <w:kern w:val="0"/>
          <w:sz w:val="28"/>
          <w:szCs w:val="28"/>
        </w:rPr>
        <w:t>把</w:t>
      </w:r>
      <w:r>
        <w:rPr>
          <w:rFonts w:ascii="宋体" w:eastAsia="宋体" w:cs="宋体" w:hAnsi="宋体" w:hint="eastAsia"/>
          <w:color w:val="auto"/>
          <w:kern w:val="0"/>
          <w:sz w:val="28"/>
          <w:szCs w:val="28"/>
          <w:lang w:eastAsia="zh-CN"/>
        </w:rPr>
        <w:t>日常生活</w:t>
      </w:r>
      <w:r>
        <w:rPr>
          <w:rFonts w:ascii="宋体" w:eastAsia="宋体" w:cs="宋体" w:hAnsi="宋体" w:hint="eastAsia"/>
          <w:color w:val="auto"/>
          <w:kern w:val="0"/>
          <w:sz w:val="28"/>
          <w:szCs w:val="28"/>
        </w:rPr>
        <w:t>垃圾集中在垃圾收集</w:t>
      </w:r>
      <w:r>
        <w:rPr>
          <w:rFonts w:ascii="宋体" w:eastAsia="宋体" w:cs="宋体" w:hAnsi="宋体" w:hint="eastAsia"/>
          <w:color w:val="auto"/>
          <w:kern w:val="0"/>
          <w:sz w:val="28"/>
          <w:szCs w:val="28"/>
          <w:lang w:eastAsia="zh-CN"/>
        </w:rPr>
        <w:t>池或垃圾箱内</w:t>
      </w:r>
      <w:r>
        <w:rPr>
          <w:rFonts w:ascii="宋体" w:eastAsia="宋体" w:cs="宋体" w:hAnsi="宋体" w:hint="eastAsia"/>
          <w:color w:val="auto"/>
          <w:kern w:val="0"/>
          <w:sz w:val="28"/>
          <w:szCs w:val="28"/>
        </w:rPr>
        <w:t>，由环卫工人用人力车或者机动车统一收集后运至</w:t>
      </w:r>
      <w:r>
        <w:rPr>
          <w:rFonts w:ascii="宋体" w:eastAsia="宋体" w:cs="宋体" w:hAnsi="宋体" w:hint="eastAsia"/>
          <w:color w:val="auto"/>
          <w:kern w:val="0"/>
          <w:sz w:val="28"/>
          <w:szCs w:val="28"/>
          <w:lang w:eastAsia="zh-CN"/>
        </w:rPr>
        <w:t>大垌镇或那蒙镇</w:t>
      </w:r>
      <w:r>
        <w:rPr>
          <w:rFonts w:ascii="宋体" w:eastAsia="宋体" w:cs="宋体" w:hAnsi="宋体" w:hint="eastAsia"/>
          <w:color w:val="auto"/>
          <w:kern w:val="0"/>
          <w:sz w:val="28"/>
          <w:szCs w:val="28"/>
        </w:rPr>
        <w:t>垃圾转运站，垃圾转运站把垃圾压缩后密闭化运输至钦州市垃圾处理中心进行无害化处理。</w:t>
      </w:r>
    </w:p>
    <w:p>
      <w:pPr>
        <w:pStyle w:val="15"/>
        <w:rPr>
          <w:rFonts w:hint="eastAsia"/>
          <w:lang w:eastAsia="zh-CN"/>
        </w:rPr>
      </w:pPr>
    </w:p>
    <w:p>
      <w:pPr>
        <w:rPr>
          <w:rFonts w:hint="eastAsia"/>
          <w:color w:val="auto"/>
        </w:rPr>
      </w:pP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53" w:name="_Toc14210"/>
      <w:r>
        <w:rPr>
          <w:rFonts w:ascii="宋体" w:eastAsia="宋体" w:cs="宋体" w:hAnsi="宋体" w:hint="eastAsia"/>
          <w:bCs/>
          <w:color w:val="auto"/>
          <w:sz w:val="32"/>
          <w:szCs w:val="32"/>
          <w:lang w:eastAsia="zh-CN"/>
        </w:rPr>
        <w:t>第六章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rPr>
        <w:t>综合防灾规划</w:t>
      </w:r>
      <w:bookmarkEnd w:id="53"/>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4" w:name="_Toc20996"/>
      <w:r>
        <w:rPr>
          <w:rFonts w:ascii="宋体" w:eastAsia="宋体" w:cs="宋体" w:hAnsi="宋体" w:hint="eastAsia"/>
          <w:bCs/>
          <w:color w:val="auto"/>
          <w:sz w:val="32"/>
          <w:szCs w:val="32"/>
          <w:lang w:val="en-US" w:eastAsia="zh-CN"/>
        </w:rPr>
        <w:t>6.1消防规划</w:t>
      </w:r>
      <w:bookmarkEnd w:id="54"/>
    </w:p>
    <w:p>
      <w:pPr>
        <w:pStyle w:val="18"/>
        <w:autoSpaceDE w:val="0"/>
        <w:autoSpaceDN w:val="0"/>
        <w:spacing w:before="4" w:line="420" w:lineRule="auto"/>
        <w:ind w:left="118" w:right="351" w:firstLine="479"/>
        <w:rPr>
          <w:b/>
          <w:bCs/>
          <w:color w:val="auto"/>
          <w:sz w:val="28"/>
          <w:szCs w:val="28"/>
        </w:rPr>
      </w:pPr>
      <w:r>
        <w:rPr>
          <w:rFonts w:hint="eastAsia"/>
          <w:b/>
          <w:bCs/>
          <w:color w:val="auto"/>
          <w:sz w:val="28"/>
          <w:szCs w:val="28"/>
          <w:lang w:val="en-US" w:eastAsia="zh-CN"/>
        </w:rPr>
        <w:t>6.1.</w:t>
      </w:r>
      <w:r>
        <w:rPr>
          <w:rFonts w:hint="eastAsia"/>
          <w:b/>
          <w:bCs/>
          <w:color w:val="auto"/>
          <w:sz w:val="28"/>
          <w:szCs w:val="28"/>
          <w:lang w:val="en-US"/>
        </w:rPr>
        <w:t>1</w:t>
      </w:r>
      <w:r>
        <w:rPr>
          <w:rFonts w:hint="eastAsia"/>
          <w:b/>
          <w:bCs/>
          <w:color w:val="auto"/>
          <w:sz w:val="28"/>
          <w:szCs w:val="28"/>
          <w:lang w:val="en-US" w:eastAsia="zh-CN"/>
        </w:rPr>
        <w:t xml:space="preserve"> </w:t>
      </w:r>
      <w:r>
        <w:rPr>
          <w:rFonts w:hint="eastAsia"/>
          <w:b/>
          <w:bCs/>
          <w:color w:val="auto"/>
          <w:sz w:val="28"/>
          <w:szCs w:val="28"/>
        </w:rPr>
        <w:t>规划依据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（1）《中华人民共和国消防法》（</w:t>
      </w:r>
      <w:r>
        <w:rPr>
          <w:rFonts w:ascii="宋体" w:eastAsia="宋体" w:cs="宋体" w:hAnsi="宋体"/>
          <w:color w:val="auto"/>
          <w:kern w:val="0"/>
          <w:sz w:val="28"/>
          <w:szCs w:val="28"/>
        </w:rPr>
        <w:t>2019年修订）</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（2）《城市消防站建设标准》（建标152-2011）</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（3）《建筑设计防火规范》（GB50016-2014）（2018年版）</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《建筑防火通用规范》</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GB55037-2022</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5</w:t>
      </w:r>
      <w:r>
        <w:rPr>
          <w:rFonts w:ascii="宋体" w:eastAsia="宋体" w:cs="宋体" w:hAnsi="宋体" w:hint="eastAsia"/>
          <w:color w:val="auto"/>
          <w:kern w:val="0"/>
          <w:sz w:val="28"/>
          <w:szCs w:val="28"/>
        </w:rPr>
        <w:t>）《风电场设计防火规范》NB31089-2016</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6</w:t>
      </w:r>
      <w:r>
        <w:rPr>
          <w:rFonts w:ascii="宋体" w:eastAsia="宋体" w:cs="宋体" w:hAnsi="宋体" w:hint="eastAsia"/>
          <w:color w:val="auto"/>
          <w:kern w:val="0"/>
          <w:sz w:val="28"/>
          <w:szCs w:val="28"/>
          <w:lang w:eastAsia="zh-CN"/>
        </w:rPr>
        <w:t>）《35kV</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110kV变电站设计规范》GB50059</w:t>
      </w:r>
      <w:r>
        <w:rPr>
          <w:rFonts w:ascii="宋体" w:eastAsia="宋体" w:cs="宋体" w:hAnsi="宋体" w:hint="eastAsia"/>
          <w:color w:val="auto"/>
          <w:kern w:val="0"/>
          <w:sz w:val="28"/>
          <w:szCs w:val="28"/>
          <w:lang w:val="en-US" w:eastAsia="zh-CN"/>
        </w:rPr>
        <w:t>-2011</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）《火力发电厂与变电站设计防火规范》GB50229-2006</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8</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《电力工程电缆设计</w:t>
      </w:r>
      <w:r>
        <w:rPr>
          <w:rFonts w:ascii="宋体" w:eastAsia="宋体" w:cs="宋体" w:hAnsi="宋体" w:hint="eastAsia"/>
          <w:color w:val="auto"/>
          <w:kern w:val="0"/>
          <w:sz w:val="28"/>
          <w:szCs w:val="28"/>
          <w:lang w:eastAsia="zh-CN"/>
        </w:rPr>
        <w:t>标准</w:t>
      </w:r>
      <w:r>
        <w:rPr>
          <w:rFonts w:ascii="宋体" w:eastAsia="宋体" w:cs="宋体" w:hAnsi="宋体" w:hint="eastAsia"/>
          <w:color w:val="auto"/>
          <w:kern w:val="0"/>
          <w:sz w:val="28"/>
          <w:szCs w:val="28"/>
        </w:rPr>
        <w:t>》GB50217-2018</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《建筑灭火器配置设计规范》GB50140-2005。</w:t>
      </w:r>
    </w:p>
    <w:p>
      <w:pPr>
        <w:pStyle w:val="18"/>
        <w:widowControl/>
        <w:autoSpaceDE w:val="0"/>
        <w:autoSpaceDN w:val="0"/>
        <w:spacing w:before="4" w:line="420" w:lineRule="auto"/>
        <w:ind w:left="118" w:right="351" w:firstLineChars="200" w:firstLine="560"/>
        <w:jc w:val="left"/>
        <w:rPr>
          <w:color w:val="auto"/>
          <w:kern w:val="0"/>
          <w:sz w:val="28"/>
          <w:szCs w:val="28"/>
        </w:rPr>
      </w:pPr>
      <w:r>
        <w:rPr>
          <w:rFonts w:hint="eastAsia"/>
          <w:b/>
          <w:bCs/>
          <w:color w:val="auto"/>
          <w:sz w:val="28"/>
          <w:szCs w:val="28"/>
          <w:lang w:val="en-US" w:eastAsia="zh-CN"/>
        </w:rPr>
        <w:t xml:space="preserve">6.1.2 </w:t>
      </w:r>
      <w:r>
        <w:rPr>
          <w:rFonts w:hint="eastAsia"/>
          <w:b/>
          <w:bCs/>
          <w:color w:val="auto"/>
          <w:sz w:val="28"/>
          <w:szCs w:val="28"/>
        </w:rPr>
        <w:t>规划原则</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（1）贯彻“预防为主、防消结合”的消防工作方针，做到防患于未“燃”。严格按照规程规范的要求设计，采取“一防、二断、三灭、四排”的综合消防技术措施。</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（2）工程消防设计与总平面布置统筹考虑，保证消防车道、防火间距、安全出口等各项要求。</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（3）规划地块应合理划分防火分区。新建筑按照一、二级耐火等级设计，建筑防火间距符合《建筑设计防火规范》（GB50016-2014）（2018年版）的要求。</w:t>
      </w:r>
    </w:p>
    <w:p>
      <w:pPr>
        <w:pStyle w:val="18"/>
        <w:widowControl/>
        <w:autoSpaceDE w:val="0"/>
        <w:autoSpaceDN w:val="0"/>
        <w:spacing w:before="4" w:line="420" w:lineRule="auto"/>
        <w:ind w:left="118" w:right="351" w:firstLineChars="200" w:firstLine="560"/>
        <w:jc w:val="left"/>
        <w:rPr>
          <w:color w:val="auto"/>
          <w:kern w:val="0"/>
          <w:sz w:val="28"/>
          <w:szCs w:val="28"/>
        </w:rPr>
      </w:pPr>
      <w:r>
        <w:rPr>
          <w:rFonts w:hint="eastAsia"/>
          <w:b/>
          <w:bCs/>
          <w:color w:val="auto"/>
          <w:sz w:val="28"/>
          <w:szCs w:val="28"/>
          <w:lang w:val="en-US" w:eastAsia="zh-CN"/>
        </w:rPr>
        <w:t xml:space="preserve">6.1.3 </w:t>
      </w:r>
      <w:r>
        <w:rPr>
          <w:rFonts w:hint="eastAsia"/>
          <w:b/>
          <w:bCs/>
          <w:color w:val="auto"/>
          <w:sz w:val="28"/>
          <w:szCs w:val="28"/>
        </w:rPr>
        <w:t>消防布局规划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规划风电场内配备1～2名工作人员兼职消防人员，初期火灾由站内兼职消防人员自行组织灭火，同时通知当地消防队支援共同扑灭火灾。消防总体设计采用综合消防技术措施，从防火、监测、报警、控制、灭火、排烟、逃生等各方面入手，力争减少火灾发生的可能性，一旦火灾发生也能在短时间内予以扑灭，使损失减少到最低，同时确保火灾时人员的安全疏散。</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本风电场项目</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分布于大垌镇与那蒙镇行政交界处区域，大垌镇和那蒙镇镇区距场地的对外交通出入口均</w:t>
      </w:r>
      <w:r>
        <w:rPr>
          <w:rFonts w:ascii="宋体" w:eastAsia="宋体" w:cs="宋体" w:hAnsi="宋体" w:hint="eastAsia"/>
          <w:color w:val="auto"/>
          <w:kern w:val="0"/>
          <w:sz w:val="28"/>
          <w:szCs w:val="28"/>
        </w:rPr>
        <w:t>较近，</w:t>
      </w:r>
      <w:r>
        <w:rPr>
          <w:rFonts w:ascii="宋体" w:eastAsia="宋体" w:cs="宋体" w:hAnsi="宋体" w:hint="eastAsia"/>
          <w:color w:val="auto"/>
          <w:kern w:val="0"/>
          <w:sz w:val="28"/>
          <w:szCs w:val="28"/>
          <w:lang w:eastAsia="zh-CN"/>
        </w:rPr>
        <w:t>场区中心</w:t>
      </w:r>
      <w:r>
        <w:rPr>
          <w:rFonts w:ascii="宋体" w:eastAsia="宋体" w:cs="宋体" w:hAnsi="宋体" w:hint="eastAsia"/>
          <w:color w:val="auto"/>
          <w:kern w:val="0"/>
          <w:sz w:val="28"/>
          <w:szCs w:val="28"/>
        </w:rPr>
        <w:t>距</w:t>
      </w:r>
      <w:r>
        <w:rPr>
          <w:rFonts w:ascii="宋体" w:eastAsia="宋体" w:cs="宋体" w:hAnsi="宋体" w:hint="eastAsia"/>
          <w:color w:val="auto"/>
          <w:kern w:val="0"/>
          <w:sz w:val="28"/>
          <w:szCs w:val="28"/>
          <w:lang w:eastAsia="zh-CN"/>
        </w:rPr>
        <w:t>大垌</w:t>
      </w:r>
      <w:r>
        <w:rPr>
          <w:rFonts w:ascii="宋体" w:eastAsia="宋体" w:cs="宋体" w:hAnsi="宋体" w:hint="eastAsia"/>
          <w:color w:val="auto"/>
          <w:kern w:val="0"/>
          <w:sz w:val="28"/>
          <w:szCs w:val="28"/>
        </w:rPr>
        <w:t>镇区直线距离约</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rPr>
        <w:t>公里，</w:t>
      </w:r>
      <w:r>
        <w:rPr>
          <w:rFonts w:ascii="宋体" w:eastAsia="宋体" w:cs="宋体" w:hAnsi="宋体" w:hint="eastAsia"/>
          <w:color w:val="auto"/>
          <w:kern w:val="0"/>
          <w:sz w:val="28"/>
          <w:szCs w:val="28"/>
          <w:lang w:eastAsia="zh-CN"/>
        </w:rPr>
        <w:t>距那蒙镇直线距离约</w:t>
      </w:r>
      <w:r>
        <w:rPr>
          <w:rFonts w:ascii="宋体" w:eastAsia="宋体" w:cs="宋体" w:hAnsi="宋体" w:hint="eastAsia"/>
          <w:color w:val="auto"/>
          <w:kern w:val="0"/>
          <w:sz w:val="28"/>
          <w:szCs w:val="28"/>
          <w:lang w:val="en-US" w:eastAsia="zh-CN"/>
        </w:rPr>
        <w:t>3.3公里。</w:t>
      </w:r>
      <w:r>
        <w:rPr>
          <w:rFonts w:ascii="宋体" w:eastAsia="宋体" w:cs="宋体" w:hAnsi="宋体" w:hint="eastAsia"/>
          <w:color w:val="auto"/>
          <w:kern w:val="0"/>
          <w:sz w:val="28"/>
          <w:szCs w:val="28"/>
        </w:rPr>
        <w:t>根据《镇规划标准（GB50188-2007）》、《城市消防站建设标准》（建标152-2011）以及</w:t>
      </w:r>
      <w:r>
        <w:rPr>
          <w:rFonts w:ascii="宋体" w:eastAsia="宋体" w:cs="宋体" w:hAnsi="宋体" w:hint="eastAsia"/>
          <w:color w:val="auto"/>
          <w:kern w:val="0"/>
          <w:sz w:val="28"/>
          <w:szCs w:val="28"/>
          <w:lang w:eastAsia="zh-CN"/>
        </w:rPr>
        <w:t>大垌镇消防站规划布局</w:t>
      </w:r>
      <w:r>
        <w:rPr>
          <w:rFonts w:ascii="宋体" w:eastAsia="宋体" w:cs="宋体" w:hAnsi="宋体" w:hint="eastAsia"/>
          <w:color w:val="auto"/>
          <w:kern w:val="0"/>
          <w:sz w:val="28"/>
          <w:szCs w:val="28"/>
        </w:rPr>
        <w:t>，规划在</w:t>
      </w:r>
      <w:r>
        <w:rPr>
          <w:rFonts w:ascii="宋体" w:eastAsia="宋体" w:cs="宋体" w:hAnsi="宋体" w:hint="eastAsia"/>
          <w:color w:val="auto"/>
          <w:kern w:val="0"/>
          <w:sz w:val="28"/>
          <w:szCs w:val="28"/>
          <w:lang w:eastAsia="zh-CN"/>
        </w:rPr>
        <w:t>大垌镇</w:t>
      </w:r>
      <w:r>
        <w:rPr>
          <w:rFonts w:ascii="宋体" w:eastAsia="宋体" w:cs="宋体" w:hAnsi="宋体" w:hint="eastAsia"/>
          <w:color w:val="auto"/>
          <w:kern w:val="0"/>
          <w:sz w:val="28"/>
          <w:szCs w:val="28"/>
        </w:rPr>
        <w:t>镇区</w:t>
      </w:r>
      <w:r>
        <w:rPr>
          <w:rFonts w:ascii="宋体" w:eastAsia="宋体" w:cs="宋体" w:hAnsi="宋体" w:hint="eastAsia"/>
          <w:color w:val="auto"/>
          <w:kern w:val="0"/>
          <w:sz w:val="28"/>
          <w:szCs w:val="28"/>
          <w:lang w:eastAsia="zh-CN"/>
        </w:rPr>
        <w:t>规划</w:t>
      </w:r>
      <w:r>
        <w:rPr>
          <w:rFonts w:ascii="宋体" w:eastAsia="宋体" w:cs="宋体" w:hAnsi="宋体" w:hint="eastAsia"/>
          <w:color w:val="auto"/>
          <w:kern w:val="0"/>
          <w:sz w:val="28"/>
          <w:szCs w:val="28"/>
        </w:rPr>
        <w:t>布置三座三级消防站。当</w:t>
      </w: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rPr>
        <w:t>地块发生火灾时，</w:t>
      </w:r>
      <w:r>
        <w:rPr>
          <w:rFonts w:ascii="宋体" w:eastAsia="宋体" w:cs="宋体" w:hAnsi="宋体" w:hint="eastAsia"/>
          <w:color w:val="auto"/>
          <w:kern w:val="0"/>
          <w:sz w:val="28"/>
          <w:szCs w:val="28"/>
          <w:lang w:eastAsia="zh-CN"/>
        </w:rPr>
        <w:t>在启用本项目的消防设施的同时</w:t>
      </w:r>
      <w:r>
        <w:rPr>
          <w:rFonts w:ascii="宋体" w:eastAsia="宋体" w:cs="宋体" w:hAnsi="宋体" w:hint="eastAsia"/>
          <w:color w:val="auto"/>
          <w:kern w:val="0"/>
          <w:sz w:val="28"/>
          <w:szCs w:val="28"/>
        </w:rPr>
        <w:t>借助社会消防力量，快速到达火场</w:t>
      </w:r>
      <w:r>
        <w:rPr>
          <w:rFonts w:ascii="宋体" w:eastAsia="宋体" w:cs="宋体" w:hAnsi="宋体" w:hint="eastAsia"/>
          <w:color w:val="auto"/>
          <w:kern w:val="0"/>
          <w:sz w:val="28"/>
          <w:szCs w:val="28"/>
          <w:lang w:eastAsia="zh-CN"/>
        </w:rPr>
        <w:t>。</w:t>
      </w:r>
    </w:p>
    <w:p>
      <w:pPr>
        <w:pStyle w:val="18"/>
        <w:autoSpaceDE w:val="0"/>
        <w:autoSpaceDN w:val="0"/>
        <w:spacing w:before="4" w:line="420" w:lineRule="auto"/>
        <w:ind w:left="118" w:right="351" w:firstLineChars="200" w:firstLine="560"/>
        <w:rPr>
          <w:rFonts w:eastAsia="宋体" w:hint="eastAsia"/>
          <w:color w:val="auto"/>
          <w:kern w:val="0"/>
          <w:sz w:val="28"/>
          <w:szCs w:val="28"/>
          <w:lang w:val="en-US" w:eastAsia="zh-CN"/>
        </w:rPr>
      </w:pPr>
      <w:r>
        <w:rPr>
          <w:rFonts w:hint="eastAsia"/>
          <w:b/>
          <w:bCs/>
          <w:color w:val="auto"/>
          <w:sz w:val="28"/>
          <w:szCs w:val="28"/>
          <w:lang w:val="en-US" w:eastAsia="zh-CN"/>
        </w:rPr>
        <w:t xml:space="preserve">6.1.4 </w:t>
      </w:r>
      <w:r>
        <w:rPr>
          <w:rFonts w:hint="eastAsia"/>
          <w:b/>
          <w:bCs/>
          <w:color w:val="auto"/>
          <w:sz w:val="28"/>
          <w:szCs w:val="28"/>
        </w:rPr>
        <w:t>主要生产场所及机电设备消防</w:t>
      </w:r>
      <w:r>
        <w:rPr>
          <w:rFonts w:hint="eastAsia"/>
          <w:b/>
          <w:bCs/>
          <w:color w:val="auto"/>
          <w:sz w:val="28"/>
          <w:szCs w:val="28"/>
          <w:lang w:eastAsia="zh-CN"/>
        </w:rPr>
        <w:t>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w:t>
      </w:r>
      <w:r>
        <w:rPr>
          <w:rFonts w:ascii="宋体" w:eastAsia="宋体" w:cs="宋体" w:hAnsi="宋体" w:hint="eastAsia"/>
          <w:color w:val="auto"/>
          <w:kern w:val="0"/>
          <w:sz w:val="28"/>
          <w:szCs w:val="28"/>
          <w:lang w:eastAsia="zh-CN"/>
        </w:rPr>
        <w:t>）主要场所消防措施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参照《35kV</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110kV变电站设计规范》GB50059、</w:t>
      </w:r>
      <w:r>
        <w:rPr>
          <w:rFonts w:ascii="宋体" w:eastAsia="宋体" w:cs="宋体" w:hAnsi="宋体" w:hint="eastAsia"/>
          <w:color w:val="auto"/>
          <w:kern w:val="0"/>
          <w:sz w:val="28"/>
          <w:szCs w:val="28"/>
        </w:rPr>
        <w:t>《火力发电厂与变电站设计防火规范》GB50229</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《风电场设计防火规范》NB31089</w:t>
      </w:r>
      <w:r>
        <w:rPr>
          <w:rFonts w:ascii="宋体" w:eastAsia="宋体" w:cs="宋体" w:hAnsi="宋体" w:hint="eastAsia"/>
          <w:color w:val="auto"/>
          <w:kern w:val="0"/>
          <w:sz w:val="28"/>
          <w:szCs w:val="28"/>
          <w:lang w:eastAsia="zh-CN"/>
        </w:rPr>
        <w:t>、《建筑灭火器配置设计规范》GB50140等相关消防规范，本项目的主要生产建筑和辅助生产建筑以及生活服务设施用房室内按规范要求配置一定数量的手提式磷酸铵盐干粉灭火器</w:t>
      </w:r>
      <w:r>
        <w:rPr>
          <w:rFonts w:ascii="宋体" w:eastAsia="宋体" w:cs="宋体" w:hAnsi="宋体" w:hint="eastAsia"/>
          <w:color w:val="auto"/>
          <w:kern w:val="0"/>
          <w:sz w:val="28"/>
          <w:szCs w:val="28"/>
        </w:rPr>
        <w:t>。在室外配置有消火栓、砂箱以及建筑灭火器</w:t>
      </w:r>
      <w:r>
        <w:rPr>
          <w:rFonts w:ascii="宋体" w:eastAsia="宋体" w:cs="宋体" w:hAnsi="宋体" w:hint="eastAsia"/>
          <w:color w:val="auto"/>
          <w:kern w:val="0"/>
          <w:sz w:val="28"/>
          <w:szCs w:val="28"/>
          <w:lang w:eastAsia="zh-CN"/>
        </w:rPr>
        <w:t>等消防设施。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2</w:t>
      </w:r>
      <w:r>
        <w:rPr>
          <w:rFonts w:ascii="宋体" w:eastAsia="宋体" w:cs="宋体" w:hAnsi="宋体" w:hint="eastAsia"/>
          <w:color w:val="auto"/>
          <w:kern w:val="0"/>
          <w:sz w:val="28"/>
          <w:szCs w:val="28"/>
          <w:lang w:eastAsia="zh-CN"/>
        </w:rPr>
        <w:t>）户外主变压装置、无功补偿装置消防措施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规划开关</w:t>
      </w:r>
      <w:r>
        <w:rPr>
          <w:rFonts w:ascii="宋体" w:eastAsia="宋体" w:cs="宋体" w:hAnsi="宋体" w:hint="eastAsia"/>
          <w:color w:val="auto"/>
          <w:kern w:val="0"/>
          <w:sz w:val="28"/>
          <w:szCs w:val="28"/>
        </w:rPr>
        <w:t>站</w:t>
      </w:r>
      <w:r>
        <w:rPr>
          <w:rFonts w:ascii="宋体" w:eastAsia="宋体" w:cs="宋体" w:hAnsi="宋体" w:hint="eastAsia"/>
          <w:color w:val="auto"/>
          <w:kern w:val="0"/>
          <w:sz w:val="28"/>
          <w:szCs w:val="28"/>
          <w:lang w:eastAsia="zh-CN"/>
        </w:rPr>
        <w:t>北面</w:t>
      </w:r>
      <w:r>
        <w:rPr>
          <w:rFonts w:ascii="宋体" w:eastAsia="宋体" w:cs="宋体" w:hAnsi="宋体" w:hint="eastAsia"/>
          <w:color w:val="auto"/>
          <w:kern w:val="0"/>
          <w:sz w:val="28"/>
          <w:szCs w:val="28"/>
        </w:rPr>
        <w:t>配置1 台户外无功补偿装置，根据规范要求，采用干粉灭火及干砂灭火</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设2具推车式干粉灭火器，1个消防砂箱</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1m</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，并配置5把消防铲</w:t>
      </w:r>
      <w:r>
        <w:rPr>
          <w:rFonts w:ascii="宋体" w:eastAsia="宋体" w:cs="宋体" w:hAnsi="宋体" w:hint="eastAsia"/>
          <w:color w:val="auto"/>
          <w:kern w:val="0"/>
          <w:sz w:val="28"/>
          <w:szCs w:val="28"/>
          <w:lang w:eastAsia="zh-CN"/>
        </w:rPr>
        <w:t>等消防设备</w:t>
      </w:r>
      <w:r>
        <w:rPr>
          <w:rFonts w:ascii="宋体" w:eastAsia="宋体" w:cs="宋体" w:hAnsi="宋体" w:hint="eastAsia"/>
          <w:color w:val="auto"/>
          <w:kern w:val="0"/>
          <w:sz w:val="28"/>
          <w:szCs w:val="28"/>
        </w:rPr>
        <w:t>。</w:t>
      </w: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3</w:t>
      </w:r>
      <w:r>
        <w:rPr>
          <w:rFonts w:ascii="宋体" w:eastAsia="宋体" w:cs="宋体" w:hAnsi="宋体" w:hint="eastAsia"/>
          <w:color w:val="auto"/>
          <w:kern w:val="0"/>
          <w:sz w:val="28"/>
          <w:szCs w:val="28"/>
          <w:lang w:eastAsia="zh-CN"/>
        </w:rPr>
        <w:t>）电缆消防措施</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从室外进入室内的电缆入口处、电缆竖井的出入口处、电缆接头处、长度超过100m 的电缆沟道，均采取防止电缆火灾蔓延的封堵或分隔措施。</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1）采用防火隔墙或隔板，并用防火堵料封堵电缆通过的孔洞。</w:t>
      </w:r>
    </w:p>
    <w:p>
      <w:pPr>
        <w:widowControl/>
        <w:spacing w:before="4" w:line="360" w:lineRule="auto"/>
        <w:ind w:left="0"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2）电力电缆与控制电缆或通信电缆敷设在同一电缆沟，采取防火分隔措施。隔板的耐火极限不低于0.75h。</w:t>
      </w:r>
    </w:p>
    <w:p>
      <w:pPr>
        <w:widowControl/>
        <w:spacing w:before="4" w:line="360" w:lineRule="auto"/>
        <w:ind w:left="0"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3）开关柜、端子箱、控制屏以及本期未上设备的下部开孔与电缆沟接口处均用防火堵料进行封堵</w:t>
      </w:r>
      <w:r>
        <w:rPr>
          <w:rFonts w:ascii="宋体" w:eastAsia="宋体" w:cs="宋体" w:hAnsi="宋体" w:hint="eastAsia"/>
          <w:color w:val="auto"/>
          <w:kern w:val="0"/>
          <w:sz w:val="28"/>
          <w:szCs w:val="28"/>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4</w:t>
      </w:r>
      <w:r>
        <w:rPr>
          <w:rFonts w:ascii="宋体" w:eastAsia="宋体" w:cs="宋体" w:hAnsi="宋体" w:hint="eastAsia"/>
          <w:color w:val="auto"/>
          <w:kern w:val="0"/>
          <w:sz w:val="28"/>
          <w:szCs w:val="28"/>
          <w:lang w:eastAsia="zh-CN"/>
        </w:rPr>
        <w:t>）风力发电机组及箱变消防措施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风力发电机组、箱变分布较广且风力发电机舱是在几十米以上的高空，发生火灾时消防人员不可能及时扑救。因此，风力发电机组及箱变的防火措施主要以预防为主，同时配备相应的灭火器及自动灭火装置，灭火设施由供货商配套供应</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1</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风机机舱内含油及容易引发火灾部位(含齿轮箱、液压制动器、制动盘等)安装一套火探管式自动灭火系统</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在塔筒内设2具手提式干粉灭火器</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塔筒外箱变设2具手提式干粉灭火器。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2</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在风力发电机内部作业时，保持内部卫生，禁止在风机内部遗留杂物，特别是油污棉丝等易燃物，对于机舱内部泄</w:t>
      </w:r>
      <w:r>
        <w:rPr>
          <w:rFonts w:ascii="宋体" w:eastAsia="宋体" w:cs="宋体" w:hAnsi="宋体"/>
          <w:color w:val="auto"/>
          <w:kern w:val="0"/>
          <w:sz w:val="28"/>
          <w:szCs w:val="28"/>
        </w:rPr>
        <w:t>漏</w:t>
      </w:r>
      <w:r>
        <w:rPr>
          <w:rFonts w:ascii="宋体" w:eastAsia="宋体" w:cs="宋体" w:hAnsi="宋体" w:hint="eastAsia"/>
          <w:color w:val="auto"/>
          <w:kern w:val="0"/>
          <w:sz w:val="28"/>
          <w:szCs w:val="28"/>
        </w:rPr>
        <w:t>的齿轮油、液压油等必须及时清理，以减少火险隐患</w:t>
      </w:r>
      <w:r>
        <w:rPr>
          <w:rFonts w:ascii="宋体" w:eastAsia="宋体" w:cs="宋体" w:hAnsi="宋体" w:hint="eastAsia"/>
          <w:color w:val="auto"/>
          <w:kern w:val="0"/>
          <w:sz w:val="28"/>
          <w:szCs w:val="28"/>
          <w:lang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定期检查电器、电缆、电源主回路电缆端子的联接质量，以防电源回路虚接而引发的电气火灾。</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rPr>
        <w:t>4</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编制风力发电机组火灾应急预案，</w:t>
      </w:r>
      <w:r>
        <w:rPr>
          <w:rFonts w:ascii="宋体" w:eastAsia="宋体" w:cs="宋体" w:hAnsi="宋体" w:hint="eastAsia"/>
          <w:color w:val="auto"/>
          <w:kern w:val="0"/>
          <w:sz w:val="28"/>
          <w:szCs w:val="28"/>
          <w:lang w:eastAsia="zh-CN"/>
        </w:rPr>
        <w:t>一</w:t>
      </w:r>
      <w:r>
        <w:rPr>
          <w:rFonts w:ascii="宋体" w:eastAsia="宋体" w:cs="宋体" w:hAnsi="宋体" w:hint="eastAsia"/>
          <w:color w:val="auto"/>
          <w:kern w:val="0"/>
          <w:sz w:val="28"/>
          <w:szCs w:val="28"/>
        </w:rPr>
        <w:t>旦发生风力发电机起火，火灾信号应远传至消防控制室，由风电场运行人员迅速切断集电线路的电源防止场内电网短路事故并派人控制现场，同时通知当地消防队控制起火范围并进行灭火。</w:t>
      </w:r>
    </w:p>
    <w:p>
      <w:pPr>
        <w:pStyle w:val="18"/>
        <w:autoSpaceDE w:val="0"/>
        <w:autoSpaceDN w:val="0"/>
        <w:spacing w:before="4" w:line="420" w:lineRule="auto"/>
        <w:ind w:left="118" w:right="351" w:firstLineChars="200" w:firstLine="560"/>
        <w:rPr>
          <w:color w:val="auto"/>
          <w:kern w:val="0"/>
          <w:sz w:val="28"/>
          <w:szCs w:val="28"/>
          <w:lang w:val="en-US"/>
        </w:rPr>
      </w:pPr>
      <w:r>
        <w:rPr>
          <w:rFonts w:hint="eastAsia"/>
          <w:b/>
          <w:bCs/>
          <w:color w:val="auto"/>
          <w:sz w:val="28"/>
          <w:szCs w:val="28"/>
          <w:lang w:val="en-US" w:eastAsia="zh-CN"/>
        </w:rPr>
        <w:t xml:space="preserve">6.1.5 </w:t>
      </w:r>
      <w:r>
        <w:rPr>
          <w:rFonts w:hint="eastAsia"/>
          <w:b/>
          <w:bCs/>
          <w:color w:val="auto"/>
          <w:sz w:val="28"/>
          <w:szCs w:val="28"/>
        </w:rPr>
        <w:t>消防用水</w:t>
      </w:r>
    </w:p>
    <w:p>
      <w:pPr>
        <w:widowControl/>
        <w:spacing w:before="4" w:line="360" w:lineRule="auto"/>
        <w:ind w:left="118" w:right="351" w:firstLineChars="200" w:firstLine="560"/>
        <w:jc w:val="left"/>
        <w:rPr>
          <w:rFonts w:ascii="宋体" w:eastAsia="宋体" w:cs="宋体" w:hAnsi="宋体"/>
          <w:color w:val="auto"/>
          <w:kern w:val="0"/>
          <w:sz w:val="28"/>
          <w:szCs w:val="28"/>
        </w:rPr>
      </w:pPr>
      <w:r>
        <w:rPr>
          <w:rFonts w:ascii="宋体" w:eastAsia="宋体" w:cs="宋体" w:hAnsi="宋体" w:hint="eastAsia"/>
          <w:color w:val="auto"/>
          <w:kern w:val="0"/>
          <w:sz w:val="28"/>
          <w:szCs w:val="28"/>
          <w:lang w:eastAsia="zh-CN"/>
        </w:rPr>
        <w:t>本风电场内的</w:t>
      </w:r>
      <w:r>
        <w:rPr>
          <w:rFonts w:ascii="宋体" w:eastAsia="宋体" w:cs="宋体" w:hAnsi="宋体" w:hint="eastAsia"/>
          <w:color w:val="auto"/>
          <w:kern w:val="0"/>
          <w:sz w:val="28"/>
          <w:szCs w:val="28"/>
        </w:rPr>
        <w:t>地块用水主要为</w:t>
      </w:r>
      <w:r>
        <w:rPr>
          <w:rFonts w:ascii="宋体" w:eastAsia="宋体" w:cs="宋体" w:hAnsi="宋体" w:hint="eastAsia"/>
          <w:color w:val="auto"/>
          <w:kern w:val="0"/>
          <w:sz w:val="28"/>
          <w:szCs w:val="28"/>
          <w:lang w:eastAsia="zh-CN"/>
        </w:rPr>
        <w:t>开关站和储能站的</w:t>
      </w:r>
      <w:r>
        <w:rPr>
          <w:rFonts w:ascii="宋体" w:eastAsia="宋体" w:cs="宋体" w:hAnsi="宋体" w:hint="eastAsia"/>
          <w:color w:val="auto"/>
          <w:kern w:val="0"/>
          <w:sz w:val="28"/>
          <w:szCs w:val="28"/>
        </w:rPr>
        <w:t>消防用水。根据用地情况，通过在</w:t>
      </w:r>
      <w:r>
        <w:rPr>
          <w:rFonts w:ascii="宋体" w:eastAsia="宋体" w:cs="宋体" w:hAnsi="宋体" w:hint="eastAsia"/>
          <w:color w:val="auto"/>
          <w:kern w:val="0"/>
          <w:sz w:val="28"/>
          <w:szCs w:val="28"/>
          <w:lang w:eastAsia="zh-CN"/>
        </w:rPr>
        <w:t>储能站西面</w:t>
      </w:r>
      <w:r>
        <w:rPr>
          <w:rFonts w:ascii="宋体" w:eastAsia="宋体" w:cs="宋体" w:hAnsi="宋体" w:hint="eastAsia"/>
          <w:color w:val="auto"/>
          <w:kern w:val="0"/>
          <w:sz w:val="28"/>
          <w:szCs w:val="28"/>
        </w:rPr>
        <w:t>附近</w:t>
      </w:r>
      <w:r>
        <w:rPr>
          <w:rFonts w:ascii="宋体" w:eastAsia="宋体" w:cs="宋体" w:hAnsi="宋体" w:hint="eastAsia"/>
          <w:color w:val="auto"/>
          <w:kern w:val="0"/>
          <w:sz w:val="28"/>
          <w:szCs w:val="28"/>
          <w:lang w:val="en-US" w:eastAsia="zh-CN"/>
        </w:rPr>
        <w:t>150米处</w:t>
      </w:r>
      <w:r>
        <w:rPr>
          <w:rFonts w:ascii="宋体" w:eastAsia="宋体" w:cs="宋体" w:hAnsi="宋体" w:hint="eastAsia"/>
          <w:color w:val="auto"/>
          <w:kern w:val="0"/>
          <w:sz w:val="28"/>
          <w:szCs w:val="28"/>
        </w:rPr>
        <w:t>打深井的方式为地块供水。地块内消防给水系统包括消防蓄水</w:t>
      </w:r>
      <w:r>
        <w:rPr>
          <w:rFonts w:ascii="宋体" w:eastAsia="宋体" w:cs="宋体" w:hAnsi="宋体" w:hint="eastAsia"/>
          <w:color w:val="auto"/>
          <w:kern w:val="0"/>
          <w:sz w:val="28"/>
          <w:szCs w:val="28"/>
          <w:lang w:eastAsia="zh-CN"/>
        </w:rPr>
        <w:t>箱</w:t>
      </w:r>
      <w:r>
        <w:rPr>
          <w:rFonts w:ascii="宋体" w:eastAsia="宋体" w:cs="宋体" w:hAnsi="宋体" w:hint="eastAsia"/>
          <w:color w:val="auto"/>
          <w:kern w:val="0"/>
          <w:sz w:val="28"/>
          <w:szCs w:val="28"/>
        </w:rPr>
        <w:t>、消防水泵、</w:t>
      </w:r>
      <w:r>
        <w:rPr>
          <w:rFonts w:ascii="宋体" w:eastAsia="宋体" w:cs="宋体" w:hAnsi="宋体" w:hint="eastAsia"/>
          <w:color w:val="auto"/>
          <w:kern w:val="0"/>
          <w:sz w:val="28"/>
          <w:szCs w:val="28"/>
          <w:lang w:eastAsia="zh-CN"/>
        </w:rPr>
        <w:t>消防集水池、</w:t>
      </w:r>
      <w:r>
        <w:rPr>
          <w:rFonts w:ascii="宋体" w:eastAsia="宋体" w:cs="宋体" w:hAnsi="宋体" w:hint="eastAsia"/>
          <w:color w:val="auto"/>
          <w:kern w:val="0"/>
          <w:sz w:val="28"/>
          <w:szCs w:val="28"/>
        </w:rPr>
        <w:t>消防稳压设备及消防给水管网等。</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消防用水量及水压：</w:t>
      </w:r>
      <w:r>
        <w:rPr>
          <w:rFonts w:ascii="宋体" w:eastAsia="宋体" w:cs="宋体" w:hAnsi="宋体" w:hint="eastAsia"/>
          <w:color w:val="auto"/>
          <w:kern w:val="0"/>
          <w:sz w:val="28"/>
          <w:szCs w:val="28"/>
          <w:lang w:eastAsia="zh-CN"/>
        </w:rPr>
        <w:t>参考</w:t>
      </w:r>
      <w:r>
        <w:rPr>
          <w:rFonts w:ascii="宋体" w:eastAsia="宋体" w:cs="宋体" w:hAnsi="宋体" w:hint="eastAsia"/>
          <w:color w:val="auto"/>
          <w:kern w:val="0"/>
          <w:sz w:val="28"/>
          <w:szCs w:val="28"/>
        </w:rPr>
        <w:t>《火力发电厂与变电站设计防火规范》GB50229—2006 规定，工程按最大建筑物计，室外消火栓消防用水量15L/s，室内消火栓消防用水量10L/s。因此</w:t>
      </w: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一次消防最大用水量为90m³/h，消防延续时间按2 小时计算，消防用水量180m³。当发生火灾时，启动消防水泵，同时关闭洒水栓，以保证消防水量，消防水泵从蓄水池吸水升压后送至消防给水管网。</w:t>
      </w:r>
    </w:p>
    <w:p>
      <w:pPr>
        <w:pStyle w:val="15"/>
        <w:rPr>
          <w:rFonts w:ascii="宋体" w:eastAsia="宋体" w:cs="宋体" w:hAnsi="宋体" w:hint="eastAsia"/>
          <w:color w:val="auto"/>
          <w:kern w:val="0"/>
          <w:sz w:val="28"/>
          <w:szCs w:val="28"/>
        </w:rPr>
      </w:pPr>
    </w:p>
    <w:p>
      <w:pPr>
        <w:pStyle w:val="18"/>
        <w:autoSpaceDE w:val="0"/>
        <w:autoSpaceDN w:val="0"/>
        <w:spacing w:before="4" w:line="420" w:lineRule="auto"/>
        <w:ind w:left="118" w:right="351" w:firstLineChars="200" w:firstLine="560"/>
        <w:rPr>
          <w:color w:val="auto"/>
          <w:kern w:val="0"/>
          <w:sz w:val="28"/>
          <w:szCs w:val="28"/>
          <w:lang w:val="en-US"/>
        </w:rPr>
      </w:pPr>
      <w:r>
        <w:rPr>
          <w:rFonts w:hint="eastAsia"/>
          <w:b/>
          <w:bCs/>
          <w:color w:val="auto"/>
          <w:sz w:val="28"/>
          <w:szCs w:val="28"/>
          <w:lang w:val="en-US" w:eastAsia="zh-CN"/>
        </w:rPr>
        <w:t xml:space="preserve">6.1.6 </w:t>
      </w:r>
      <w:r>
        <w:rPr>
          <w:rFonts w:hint="eastAsia"/>
          <w:b/>
          <w:bCs/>
          <w:color w:val="auto"/>
          <w:sz w:val="28"/>
          <w:szCs w:val="28"/>
        </w:rPr>
        <w:t>消防通道规划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rPr>
        <w:t>通过对外交通公路，消防车可快速到达</w:t>
      </w:r>
      <w:r>
        <w:rPr>
          <w:rFonts w:ascii="宋体" w:eastAsia="宋体" w:cs="宋体" w:hAnsi="宋体" w:hint="eastAsia"/>
          <w:color w:val="auto"/>
          <w:kern w:val="0"/>
          <w:sz w:val="28"/>
          <w:szCs w:val="28"/>
          <w:lang w:eastAsia="zh-CN"/>
        </w:rPr>
        <w:t>风电场各风电机组</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和开关站及储能站地块</w:t>
      </w:r>
      <w:r>
        <w:rPr>
          <w:rFonts w:ascii="宋体" w:eastAsia="宋体" w:cs="宋体" w:hAnsi="宋体" w:hint="eastAsia"/>
          <w:color w:val="auto"/>
          <w:kern w:val="0"/>
          <w:sz w:val="28"/>
          <w:szCs w:val="28"/>
        </w:rPr>
        <w:t>，</w:t>
      </w:r>
      <w:r>
        <w:rPr>
          <w:rFonts w:ascii="宋体" w:eastAsia="宋体" w:cs="宋体" w:hAnsi="宋体" w:hint="eastAsia"/>
          <w:color w:val="auto"/>
          <w:kern w:val="0"/>
          <w:sz w:val="28"/>
          <w:szCs w:val="28"/>
          <w:lang w:eastAsia="zh-CN"/>
        </w:rPr>
        <w:t>进站出入口及</w:t>
      </w:r>
      <w:r>
        <w:rPr>
          <w:rFonts w:ascii="宋体" w:eastAsia="宋体" w:cs="宋体" w:hAnsi="宋体" w:hint="eastAsia"/>
          <w:color w:val="auto"/>
          <w:kern w:val="0"/>
          <w:sz w:val="28"/>
          <w:szCs w:val="28"/>
        </w:rPr>
        <w:t>内部规划设置</w:t>
      </w:r>
      <w:r>
        <w:rPr>
          <w:rFonts w:ascii="宋体" w:eastAsia="宋体" w:cs="宋体" w:hAnsi="宋体" w:hint="eastAsia"/>
          <w:color w:val="auto"/>
          <w:kern w:val="0"/>
          <w:sz w:val="28"/>
          <w:szCs w:val="28"/>
          <w:lang w:eastAsia="zh-CN"/>
        </w:rPr>
        <w:t>的</w:t>
      </w:r>
      <w:r>
        <w:rPr>
          <w:rFonts w:ascii="宋体" w:eastAsia="宋体" w:cs="宋体" w:hAnsi="宋体" w:hint="eastAsia"/>
          <w:color w:val="auto"/>
          <w:kern w:val="0"/>
          <w:sz w:val="28"/>
          <w:szCs w:val="28"/>
        </w:rPr>
        <w:t>消防车道宽度均≥4米，消防车道转弯半径≥9米、坡度≤8%，并且消防车道的地下管道或暗沟，应能满足大型消防车辆的压力。</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5" w:name="_Toc6959"/>
      <w:r>
        <w:rPr>
          <w:rFonts w:ascii="宋体" w:eastAsia="宋体" w:cs="宋体" w:hAnsi="宋体" w:hint="eastAsia"/>
          <w:bCs/>
          <w:color w:val="auto"/>
          <w:sz w:val="32"/>
          <w:szCs w:val="32"/>
          <w:lang w:val="en-US" w:eastAsia="zh-CN"/>
        </w:rPr>
        <w:t>6.2抗震防灾规划</w:t>
      </w:r>
      <w:bookmarkEnd w:id="55"/>
    </w:p>
    <w:p>
      <w:pPr>
        <w:pStyle w:val="18"/>
        <w:autoSpaceDE w:val="0"/>
        <w:autoSpaceDN w:val="0"/>
        <w:spacing w:before="4" w:line="420" w:lineRule="auto"/>
        <w:ind w:left="118" w:right="351" w:firstLine="479"/>
        <w:rPr>
          <w:rFonts w:hint="eastAsia"/>
          <w:b/>
          <w:bCs/>
          <w:color w:val="auto"/>
          <w:sz w:val="28"/>
          <w:szCs w:val="28"/>
        </w:rPr>
      </w:pPr>
      <w:r>
        <w:rPr>
          <w:rFonts w:hint="eastAsia"/>
          <w:b/>
          <w:bCs/>
          <w:color w:val="auto"/>
          <w:sz w:val="28"/>
          <w:szCs w:val="28"/>
          <w:lang w:val="en-US" w:eastAsia="zh-CN"/>
        </w:rPr>
        <w:t xml:space="preserve">6.2.1 </w:t>
      </w:r>
      <w:r>
        <w:rPr>
          <w:rFonts w:hint="eastAsia"/>
          <w:b/>
          <w:bCs/>
          <w:color w:val="auto"/>
          <w:sz w:val="28"/>
          <w:szCs w:val="28"/>
        </w:rPr>
        <w:t>规划依据</w:t>
      </w:r>
    </w:p>
    <w:p>
      <w:pPr>
        <w:pStyle w:val="18"/>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《中华人民共和国防震减灾法》</w:t>
      </w:r>
      <w:r>
        <w:rPr>
          <w:rFonts w:hint="eastAsia"/>
          <w:color w:val="auto"/>
          <w:kern w:val="0"/>
          <w:sz w:val="28"/>
          <w:szCs w:val="28"/>
          <w:lang w:eastAsia="zh-CN"/>
        </w:rPr>
        <w:t>；</w:t>
      </w:r>
    </w:p>
    <w:p>
      <w:pPr>
        <w:pStyle w:val="18"/>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《中国地震动参数区划图》（GB18306-2015）</w:t>
      </w:r>
      <w:r>
        <w:rPr>
          <w:rFonts w:hint="eastAsia"/>
          <w:color w:val="auto"/>
          <w:kern w:val="0"/>
          <w:sz w:val="28"/>
          <w:szCs w:val="28"/>
          <w:lang w:eastAsia="zh-CN"/>
        </w:rPr>
        <w:t>；</w:t>
      </w:r>
    </w:p>
    <w:p>
      <w:pPr>
        <w:pStyle w:val="18"/>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《建筑工程抗震设防分类标准》（GB50223-2008）</w:t>
      </w:r>
      <w:r>
        <w:rPr>
          <w:rFonts w:hint="eastAsia"/>
          <w:color w:val="auto"/>
          <w:kern w:val="0"/>
          <w:sz w:val="28"/>
          <w:szCs w:val="28"/>
          <w:lang w:eastAsia="zh-CN"/>
        </w:rPr>
        <w:t>；</w:t>
      </w:r>
    </w:p>
    <w:p>
      <w:pPr>
        <w:pStyle w:val="18"/>
        <w:autoSpaceDE w:val="0"/>
        <w:autoSpaceDN w:val="0"/>
        <w:spacing w:before="4" w:line="420" w:lineRule="auto"/>
        <w:ind w:left="118" w:right="351" w:firstLine="479"/>
        <w:rPr>
          <w:rFonts w:eastAsia="宋体" w:hint="eastAsia"/>
          <w:color w:val="auto"/>
          <w:kern w:val="0"/>
          <w:sz w:val="28"/>
          <w:szCs w:val="28"/>
          <w:lang w:eastAsia="zh-CN"/>
        </w:rPr>
      </w:pPr>
      <w:r>
        <w:rPr>
          <w:rFonts w:hint="eastAsia"/>
          <w:color w:val="auto"/>
          <w:kern w:val="0"/>
          <w:sz w:val="28"/>
          <w:szCs w:val="28"/>
        </w:rPr>
        <w:t>《镇（乡）村建筑抗震技术规程》（JGJ161-2008）</w:t>
      </w:r>
      <w:r>
        <w:rPr>
          <w:rFonts w:hint="eastAsia"/>
          <w:color w:val="auto"/>
          <w:kern w:val="0"/>
          <w:sz w:val="28"/>
          <w:szCs w:val="28"/>
          <w:lang w:eastAsia="zh-CN"/>
        </w:rPr>
        <w:t>；</w:t>
      </w:r>
    </w:p>
    <w:p>
      <w:pPr>
        <w:pStyle w:val="18"/>
        <w:autoSpaceDE w:val="0"/>
        <w:autoSpaceDN w:val="0"/>
        <w:spacing w:before="4" w:line="420" w:lineRule="auto"/>
        <w:ind w:left="118" w:right="351" w:firstLine="479"/>
        <w:rPr>
          <w:rFonts w:hint="eastAsia"/>
          <w:color w:val="auto"/>
          <w:kern w:val="0"/>
          <w:sz w:val="28"/>
          <w:szCs w:val="28"/>
          <w:lang w:eastAsia="zh-CN"/>
        </w:rPr>
      </w:pPr>
      <w:r>
        <w:rPr>
          <w:rFonts w:hint="eastAsia"/>
          <w:color w:val="auto"/>
          <w:kern w:val="0"/>
          <w:sz w:val="28"/>
          <w:szCs w:val="28"/>
        </w:rPr>
        <w:t>《建筑抗震设计规范》（GB50011-2010）(2016年版)</w:t>
      </w:r>
      <w:r>
        <w:rPr>
          <w:rFonts w:hint="eastAsia"/>
          <w:color w:val="auto"/>
          <w:kern w:val="0"/>
          <w:sz w:val="28"/>
          <w:szCs w:val="28"/>
          <w:lang w:eastAsia="zh-CN"/>
        </w:rPr>
        <w:t>；</w:t>
      </w:r>
    </w:p>
    <w:p>
      <w:pPr>
        <w:pStyle w:val="18"/>
        <w:autoSpaceDE w:val="0"/>
        <w:autoSpaceDN w:val="0"/>
        <w:spacing w:before="4" w:line="420" w:lineRule="auto"/>
        <w:ind w:left="118" w:right="351" w:firstLine="479"/>
        <w:rPr>
          <w:rFonts w:hint="eastAsia"/>
          <w:color w:val="auto"/>
          <w:lang w:eastAsia="zh-CN"/>
        </w:rPr>
      </w:pPr>
      <w:r>
        <w:rPr>
          <w:rFonts w:hint="eastAsia"/>
          <w:color w:val="auto"/>
          <w:kern w:val="0"/>
          <w:sz w:val="28"/>
          <w:szCs w:val="28"/>
          <w:lang w:eastAsia="zh-CN"/>
        </w:rPr>
        <w:t>《风电场工程等级划分及设计安全标准》（NB/T 10101-2018）。</w:t>
      </w:r>
    </w:p>
    <w:p>
      <w:pPr>
        <w:pStyle w:val="18"/>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6.2.2 </w:t>
      </w:r>
      <w:r>
        <w:rPr>
          <w:rFonts w:hint="eastAsia"/>
          <w:b/>
          <w:bCs/>
          <w:color w:val="auto"/>
          <w:sz w:val="28"/>
          <w:szCs w:val="28"/>
        </w:rPr>
        <w:t>抗震设防标准</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本项目用地</w:t>
      </w:r>
      <w:r>
        <w:rPr>
          <w:rFonts w:ascii="宋体" w:eastAsia="宋体" w:cs="宋体" w:hAnsi="宋体" w:hint="eastAsia"/>
          <w:color w:val="auto"/>
          <w:kern w:val="0"/>
          <w:sz w:val="28"/>
          <w:szCs w:val="28"/>
        </w:rPr>
        <w:t>位于钦州市钦北区</w:t>
      </w:r>
      <w:r>
        <w:rPr>
          <w:rFonts w:ascii="宋体" w:eastAsia="宋体" w:cs="宋体" w:hAnsi="宋体" w:hint="eastAsia"/>
          <w:color w:val="auto"/>
          <w:kern w:val="0"/>
          <w:sz w:val="28"/>
          <w:szCs w:val="28"/>
          <w:lang w:eastAsia="zh-CN"/>
        </w:rPr>
        <w:t>大垌镇与那蒙交界区域</w:t>
      </w:r>
      <w:r>
        <w:rPr>
          <w:rFonts w:ascii="宋体" w:eastAsia="宋体" w:cs="宋体" w:hAnsi="宋体" w:hint="eastAsia"/>
          <w:color w:val="auto"/>
          <w:kern w:val="0"/>
          <w:sz w:val="28"/>
          <w:szCs w:val="28"/>
        </w:rPr>
        <w:t>，根据《建筑抗震设计规范》（GB50011-2010）(2016年版)附录A和《中国地震动参数区划图》（GB18306-2015），研究地块为供电用地，为生命线工程，抗震设防烈度按7度设防，地震动峰值加速度为0.10g，地震动加速度反应谱特征周期0.35s。</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根据</w:t>
      </w:r>
      <w:r>
        <w:rPr>
          <w:rFonts w:ascii="宋体" w:eastAsia="宋体" w:cs="宋体" w:hAnsi="宋体" w:hint="eastAsia"/>
          <w:color w:val="auto"/>
          <w:kern w:val="0"/>
          <w:sz w:val="28"/>
          <w:szCs w:val="28"/>
        </w:rPr>
        <w:t>钦北区地震局对广西能投新能源有限公司关于《请求调查钦州低风速二期分散式风电项目选址区域范围内是否存在地震风险的函》的复函》</w:t>
      </w:r>
      <w:r>
        <w:rPr>
          <w:rFonts w:ascii="宋体" w:eastAsia="宋体" w:cs="宋体" w:hAnsi="宋体" w:hint="eastAsia"/>
          <w:color w:val="auto"/>
          <w:kern w:val="0"/>
          <w:sz w:val="28"/>
          <w:szCs w:val="28"/>
          <w:lang w:eastAsia="zh-CN"/>
        </w:rPr>
        <w:t>，项目场区处于构造相对稳定区。</w:t>
      </w:r>
    </w:p>
    <w:p>
      <w:pPr>
        <w:widowControl/>
        <w:spacing w:before="4" w:line="360" w:lineRule="auto"/>
        <w:ind w:left="118" w:right="351" w:firstLineChars="200" w:firstLine="560"/>
        <w:jc w:val="left"/>
        <w:rPr>
          <w:rFonts w:hint="eastAsia"/>
          <w:color w:val="auto"/>
          <w:kern w:val="0"/>
          <w:sz w:val="28"/>
          <w:szCs w:val="28"/>
          <w:lang w:eastAsia="zh-CN"/>
        </w:rPr>
      </w:pPr>
      <w:r>
        <w:rPr>
          <w:rFonts w:ascii="宋体" w:eastAsia="宋体" w:cs="宋体" w:hAnsi="宋体" w:hint="eastAsia"/>
          <w:color w:val="auto"/>
          <w:kern w:val="0"/>
          <w:sz w:val="28"/>
          <w:szCs w:val="28"/>
          <w:lang w:eastAsia="zh-CN"/>
        </w:rPr>
        <w:t>根据</w:t>
      </w:r>
      <w:r>
        <w:rPr>
          <w:rFonts w:hint="eastAsia"/>
          <w:color w:val="auto"/>
          <w:kern w:val="0"/>
          <w:sz w:val="28"/>
          <w:szCs w:val="28"/>
          <w:lang w:eastAsia="zh-CN"/>
        </w:rPr>
        <w:t>《风电场工程等级划分及设计安全标准》（NB/T 10101-2018），风电机组地基基础的抗震设防类别应为标准设防类，也称为丙类。</w:t>
      </w:r>
    </w:p>
    <w:p>
      <w:pPr>
        <w:widowControl/>
        <w:spacing w:before="4" w:line="360" w:lineRule="auto"/>
        <w:ind w:left="118" w:right="351" w:firstLineChars="200" w:firstLine="560"/>
        <w:jc w:val="left"/>
        <w:rPr>
          <w:rFonts w:hint="eastAsia"/>
          <w:color w:val="auto"/>
          <w:kern w:val="0"/>
          <w:sz w:val="28"/>
          <w:szCs w:val="28"/>
          <w:lang w:eastAsia="zh-CN"/>
        </w:rPr>
      </w:pPr>
      <w:r>
        <w:rPr>
          <w:rFonts w:hint="eastAsia"/>
          <w:color w:val="auto"/>
          <w:kern w:val="0"/>
          <w:sz w:val="28"/>
          <w:szCs w:val="28"/>
          <w:lang w:eastAsia="zh-CN"/>
        </w:rPr>
        <w:t>本项目开关站和储能站的抗震设防类别应根据其电压等级和建（构）筑物的重要性并参考《风电场工程等级划分及设计安全标准》表7.0.2确定。</w:t>
      </w:r>
    </w:p>
    <w:p>
      <w:pPr>
        <w:widowControl/>
        <w:spacing w:before="4" w:line="360" w:lineRule="auto"/>
        <w:ind w:right="351"/>
        <w:jc w:val="left"/>
        <w:rPr>
          <w:rFonts w:ascii="宋体" w:eastAsia="宋体" w:cs="宋体" w:hAnsi="宋体" w:hint="eastAsia"/>
          <w:color w:val="auto"/>
          <w:kern w:val="0"/>
          <w:sz w:val="28"/>
          <w:szCs w:val="28"/>
        </w:rPr>
      </w:pPr>
      <w:r>
        <w:rPr>
          <w:color w:val="auto"/>
        </w:rPr>
        <w:drawing>
          <wp:inline distT="0" distB="0" distL="114300" distR="114300">
            <wp:extent cx="5274310" cy="2235835"/>
            <wp:effectExtent l="0" t="0" r="17" b="29"/>
            <wp:docPr id="53" name="图片 3"/>
            <wp:cNvGraphicFramePr>
              <a:graphicFrameLocks noChangeAspect="1"/>
            </wp:cNvGraphicFramePr>
            <a:graphic>
              <a:graphicData uri="http://schemas.openxmlformats.org/drawingml/2006/picture">
                <pic:pic>
                  <pic:nvPicPr>
                    <pic:cNvPr id="55" name="图片 3 55"/>
                    <pic:cNvPicPr/>
                  </pic:nvPicPr>
                  <pic:blipFill>
                    <a:blip r:embed="rId21"/>
                    <a:stretch>
                      <a:fillRect/>
                    </a:stretch>
                  </pic:blipFill>
                  <pic:spPr>
                    <a:xfrm rot="0">
                      <a:off x="0" y="0"/>
                      <a:ext cx="5274310" cy="2235835"/>
                    </a:xfrm>
                    <a:prstGeom prst="rect"/>
                    <a:noFill/>
                    <a:ln w="9525" cmpd="sng" cap="flat">
                      <a:noFill/>
                      <a:prstDash val="solid"/>
                      <a:round/>
                    </a:ln>
                  </pic:spPr>
                </pic:pic>
              </a:graphicData>
            </a:graphic>
          </wp:inline>
        </w:drawing>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rPr>
        <w:t>场地内未发现影响场地稳定的断裂构造和不良物理地质现象，场地稳定性好，基本适宜</w:t>
      </w:r>
      <w:r>
        <w:rPr>
          <w:rFonts w:ascii="宋体" w:eastAsia="宋体" w:cs="宋体" w:hAnsi="宋体" w:hint="eastAsia"/>
          <w:color w:val="auto"/>
          <w:kern w:val="0"/>
          <w:sz w:val="28"/>
          <w:szCs w:val="28"/>
          <w:lang w:eastAsia="zh-CN"/>
        </w:rPr>
        <w:t>项目工程</w:t>
      </w:r>
      <w:r>
        <w:rPr>
          <w:rFonts w:ascii="宋体" w:eastAsia="宋体" w:cs="宋体" w:hAnsi="宋体" w:hint="eastAsia"/>
          <w:color w:val="auto"/>
          <w:kern w:val="0"/>
          <w:sz w:val="28"/>
          <w:szCs w:val="28"/>
        </w:rPr>
        <w:t>建设。</w:t>
      </w:r>
      <w:r>
        <w:rPr>
          <w:rFonts w:ascii="宋体" w:eastAsia="宋体" w:cs="宋体" w:hAnsi="宋体" w:hint="eastAsia"/>
          <w:color w:val="auto"/>
          <w:kern w:val="0"/>
          <w:sz w:val="28"/>
          <w:szCs w:val="28"/>
          <w:lang w:eastAsia="zh-CN"/>
        </w:rPr>
        <w:t>规划的开关站</w:t>
      </w:r>
      <w:r>
        <w:rPr>
          <w:rFonts w:ascii="宋体" w:eastAsia="宋体" w:cs="宋体" w:hAnsi="宋体" w:hint="eastAsia"/>
          <w:color w:val="auto"/>
          <w:kern w:val="0"/>
          <w:sz w:val="28"/>
          <w:szCs w:val="28"/>
        </w:rPr>
        <w:t>地块</w:t>
      </w:r>
      <w:r>
        <w:rPr>
          <w:rFonts w:ascii="宋体" w:eastAsia="宋体" w:cs="宋体" w:hAnsi="宋体" w:hint="eastAsia"/>
          <w:color w:val="auto"/>
          <w:kern w:val="0"/>
          <w:sz w:val="28"/>
          <w:szCs w:val="28"/>
          <w:lang w:eastAsia="zh-CN"/>
        </w:rPr>
        <w:t>电压等级为</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rPr>
        <w:t>为</w:t>
      </w:r>
      <w:r>
        <w:rPr>
          <w:rFonts w:ascii="宋体" w:eastAsia="宋体" w:cs="宋体" w:hAnsi="宋体" w:hint="eastAsia"/>
          <w:color w:val="auto"/>
          <w:kern w:val="0"/>
          <w:sz w:val="28"/>
          <w:szCs w:val="28"/>
          <w:lang w:eastAsia="zh-CN"/>
        </w:rPr>
        <w:t>公用设施的</w:t>
      </w:r>
      <w:r>
        <w:rPr>
          <w:rFonts w:ascii="宋体" w:eastAsia="宋体" w:cs="宋体" w:hAnsi="宋体" w:hint="eastAsia"/>
          <w:color w:val="auto"/>
          <w:kern w:val="0"/>
          <w:sz w:val="28"/>
          <w:szCs w:val="28"/>
        </w:rPr>
        <w:t>供电用地，为生命线工程，</w:t>
      </w:r>
      <w:r>
        <w:rPr>
          <w:rFonts w:ascii="宋体" w:eastAsia="宋体" w:cs="宋体" w:hAnsi="宋体" w:hint="eastAsia"/>
          <w:color w:val="auto"/>
          <w:kern w:val="0"/>
          <w:sz w:val="28"/>
          <w:szCs w:val="28"/>
          <w:lang w:eastAsia="zh-CN"/>
        </w:rPr>
        <w:t>根据上表分析属标准</w:t>
      </w:r>
      <w:r>
        <w:rPr>
          <w:rFonts w:ascii="宋体" w:eastAsia="宋体" w:cs="宋体" w:hAnsi="宋体" w:hint="eastAsia"/>
          <w:color w:val="auto"/>
          <w:kern w:val="0"/>
          <w:sz w:val="28"/>
          <w:szCs w:val="28"/>
        </w:rPr>
        <w:t>设防类，应按本地区抗震设防烈度确定其抗震措施和地震作用，达到在遭遇高于当地抗震设防烈度的预估罕遇地震影响时不致倒塌或发生危及生命安全的严重破坏的抗震设防目标</w:t>
      </w:r>
      <w:r>
        <w:rPr>
          <w:rFonts w:ascii="宋体" w:eastAsia="宋体" w:cs="宋体" w:hAnsi="宋体" w:hint="eastAsia"/>
          <w:color w:val="auto"/>
          <w:kern w:val="0"/>
          <w:sz w:val="28"/>
          <w:szCs w:val="28"/>
          <w:lang w:eastAsia="zh-CN"/>
        </w:rPr>
        <w:t>，规划的</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开关站和储能站</w:t>
      </w:r>
      <w:r>
        <w:rPr>
          <w:rFonts w:ascii="宋体" w:eastAsia="宋体" w:cs="宋体" w:hAnsi="宋体" w:hint="eastAsia"/>
          <w:color w:val="auto"/>
          <w:kern w:val="0"/>
          <w:sz w:val="28"/>
          <w:szCs w:val="28"/>
        </w:rPr>
        <w:t>抗震设防烈度按</w:t>
      </w:r>
      <w:r>
        <w:rPr>
          <w:rFonts w:ascii="宋体" w:eastAsia="宋体" w:cs="宋体" w:hAnsi="宋体" w:hint="eastAsia"/>
          <w:color w:val="auto"/>
          <w:kern w:val="0"/>
          <w:sz w:val="28"/>
          <w:szCs w:val="28"/>
          <w:lang w:val="en-US" w:eastAsia="zh-CN"/>
        </w:rPr>
        <w:t>7</w:t>
      </w:r>
      <w:r>
        <w:rPr>
          <w:rFonts w:ascii="宋体" w:eastAsia="宋体" w:cs="宋体" w:hAnsi="宋体" w:hint="eastAsia"/>
          <w:color w:val="auto"/>
          <w:kern w:val="0"/>
          <w:sz w:val="28"/>
          <w:szCs w:val="28"/>
        </w:rPr>
        <w:t>度设防。</w:t>
      </w:r>
    </w:p>
    <w:p>
      <w:pPr>
        <w:pStyle w:val="15"/>
        <w:rPr>
          <w:rFonts w:hint="eastAsia"/>
        </w:rPr>
      </w:pP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6" w:name="_Toc12423"/>
      <w:r>
        <w:rPr>
          <w:rFonts w:ascii="宋体" w:eastAsia="宋体" w:cs="宋体" w:hAnsi="宋体" w:hint="eastAsia"/>
          <w:bCs/>
          <w:color w:val="auto"/>
          <w:sz w:val="32"/>
          <w:szCs w:val="32"/>
          <w:lang w:val="en-US" w:eastAsia="zh-CN"/>
        </w:rPr>
        <w:t>6.3防洪排涝</w:t>
      </w:r>
      <w:bookmarkEnd w:id="56"/>
    </w:p>
    <w:p>
      <w:pPr>
        <w:pStyle w:val="18"/>
        <w:autoSpaceDE w:val="0"/>
        <w:autoSpaceDN w:val="0"/>
        <w:spacing w:before="4" w:line="420" w:lineRule="auto"/>
        <w:ind w:left="118" w:right="351" w:firstLine="479"/>
        <w:rPr>
          <w:rFonts w:hint="eastAsia"/>
          <w:b/>
          <w:bCs/>
          <w:color w:val="auto"/>
          <w:sz w:val="28"/>
          <w:szCs w:val="28"/>
        </w:rPr>
      </w:pPr>
      <w:r>
        <w:rPr>
          <w:rFonts w:hint="eastAsia"/>
          <w:b/>
          <w:bCs/>
          <w:color w:val="auto"/>
          <w:sz w:val="28"/>
          <w:szCs w:val="28"/>
          <w:lang w:val="en-US" w:eastAsia="zh-CN"/>
        </w:rPr>
        <w:t xml:space="preserve">6.3.1 </w:t>
      </w:r>
      <w:r>
        <w:rPr>
          <w:rFonts w:hint="eastAsia"/>
          <w:b/>
          <w:bCs/>
          <w:color w:val="auto"/>
          <w:sz w:val="28"/>
          <w:szCs w:val="28"/>
        </w:rPr>
        <w:t>规划依据</w:t>
      </w:r>
    </w:p>
    <w:p>
      <w:pPr>
        <w:ind w:firstLineChars="200" w:firstLine="560"/>
        <w:jc w:val="left"/>
        <w:rPr>
          <w:rFonts w:eastAsia="宋体" w:hint="eastAsia"/>
          <w:color w:val="auto"/>
          <w:kern w:val="0"/>
          <w:sz w:val="28"/>
          <w:szCs w:val="28"/>
          <w:lang w:eastAsia="zh-CN"/>
        </w:rPr>
      </w:pPr>
      <w:r>
        <w:rPr>
          <w:rFonts w:hint="eastAsia"/>
          <w:color w:val="auto"/>
          <w:kern w:val="0"/>
          <w:sz w:val="28"/>
          <w:szCs w:val="28"/>
        </w:rPr>
        <w:t>（1）《中华人民共和国防洪法（</w:t>
      </w:r>
      <w:r>
        <w:rPr>
          <w:rFonts w:hint="eastAsia"/>
          <w:color w:val="auto"/>
          <w:kern w:val="0"/>
          <w:sz w:val="28"/>
          <w:szCs w:val="28"/>
          <w:lang w:val="en-US" w:eastAsia="zh-CN"/>
        </w:rPr>
        <w:t>2016修正</w:t>
      </w:r>
      <w:r>
        <w:rPr>
          <w:rFonts w:hint="eastAsia"/>
          <w:color w:val="auto"/>
          <w:kern w:val="0"/>
          <w:sz w:val="28"/>
          <w:szCs w:val="28"/>
        </w:rPr>
        <w:t>）》</w:t>
      </w:r>
      <w:r>
        <w:rPr>
          <w:rFonts w:hint="eastAsia"/>
          <w:color w:val="auto"/>
          <w:kern w:val="0"/>
          <w:sz w:val="28"/>
          <w:szCs w:val="28"/>
          <w:lang w:eastAsia="zh-CN"/>
        </w:rPr>
        <w:t>；</w:t>
      </w:r>
    </w:p>
    <w:p>
      <w:pPr>
        <w:ind w:firstLineChars="200" w:firstLine="560"/>
        <w:jc w:val="left"/>
        <w:rPr>
          <w:rFonts w:hint="eastAsia"/>
          <w:color w:val="auto"/>
          <w:kern w:val="0"/>
          <w:sz w:val="28"/>
          <w:szCs w:val="28"/>
          <w:lang w:eastAsia="zh-CN"/>
        </w:rPr>
      </w:pPr>
      <w:r>
        <w:rPr>
          <w:rFonts w:hint="eastAsia"/>
          <w:color w:val="auto"/>
          <w:kern w:val="0"/>
          <w:sz w:val="28"/>
          <w:szCs w:val="28"/>
        </w:rPr>
        <w:t>（</w:t>
      </w:r>
      <w:r>
        <w:rPr>
          <w:rFonts w:hint="eastAsia"/>
          <w:color w:val="auto"/>
          <w:kern w:val="0"/>
          <w:sz w:val="28"/>
          <w:szCs w:val="28"/>
          <w:lang w:val="en-US" w:eastAsia="zh-CN"/>
        </w:rPr>
        <w:t>2</w:t>
      </w:r>
      <w:r>
        <w:rPr>
          <w:rFonts w:hint="eastAsia"/>
          <w:color w:val="auto"/>
          <w:kern w:val="0"/>
          <w:sz w:val="28"/>
          <w:szCs w:val="28"/>
        </w:rPr>
        <w:t>）《防洪标准》</w:t>
      </w:r>
      <w:r>
        <w:rPr>
          <w:rFonts w:hint="eastAsia"/>
          <w:color w:val="auto"/>
          <w:kern w:val="0"/>
          <w:sz w:val="28"/>
          <w:szCs w:val="28"/>
          <w:lang w:eastAsia="zh-CN"/>
        </w:rPr>
        <w:t>（</w:t>
      </w:r>
      <w:r>
        <w:rPr>
          <w:rFonts w:hint="eastAsia"/>
          <w:color w:val="auto"/>
          <w:kern w:val="0"/>
          <w:sz w:val="28"/>
          <w:szCs w:val="28"/>
        </w:rPr>
        <w:t>GB50201-</w:t>
      </w:r>
      <w:r>
        <w:rPr>
          <w:rFonts w:hint="eastAsia"/>
          <w:color w:val="auto"/>
          <w:kern w:val="0"/>
          <w:sz w:val="28"/>
          <w:szCs w:val="28"/>
          <w:lang w:val="en-US" w:eastAsia="zh-CN"/>
        </w:rPr>
        <w:t>2014</w:t>
      </w:r>
      <w:r>
        <w:rPr>
          <w:rFonts w:hint="eastAsia"/>
          <w:color w:val="auto"/>
          <w:kern w:val="0"/>
          <w:sz w:val="28"/>
          <w:szCs w:val="28"/>
          <w:lang w:eastAsia="zh-CN"/>
        </w:rPr>
        <w:t>）；</w:t>
      </w:r>
    </w:p>
    <w:p>
      <w:pPr>
        <w:ind w:firstLineChars="200" w:firstLine="560"/>
        <w:jc w:val="left"/>
        <w:rPr>
          <w:rFonts w:hint="eastAsia"/>
          <w:color w:val="auto"/>
          <w:kern w:val="0"/>
          <w:sz w:val="28"/>
          <w:szCs w:val="28"/>
        </w:rPr>
      </w:pPr>
      <w:r>
        <w:rPr>
          <w:rFonts w:hint="eastAsia"/>
          <w:color w:val="auto"/>
          <w:kern w:val="0"/>
          <w:sz w:val="28"/>
          <w:szCs w:val="28"/>
          <w:lang w:eastAsia="zh-CN"/>
        </w:rPr>
        <w:t>（</w:t>
      </w:r>
      <w:r>
        <w:rPr>
          <w:rFonts w:hint="eastAsia"/>
          <w:color w:val="auto"/>
          <w:kern w:val="0"/>
          <w:sz w:val="28"/>
          <w:szCs w:val="28"/>
          <w:lang w:val="en-US" w:eastAsia="zh-CN"/>
        </w:rPr>
        <w:t>3</w:t>
      </w:r>
      <w:r>
        <w:rPr>
          <w:rFonts w:hint="eastAsia"/>
          <w:color w:val="auto"/>
          <w:kern w:val="0"/>
          <w:sz w:val="28"/>
          <w:szCs w:val="28"/>
          <w:lang w:eastAsia="zh-CN"/>
        </w:rPr>
        <w:t>）《风电场工程等级划分及设计安全标准》（NB/T 10101-2018）；</w:t>
      </w:r>
    </w:p>
    <w:p>
      <w:pPr>
        <w:ind w:firstLineChars="200" w:firstLine="560"/>
        <w:jc w:val="left"/>
        <w:rPr>
          <w:rFonts w:hint="eastAsia"/>
          <w:color w:val="auto"/>
          <w:kern w:val="0"/>
          <w:sz w:val="28"/>
          <w:szCs w:val="28"/>
        </w:rPr>
      </w:pPr>
      <w:r>
        <w:rPr>
          <w:rFonts w:hint="eastAsia"/>
          <w:color w:val="auto"/>
          <w:kern w:val="0"/>
          <w:sz w:val="28"/>
          <w:szCs w:val="28"/>
        </w:rPr>
        <w:t>（</w:t>
      </w:r>
      <w:r>
        <w:rPr>
          <w:rFonts w:hint="eastAsia"/>
          <w:color w:val="auto"/>
          <w:kern w:val="0"/>
          <w:sz w:val="28"/>
          <w:szCs w:val="28"/>
          <w:lang w:val="en-US" w:eastAsia="zh-CN"/>
        </w:rPr>
        <w:t>4</w:t>
      </w:r>
      <w:r>
        <w:rPr>
          <w:rFonts w:hint="eastAsia"/>
          <w:color w:val="auto"/>
          <w:kern w:val="0"/>
          <w:sz w:val="28"/>
          <w:szCs w:val="28"/>
        </w:rPr>
        <w:t>）《城市防洪工程设计规范》</w:t>
      </w:r>
      <w:r>
        <w:rPr>
          <w:rFonts w:hint="eastAsia"/>
          <w:color w:val="auto"/>
          <w:kern w:val="0"/>
          <w:sz w:val="28"/>
          <w:szCs w:val="28"/>
          <w:lang w:eastAsia="zh-CN"/>
        </w:rPr>
        <w:t>（</w:t>
      </w:r>
      <w:r>
        <w:rPr>
          <w:rFonts w:hint="eastAsia"/>
          <w:color w:val="auto"/>
          <w:kern w:val="0"/>
          <w:sz w:val="28"/>
          <w:szCs w:val="28"/>
        </w:rPr>
        <w:t>GB/T50805-2012</w:t>
      </w:r>
      <w:r>
        <w:rPr>
          <w:rFonts w:hint="eastAsia"/>
          <w:color w:val="auto"/>
          <w:kern w:val="0"/>
          <w:sz w:val="28"/>
          <w:szCs w:val="28"/>
          <w:lang w:eastAsia="zh-CN"/>
        </w:rPr>
        <w:t>）；</w:t>
      </w:r>
    </w:p>
    <w:p>
      <w:pPr>
        <w:ind w:firstLineChars="200" w:firstLine="560"/>
        <w:rPr>
          <w:rFonts w:eastAsia="宋体" w:hint="eastAsia"/>
          <w:color w:val="auto"/>
          <w:kern w:val="0"/>
          <w:sz w:val="28"/>
          <w:szCs w:val="28"/>
          <w:lang w:eastAsia="zh-CN"/>
        </w:rPr>
      </w:pPr>
      <w:r>
        <w:rPr>
          <w:rFonts w:hint="eastAsia"/>
          <w:color w:val="auto"/>
          <w:kern w:val="0"/>
          <w:sz w:val="28"/>
          <w:szCs w:val="28"/>
        </w:rPr>
        <w:t>（</w:t>
      </w:r>
      <w:r>
        <w:rPr>
          <w:rFonts w:hint="eastAsia"/>
          <w:color w:val="auto"/>
          <w:kern w:val="0"/>
          <w:sz w:val="28"/>
          <w:szCs w:val="28"/>
          <w:lang w:val="en-US" w:eastAsia="zh-CN"/>
        </w:rPr>
        <w:t>5</w:t>
      </w:r>
      <w:r>
        <w:rPr>
          <w:rFonts w:hint="eastAsia"/>
          <w:color w:val="auto"/>
          <w:kern w:val="0"/>
          <w:sz w:val="28"/>
          <w:szCs w:val="28"/>
        </w:rPr>
        <w:t>）《堤防工程设计规范》</w:t>
      </w:r>
      <w:r>
        <w:rPr>
          <w:rFonts w:hint="eastAsia"/>
          <w:color w:val="auto"/>
          <w:kern w:val="0"/>
          <w:sz w:val="28"/>
          <w:szCs w:val="28"/>
          <w:lang w:eastAsia="zh-CN"/>
        </w:rPr>
        <w:t>（</w:t>
      </w:r>
      <w:r>
        <w:rPr>
          <w:rFonts w:hint="eastAsia"/>
          <w:color w:val="auto"/>
          <w:kern w:val="0"/>
          <w:sz w:val="28"/>
          <w:szCs w:val="28"/>
        </w:rPr>
        <w:t>GB50286-2013</w:t>
      </w:r>
      <w:r>
        <w:rPr>
          <w:rFonts w:hint="eastAsia"/>
          <w:color w:val="auto"/>
          <w:kern w:val="0"/>
          <w:sz w:val="28"/>
          <w:szCs w:val="28"/>
          <w:lang w:eastAsia="zh-CN"/>
        </w:rPr>
        <w:t>）。</w:t>
      </w:r>
    </w:p>
    <w:p>
      <w:pPr>
        <w:pStyle w:val="18"/>
        <w:autoSpaceDE w:val="0"/>
        <w:autoSpaceDN w:val="0"/>
        <w:spacing w:before="4" w:line="420" w:lineRule="auto"/>
        <w:ind w:left="118" w:right="351" w:firstLine="479"/>
        <w:rPr>
          <w:rFonts w:hint="eastAsia"/>
          <w:color w:val="auto"/>
          <w:kern w:val="0"/>
          <w:sz w:val="28"/>
          <w:szCs w:val="28"/>
        </w:rPr>
      </w:pPr>
      <w:r>
        <w:rPr>
          <w:rFonts w:hint="eastAsia"/>
          <w:b/>
          <w:bCs/>
          <w:color w:val="auto"/>
          <w:sz w:val="28"/>
          <w:szCs w:val="28"/>
          <w:lang w:val="en-US" w:eastAsia="zh-CN"/>
        </w:rPr>
        <w:t xml:space="preserve">6.3.2 </w:t>
      </w:r>
      <w:r>
        <w:rPr>
          <w:rFonts w:hint="eastAsia"/>
          <w:b/>
          <w:bCs/>
          <w:color w:val="auto"/>
          <w:sz w:val="28"/>
          <w:szCs w:val="28"/>
          <w:lang w:eastAsia="zh-CN"/>
        </w:rPr>
        <w:t>防洪规划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rPr>
        <w:t>研究地块位于钦州市钦北区</w:t>
      </w:r>
      <w:r>
        <w:rPr>
          <w:rFonts w:ascii="宋体" w:eastAsia="宋体" w:cs="宋体" w:hAnsi="宋体" w:hint="eastAsia"/>
          <w:color w:val="auto"/>
          <w:kern w:val="0"/>
          <w:sz w:val="28"/>
          <w:szCs w:val="28"/>
          <w:lang w:eastAsia="zh-CN"/>
        </w:rPr>
        <w:t>大垌镇与那蒙镇交界处山脊或山包一带区域，</w:t>
      </w:r>
      <w:r>
        <w:rPr>
          <w:rFonts w:ascii="宋体" w:eastAsia="宋体" w:cs="宋体" w:hAnsi="宋体" w:hint="eastAsia"/>
          <w:color w:val="auto"/>
          <w:kern w:val="0"/>
          <w:sz w:val="28"/>
          <w:szCs w:val="28"/>
          <w:lang w:val="en-US" w:eastAsia="zh-CN"/>
        </w:rPr>
        <w:t>该区域海拔在200-400m之间，整个项目用地的地势相对各镇区较高，属山区风力发电场。附近地表水系较广，最近的地表水位于项目南角约1700 米处的茅岭江。</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风电机组地基基础的洪水设计标准，应根据风电机组地基基础的设计等级确定，并符合《风电场工程等级划分及设计安全标准》（NB/T 10101-2018）表6.0.1的要求。</w:t>
      </w:r>
    </w:p>
    <w:p>
      <w:pPr>
        <w:widowControl/>
        <w:spacing w:before="4" w:line="360" w:lineRule="auto"/>
        <w:ind w:right="351"/>
        <w:jc w:val="left"/>
        <w:rPr>
          <w:color w:val="auto"/>
        </w:rPr>
      </w:pPr>
      <w:r>
        <w:rPr>
          <w:color w:val="auto"/>
        </w:rPr>
        <w:drawing>
          <wp:inline distT="0" distB="0" distL="114300" distR="114300">
            <wp:extent cx="5272404" cy="1203960"/>
            <wp:effectExtent l="0" t="0" r="16" b="19"/>
            <wp:docPr id="56" name="图片 2"/>
            <wp:cNvGraphicFramePr>
              <a:graphicFrameLocks noChangeAspect="1"/>
            </wp:cNvGraphicFramePr>
            <a:graphic>
              <a:graphicData uri="http://schemas.openxmlformats.org/drawingml/2006/picture">
                <pic:pic>
                  <pic:nvPicPr>
                    <pic:cNvPr id="58" name="图片 2 58"/>
                    <pic:cNvPicPr/>
                  </pic:nvPicPr>
                  <pic:blipFill>
                    <a:blip r:embed="rId22"/>
                    <a:stretch>
                      <a:fillRect/>
                    </a:stretch>
                  </pic:blipFill>
                  <pic:spPr>
                    <a:xfrm rot="0">
                      <a:off x="0" y="0"/>
                      <a:ext cx="5272404" cy="1203960"/>
                    </a:xfrm>
                    <a:prstGeom prst="rect"/>
                    <a:noFill/>
                    <a:ln w="9525" cmpd="sng" cap="flat">
                      <a:noFill/>
                      <a:prstDash val="solid"/>
                      <a:round/>
                    </a:ln>
                  </pic:spPr>
                </pic:pic>
              </a:graphicData>
            </a:graphic>
          </wp:inline>
        </w:drawing>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参照上表，本规划风电机组地基基础设计等级为甲级，洪水设计标准按50年重现期计。</w:t>
      </w:r>
    </w:p>
    <w:p>
      <w:pPr>
        <w:widowControl/>
        <w:spacing w:before="4" w:line="360" w:lineRule="auto"/>
        <w:ind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val="en-US" w:eastAsia="zh-CN"/>
        </w:rPr>
        <w:t>风电场变电站的洪水设计标准，应根据风电场变电站的电压等级，按《风电场工程等级划分及设计安全标准》（NB/T 10101-2018）表6.0.2确定。</w:t>
      </w:r>
    </w:p>
    <w:p>
      <w:pPr>
        <w:widowControl/>
        <w:spacing w:before="4" w:line="360" w:lineRule="auto"/>
        <w:ind w:right="351"/>
        <w:jc w:val="left"/>
        <w:rPr>
          <w:rFonts w:ascii="宋体" w:eastAsia="宋体" w:cs="宋体" w:hAnsi="宋体" w:hint="eastAsia"/>
          <w:color w:val="auto"/>
          <w:kern w:val="0"/>
          <w:sz w:val="28"/>
          <w:szCs w:val="28"/>
          <w:lang w:val="en-US" w:eastAsia="zh-CN"/>
        </w:rPr>
      </w:pPr>
      <w:r>
        <w:rPr>
          <w:color w:val="auto"/>
        </w:rPr>
        <w:drawing>
          <wp:inline distT="0" distB="0" distL="114300" distR="114300">
            <wp:extent cx="5269230" cy="1201420"/>
            <wp:effectExtent l="0" t="0" r="15" b="45"/>
            <wp:docPr id="59" name="图片 1"/>
            <wp:cNvGraphicFramePr>
              <a:graphicFrameLocks noChangeAspect="1"/>
            </wp:cNvGraphicFramePr>
            <a:graphic>
              <a:graphicData uri="http://schemas.openxmlformats.org/drawingml/2006/picture">
                <pic:pic>
                  <pic:nvPicPr>
                    <pic:cNvPr id="61" name="图片 1 61"/>
                    <pic:cNvPicPr/>
                  </pic:nvPicPr>
                  <pic:blipFill>
                    <a:blip r:embed="rId23"/>
                    <a:stretch>
                      <a:fillRect/>
                    </a:stretch>
                  </pic:blipFill>
                  <pic:spPr>
                    <a:xfrm rot="0">
                      <a:off x="0" y="0"/>
                      <a:ext cx="5269230" cy="1201420"/>
                    </a:xfrm>
                    <a:prstGeom prst="rect"/>
                    <a:noFill/>
                    <a:ln w="9525" cmpd="sng" cap="flat">
                      <a:noFill/>
                      <a:prstDash val="solid"/>
                      <a:round/>
                    </a:ln>
                  </pic:spPr>
                </pic:pic>
              </a:graphicData>
            </a:graphic>
          </wp:inline>
        </w:drawing>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val="en-US" w:eastAsia="zh-CN"/>
        </w:rPr>
        <w:t>参照上表，本规划开关站的电压等级为35kV，洪水设计标准按50年重现期计。</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风电场项目属</w:t>
      </w:r>
      <w:r>
        <w:rPr>
          <w:rFonts w:ascii="宋体" w:eastAsia="宋体" w:cs="宋体" w:hAnsi="宋体" w:hint="eastAsia"/>
          <w:color w:val="auto"/>
          <w:kern w:val="0"/>
          <w:sz w:val="28"/>
          <w:szCs w:val="28"/>
        </w:rPr>
        <w:t>生命线工程</w:t>
      </w:r>
      <w:r>
        <w:rPr>
          <w:rFonts w:ascii="宋体" w:eastAsia="宋体" w:cs="宋体" w:hAnsi="宋体" w:hint="eastAsia"/>
          <w:color w:val="auto"/>
          <w:kern w:val="0"/>
          <w:sz w:val="28"/>
          <w:szCs w:val="28"/>
          <w:lang w:eastAsia="zh-CN"/>
        </w:rPr>
        <w:t>，应制定严格的防洪、防淹管理制度：</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（1）风电场</w:t>
      </w:r>
      <w:r>
        <w:rPr>
          <w:rFonts w:ascii="宋体" w:eastAsia="宋体" w:cs="宋体" w:hAnsi="宋体" w:hint="eastAsia"/>
          <w:color w:val="auto"/>
          <w:kern w:val="0"/>
          <w:sz w:val="28"/>
          <w:szCs w:val="28"/>
          <w:lang w:val="en-US" w:eastAsia="zh-CN"/>
        </w:rPr>
        <w:t>开关站、储能站及各风电机组</w:t>
      </w:r>
      <w:r>
        <w:rPr>
          <w:rFonts w:ascii="宋体" w:eastAsia="宋体" w:cs="宋体" w:hAnsi="宋体"/>
          <w:color w:val="auto"/>
          <w:kern w:val="0"/>
          <w:sz w:val="28"/>
          <w:szCs w:val="28"/>
          <w:lang w:val="en-US" w:eastAsia="zh-CN"/>
        </w:rPr>
        <w:t>建设选择地势较高处，区域内地面设有排水设施。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（2）通向</w:t>
      </w:r>
      <w:r>
        <w:rPr>
          <w:rFonts w:ascii="宋体" w:eastAsia="宋体" w:cs="宋体" w:hAnsi="宋体" w:hint="eastAsia"/>
          <w:color w:val="auto"/>
          <w:kern w:val="0"/>
          <w:sz w:val="28"/>
          <w:szCs w:val="28"/>
          <w:lang w:val="en-US" w:eastAsia="zh-CN"/>
        </w:rPr>
        <w:t>站</w:t>
      </w:r>
      <w:r>
        <w:rPr>
          <w:rFonts w:ascii="宋体" w:eastAsia="宋体" w:cs="宋体" w:hAnsi="宋体"/>
          <w:color w:val="auto"/>
          <w:kern w:val="0"/>
          <w:sz w:val="28"/>
          <w:szCs w:val="28"/>
          <w:lang w:val="en-US" w:eastAsia="zh-CN"/>
        </w:rPr>
        <w:t>区建筑物外部的各种孔洞、管沟、通道、电缆沟设置相应的防洪措施</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（3）机械排水系统的水泵管道在排水管道上设置逆止阀。</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（4）防洪、防淹设施设有两个独立电源供电，任一电源均应满足工作负荷的要求</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开关站、储能站及风力发电机组基础应有防山洪和排山洪的措施，当遭遇特大暴雨时，需迅速地将场地雨水排出，</w:t>
      </w:r>
      <w:r>
        <w:rPr>
          <w:rFonts w:ascii="宋体" w:eastAsia="宋体" w:cs="宋体" w:hAnsi="宋体" w:hint="eastAsia"/>
          <w:color w:val="auto"/>
          <w:kern w:val="0"/>
          <w:sz w:val="28"/>
          <w:szCs w:val="28"/>
          <w:lang w:val="en-US" w:eastAsia="zh-CN"/>
        </w:rPr>
        <w:t>通过边坡防护，铺设排水沟等排水措施，加强项目区水土保持，具体措施如下：</w:t>
      </w:r>
    </w:p>
    <w:p>
      <w:pPr>
        <w:widowControl/>
        <w:numPr>
          <w:ilvl w:val="0"/>
          <w:numId w:val="4"/>
        </w:numPr>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项目开关站和储能站位于场区负荷中心地带，地面高程约为170m～190m，西南侧地势相比周围地势较低，可顺利排泄雨水。站区周边用地地势平缓，周围无大的河流，站内受洪水、内涝等影响较小。开关站和储能站地面整平采用平坡式。站内排水考虑采用有组织排水方式，设排水明沟和管道。站内雨水经过管道排入附近地面，经西南侧自然坡面排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2）风电机组防洪措施主要根据各现状场地竖向条件，确定场地和道路竖向，确定排水方向，排水坡度约为2%～3%，雨水主要往场地出入口方向排出场区检修道路的截洪排水沟，以</w:t>
      </w:r>
      <w:r>
        <w:rPr>
          <w:rFonts w:ascii="宋体" w:eastAsia="宋体" w:cs="宋体" w:hAnsi="宋体" w:hint="eastAsia"/>
          <w:color w:val="auto"/>
          <w:kern w:val="0"/>
          <w:sz w:val="28"/>
          <w:szCs w:val="28"/>
        </w:rPr>
        <w:t>山地冲沟和坑塘河道为主要排水出口迅速将雨水排出</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7" w:name="_Toc11554"/>
      <w:r>
        <w:rPr>
          <w:rFonts w:ascii="宋体" w:eastAsia="宋体" w:cs="宋体" w:hAnsi="宋体" w:hint="eastAsia"/>
          <w:bCs/>
          <w:color w:val="auto"/>
          <w:sz w:val="32"/>
          <w:szCs w:val="32"/>
          <w:lang w:val="en-US" w:eastAsia="zh-CN"/>
        </w:rPr>
        <w:t>6.4地质灾害防治规划</w:t>
      </w:r>
      <w:bookmarkEnd w:id="57"/>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根据地质灾害危险性</w:t>
      </w:r>
      <w:r>
        <w:rPr>
          <w:rFonts w:ascii="宋体" w:eastAsia="宋体" w:cs="宋体" w:hAnsi="宋体"/>
          <w:color w:val="auto"/>
          <w:kern w:val="0"/>
          <w:sz w:val="28"/>
          <w:szCs w:val="28"/>
          <w:lang w:val="en-US" w:eastAsia="zh-CN"/>
        </w:rPr>
        <w:t>评估</w:t>
      </w:r>
      <w:r>
        <w:rPr>
          <w:rFonts w:ascii="宋体" w:eastAsia="宋体" w:cs="宋体" w:hAnsi="宋体"/>
          <w:color w:val="auto"/>
          <w:kern w:val="0"/>
          <w:sz w:val="28"/>
          <w:szCs w:val="28"/>
          <w:lang w:val="en-US" w:eastAsia="zh-CN"/>
        </w:rPr>
        <w:t>专家组审查意见，本项目区内地质环境条件复杂程度属中等类型，评估级别定为一级，基本符合《地质灾害危险性评估规范》(GB/T 40112-2021)、广西壮族自治区《地质灾害危险性评估规程》( DB45/T1625-2017)的要求。评估区内现状发育3 处不稳定斜坡，其程度属弱~中等发育，危害程度小，危险性小。地质灾害评估报告对项目工程建设中、建成后可能引发、加剧及建成后可能遭受的地质灾害提出了有效防护措施与建议，提出的地质灾害防治措施基本可行，项目建设单位承诺做好地质灾害防治工作。项目符合地质灾害风险区防控要求。条件复杂程度</w:t>
      </w:r>
      <w:r>
        <w:rPr>
          <w:rFonts w:ascii="宋体" w:eastAsia="宋体" w:cs="宋体" w:hAnsi="宋体"/>
          <w:color w:val="auto"/>
          <w:kern w:val="0"/>
          <w:sz w:val="28"/>
          <w:szCs w:val="28"/>
          <w:lang w:val="en-US" w:eastAsia="zh-CN"/>
        </w:rPr>
        <w:t>较</w:t>
      </w:r>
      <w:r>
        <w:rPr>
          <w:rFonts w:ascii="宋体" w:eastAsia="宋体" w:cs="宋体" w:hAnsi="宋体"/>
          <w:color w:val="auto"/>
          <w:kern w:val="0"/>
          <w:sz w:val="28"/>
          <w:szCs w:val="28"/>
          <w:lang w:val="en-US" w:eastAsia="zh-CN"/>
        </w:rPr>
        <w:t>为复杂。确定评估级别为一级，评估范围基本合适</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地质灾害防治条例》第二十四条：“对经评估认为可能引发地质灾害或者可能遭受地质灾害危害的建设工程，应当配套建设地质灾害治理工程。地质灾害治理工程的设计、施工和验收应当与主体工程的设计、施工、验收同时进行。配套的地质灾害治理工程未经验收或者经验收不合格的，主体工程不得投入生产或者使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工程建设施工前应进行详细的岩土工程勘察，查明场地岩土体的分布特征，查明建设场地浅层溶洞、隐伏土洞、软弱土体的分布特征。</w:t>
      </w:r>
      <w:r>
        <w:rPr>
          <w:rFonts w:ascii="宋体" w:eastAsia="宋体" w:cs="宋体" w:hAnsi="宋体" w:hint="eastAsia"/>
          <w:color w:val="auto"/>
          <w:kern w:val="0"/>
          <w:sz w:val="28"/>
          <w:szCs w:val="28"/>
          <w:lang w:val="en-US" w:eastAsia="zh-CN"/>
        </w:rPr>
        <w:t>对可能引发地质灾害或者可能遭受地质灾害危害的建设工程，配套建设地质灾害治理工程。</w:t>
      </w:r>
      <w:r>
        <w:rPr>
          <w:rFonts w:ascii="宋体" w:eastAsia="宋体" w:cs="宋体" w:hAnsi="宋体"/>
          <w:color w:val="auto"/>
          <w:kern w:val="0"/>
          <w:sz w:val="28"/>
          <w:szCs w:val="28"/>
          <w:lang w:val="en-US" w:eastAsia="zh-CN"/>
        </w:rPr>
        <w:t>在工程建设和投入使用后对可能出现的不同地质灾害类型采取相应的防治措施，并加强监测，防止引发和遭受地质灾害</w:t>
      </w:r>
      <w:r>
        <w:rPr>
          <w:rFonts w:ascii="宋体" w:eastAsia="宋体" w:cs="宋体" w:hAnsi="宋体" w:hint="eastAsia"/>
          <w:color w:val="auto"/>
          <w:kern w:val="0"/>
          <w:sz w:val="28"/>
          <w:szCs w:val="28"/>
          <w:lang w:val="en-US" w:eastAsia="zh-CN"/>
        </w:rPr>
        <w:t>。</w:t>
      </w: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58" w:name="_Toc5084"/>
      <w:r>
        <w:rPr>
          <w:rFonts w:ascii="宋体" w:eastAsia="宋体" w:cs="宋体" w:hAnsi="宋体" w:hint="eastAsia"/>
          <w:bCs/>
          <w:color w:val="auto"/>
          <w:sz w:val="32"/>
          <w:szCs w:val="32"/>
          <w:lang w:eastAsia="zh-CN"/>
        </w:rPr>
        <w:t>第七章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地块管控</w:t>
      </w:r>
      <w:r>
        <w:rPr>
          <w:rFonts w:ascii="宋体" w:eastAsia="宋体" w:cs="宋体" w:hAnsi="宋体" w:hint="eastAsia"/>
          <w:bCs/>
          <w:color w:val="auto"/>
          <w:sz w:val="32"/>
          <w:szCs w:val="32"/>
        </w:rPr>
        <w:t>规划</w:t>
      </w:r>
      <w:bookmarkEnd w:id="58"/>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59" w:name="_Toc21183"/>
      <w:r>
        <w:rPr>
          <w:rFonts w:ascii="宋体" w:eastAsia="宋体" w:cs="宋体" w:hAnsi="宋体" w:hint="eastAsia"/>
          <w:bCs/>
          <w:color w:val="auto"/>
          <w:sz w:val="32"/>
          <w:szCs w:val="32"/>
          <w:lang w:val="en-US" w:eastAsia="zh-CN"/>
        </w:rPr>
        <w:t>7.1地块控制内容</w:t>
      </w:r>
      <w:bookmarkEnd w:id="59"/>
    </w:p>
    <w:p>
      <w:pPr>
        <w:widowControl/>
        <w:spacing w:before="4" w:line="360" w:lineRule="auto"/>
        <w:ind w:left="118" w:right="351" w:firstLineChars="200" w:firstLine="560"/>
        <w:jc w:val="left"/>
        <w:rPr>
          <w:rFonts w:hint="eastAsia"/>
          <w:color w:val="auto"/>
          <w:lang w:val="en-US" w:eastAsia="zh-CN"/>
        </w:rPr>
      </w:pPr>
      <w:r>
        <w:rPr>
          <w:rFonts w:ascii="宋体" w:eastAsia="宋体" w:cs="宋体" w:hAnsi="宋体" w:hint="eastAsia"/>
          <w:color w:val="auto"/>
          <w:kern w:val="0"/>
          <w:sz w:val="28"/>
          <w:szCs w:val="28"/>
          <w:lang w:val="en-US" w:eastAsia="zh-CN"/>
        </w:rPr>
        <w:t>本规划为</w:t>
      </w: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val="en-US" w:eastAsia="zh-CN"/>
        </w:rPr>
        <w:t>项目独立地块控规，本章节重点对项目开关站和储能站地块的建设提出</w:t>
      </w:r>
      <w:r>
        <w:rPr>
          <w:rFonts w:ascii="宋体" w:eastAsia="宋体" w:cs="宋体" w:hAnsi="宋体" w:hint="eastAsia"/>
          <w:color w:val="auto"/>
          <w:kern w:val="0"/>
          <w:sz w:val="28"/>
          <w:szCs w:val="28"/>
          <w:lang w:eastAsia="zh-CN"/>
        </w:rPr>
        <w:t>合理的建设容量控制指标，</w:t>
      </w:r>
      <w:r>
        <w:rPr>
          <w:rFonts w:ascii="宋体" w:eastAsia="宋体" w:cs="宋体" w:hAnsi="宋体" w:hint="eastAsia"/>
          <w:color w:val="auto"/>
          <w:kern w:val="0"/>
          <w:sz w:val="28"/>
          <w:szCs w:val="28"/>
          <w:lang w:val="en-US" w:eastAsia="zh-CN"/>
        </w:rPr>
        <w:t>主要包括容积率、建筑密度、建筑限高、绿地率以及规划控制线、建筑退线、建筑控制、交通管控、停车位配建等方面。其余风电机组用地着重在容积率方面进行管控。其中，各地块的用地性质、用地面积、容积率、建筑密度/建筑系数、绿地率、建筑限高为约束性指标。具体控制指标详见各地块图则。</w:t>
      </w:r>
    </w:p>
    <w:p>
      <w:pPr>
        <w:pStyle w:val="18"/>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7.1.1</w:t>
      </w:r>
      <w:r>
        <w:rPr>
          <w:rFonts w:hint="eastAsia"/>
          <w:color w:val="auto"/>
        </w:rPr>
        <w:t xml:space="preserve"> </w:t>
      </w:r>
      <w:r>
        <w:rPr>
          <w:rFonts w:hint="eastAsia"/>
          <w:b/>
          <w:bCs/>
          <w:color w:val="auto"/>
          <w:sz w:val="28"/>
          <w:szCs w:val="28"/>
          <w:lang w:eastAsia="zh-CN"/>
        </w:rPr>
        <w:t>容积率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hint="eastAsia"/>
          <w:color w:val="auto"/>
          <w:sz w:val="28"/>
          <w:szCs w:val="28"/>
          <w:lang w:eastAsia="zh-CN"/>
        </w:rPr>
        <w:t>（</w:t>
      </w:r>
      <w:r>
        <w:rPr>
          <w:rFonts w:hint="eastAsia"/>
          <w:color w:val="auto"/>
          <w:sz w:val="28"/>
          <w:szCs w:val="28"/>
          <w:lang w:val="en-US" w:eastAsia="zh-CN"/>
        </w:rPr>
        <w:t>1</w:t>
      </w:r>
      <w:r>
        <w:rPr>
          <w:rFonts w:hint="eastAsia"/>
          <w:color w:val="auto"/>
          <w:sz w:val="28"/>
          <w:szCs w:val="28"/>
          <w:lang w:eastAsia="zh-CN"/>
        </w:rPr>
        <w:t>）开关站、储能站用地容积率控制</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hint="eastAsia"/>
          <w:color w:val="auto"/>
          <w:kern w:val="0"/>
          <w:sz w:val="28"/>
          <w:szCs w:val="28"/>
          <w:lang w:val="en-US" w:eastAsia="zh-CN"/>
        </w:rPr>
        <w:t>本项目场区范围</w:t>
      </w:r>
      <w:r>
        <w:rPr>
          <w:rFonts w:hint="eastAsia"/>
          <w:color w:val="auto"/>
          <w:kern w:val="0"/>
          <w:sz w:val="28"/>
          <w:szCs w:val="28"/>
          <w:lang w:val="en-US"/>
        </w:rPr>
        <w:t>距离大垌镇约4 公里，距那蒙镇约3.3 公里</w:t>
      </w:r>
      <w:r>
        <w:rPr>
          <w:rFonts w:hint="eastAsia"/>
          <w:color w:val="auto"/>
          <w:kern w:val="0"/>
          <w:sz w:val="28"/>
          <w:szCs w:val="28"/>
          <w:lang w:val="en-US" w:eastAsia="zh-CN"/>
        </w:rPr>
        <w:t>，</w:t>
      </w:r>
      <w:r>
        <w:rPr>
          <w:rFonts w:hint="eastAsia"/>
          <w:color w:val="auto"/>
          <w:sz w:val="28"/>
          <w:szCs w:val="28"/>
          <w:lang w:eastAsia="zh-CN"/>
        </w:rPr>
        <w:t>参照</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，项目</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开关站与城镇的距离＜</w:t>
      </w:r>
      <w:r>
        <w:rPr>
          <w:rFonts w:ascii="宋体" w:eastAsia="宋体" w:cs="宋体" w:hAnsi="宋体" w:hint="eastAsia"/>
          <w:color w:val="auto"/>
          <w:kern w:val="0"/>
          <w:sz w:val="28"/>
          <w:szCs w:val="28"/>
          <w:lang w:val="en-US" w:eastAsia="zh-CN"/>
        </w:rPr>
        <w:t>10km，不单独设置生活服务设施。</w:t>
      </w:r>
      <w:r>
        <w:rPr>
          <w:rFonts w:ascii="宋体" w:eastAsia="宋体" w:cs="宋体" w:hAnsi="宋体" w:hint="eastAsia"/>
          <w:color w:val="auto"/>
          <w:kern w:val="0"/>
          <w:sz w:val="28"/>
          <w:szCs w:val="28"/>
          <w:lang w:eastAsia="zh-CN"/>
        </w:rPr>
        <w:t>本项目风电场根据实际建设需要，在</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开关站地块内主要布置生产建筑和</w:t>
      </w:r>
      <w:r>
        <w:rPr>
          <w:rFonts w:ascii="宋体" w:eastAsia="宋体" w:cs="宋体" w:hAnsi="宋体" w:hint="eastAsia"/>
          <w:color w:val="auto"/>
          <w:kern w:val="0"/>
          <w:sz w:val="28"/>
          <w:szCs w:val="28"/>
          <w:lang w:val="en-US" w:eastAsia="zh-CN"/>
        </w:rPr>
        <w:t>电气配电装置，</w:t>
      </w:r>
      <w:r>
        <w:rPr>
          <w:rFonts w:ascii="宋体" w:eastAsia="宋体" w:cs="宋体" w:hAnsi="宋体" w:hint="eastAsia"/>
          <w:color w:val="auto"/>
          <w:kern w:val="0"/>
          <w:sz w:val="28"/>
          <w:szCs w:val="28"/>
          <w:lang w:eastAsia="zh-CN"/>
        </w:rPr>
        <w:t>储能站地块内</w:t>
      </w:r>
      <w:r>
        <w:rPr>
          <w:rFonts w:ascii="宋体" w:eastAsia="宋体" w:cs="宋体" w:hAnsi="宋体" w:hint="eastAsia"/>
          <w:color w:val="auto"/>
          <w:kern w:val="0"/>
          <w:sz w:val="28"/>
          <w:szCs w:val="28"/>
          <w:lang w:val="en-US" w:eastAsia="zh-CN"/>
        </w:rPr>
        <w:t>布置储能建筑及设备，</w:t>
      </w: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5.5.2.13条</w:t>
      </w:r>
      <w:r>
        <w:rPr>
          <w:rFonts w:ascii="宋体" w:eastAsia="宋体" w:cs="宋体" w:hAnsi="宋体" w:hint="eastAsia"/>
          <w:color w:val="auto"/>
          <w:kern w:val="0"/>
          <w:sz w:val="28"/>
          <w:szCs w:val="28"/>
          <w:lang w:eastAsia="zh-CN"/>
        </w:rPr>
        <w:t>：“变电站的生产楼宜设置二层，土地价格较高的地区，经技术经济比较后可设置两层以上”</w:t>
      </w:r>
      <w:r>
        <w:rPr>
          <w:rFonts w:hint="eastAsia"/>
          <w:color w:val="auto"/>
          <w:sz w:val="28"/>
          <w:szCs w:val="28"/>
        </w:rPr>
        <w:t>，</w:t>
      </w:r>
      <w:r>
        <w:rPr>
          <w:rFonts w:hint="eastAsia"/>
          <w:color w:val="auto"/>
          <w:sz w:val="28"/>
          <w:szCs w:val="28"/>
          <w:lang w:eastAsia="zh-CN"/>
        </w:rPr>
        <w:t>通过从该导则和</w:t>
      </w:r>
      <w:r>
        <w:rPr>
          <w:rFonts w:hint="eastAsia"/>
          <w:color w:val="auto"/>
          <w:sz w:val="28"/>
          <w:szCs w:val="28"/>
          <w:lang w:val="en-US" w:eastAsia="zh-CN"/>
        </w:rPr>
        <w:t>以下各表</w:t>
      </w:r>
      <w:r>
        <w:rPr>
          <w:rFonts w:hint="eastAsia"/>
          <w:color w:val="auto"/>
          <w:sz w:val="28"/>
          <w:szCs w:val="28"/>
          <w:lang w:eastAsia="zh-CN"/>
        </w:rPr>
        <w:t>分析</w:t>
      </w:r>
      <w:r>
        <w:rPr>
          <w:rFonts w:ascii="宋体" w:eastAsia="宋体" w:cs="宋体" w:hAnsi="宋体" w:hint="eastAsia"/>
          <w:color w:val="auto"/>
          <w:kern w:val="0"/>
          <w:sz w:val="28"/>
          <w:szCs w:val="28"/>
          <w:lang w:eastAsia="zh-CN"/>
        </w:rPr>
        <w:t>：</w:t>
      </w:r>
    </w:p>
    <w:p>
      <w:pPr>
        <w:pStyle w:val="15"/>
        <w:rPr>
          <w:rFonts w:hint="eastAsia"/>
          <w:color w:val="auto"/>
        </w:rPr>
      </w:pPr>
      <w:r>
        <w:rPr>
          <w:color w:val="auto"/>
        </w:rPr>
        <w:drawing>
          <wp:inline distT="0" distB="0" distL="114300" distR="114300">
            <wp:extent cx="5267960" cy="2217420"/>
            <wp:effectExtent l="0" t="0" r="47" b="34"/>
            <wp:docPr id="62" name="图片 1"/>
            <wp:cNvGraphicFramePr>
              <a:graphicFrameLocks noChangeAspect="1"/>
            </wp:cNvGraphicFramePr>
            <a:graphic>
              <a:graphicData uri="http://schemas.openxmlformats.org/drawingml/2006/picture">
                <pic:pic>
                  <pic:nvPicPr>
                    <pic:cNvPr id="64" name="图片 1 64"/>
                    <pic:cNvPicPr/>
                  </pic:nvPicPr>
                  <pic:blipFill>
                    <a:blip r:embed="rId24"/>
                    <a:stretch>
                      <a:fillRect/>
                    </a:stretch>
                  </pic:blipFill>
                  <pic:spPr>
                    <a:xfrm rot="0">
                      <a:off x="0" y="0"/>
                      <a:ext cx="5267960" cy="2217420"/>
                    </a:xfrm>
                    <a:prstGeom prst="rect"/>
                    <a:noFill/>
                    <a:ln w="9525" cmpd="sng" cap="flat">
                      <a:noFill/>
                      <a:prstDash val="solid"/>
                      <a:round/>
                    </a:ln>
                  </pic:spPr>
                </pic:pic>
              </a:graphicData>
            </a:graphic>
          </wp:inline>
        </w:drawing>
      </w:r>
    </w:p>
    <w:p>
      <w:pPr>
        <w:widowControl/>
        <w:spacing w:before="4" w:line="360" w:lineRule="auto"/>
        <w:ind w:left="560" w:right="351" w:hangingChars="200" w:hanging="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drawing>
          <wp:inline distT="0" distB="0" distL="114300" distR="114300">
            <wp:extent cx="5213984" cy="2411729"/>
            <wp:effectExtent l="0" t="0" r="16" b="36"/>
            <wp:docPr id="65" name="图片 10" descr="QQ20250219-181138"/>
            <wp:cNvGraphicFramePr>
              <a:graphicFrameLocks noChangeAspect="1"/>
            </wp:cNvGraphicFramePr>
            <a:graphic>
              <a:graphicData uri="http://schemas.openxmlformats.org/drawingml/2006/picture">
                <pic:pic>
                  <pic:nvPicPr>
                    <pic:cNvPr id="67" name="图片 10 67"/>
                    <pic:cNvPicPr/>
                  </pic:nvPicPr>
                  <pic:blipFill>
                    <a:blip r:embed="rId25"/>
                    <a:stretch>
                      <a:fillRect/>
                    </a:stretch>
                  </pic:blipFill>
                  <pic:spPr>
                    <a:xfrm rot="0">
                      <a:off x="0" y="0"/>
                      <a:ext cx="5213984" cy="2411729"/>
                    </a:xfrm>
                    <a:prstGeom prst="rect"/>
                    <a:noFill/>
                    <a:ln w="9525" cmpd="sng" cap="flat">
                      <a:noFill/>
                      <a:prstDash val="solid"/>
                      <a:miter/>
                    </a:ln>
                  </pic:spPr>
                </pic:pic>
              </a:graphicData>
            </a:graphic>
          </wp:inline>
        </w:drawing>
      </w:r>
    </w:p>
    <w:p>
      <w:pPr>
        <w:widowControl/>
        <w:spacing w:before="4" w:line="360" w:lineRule="auto"/>
        <w:ind w:left="0"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本项目</w:t>
      </w:r>
      <w:r>
        <w:rPr>
          <w:rFonts w:ascii="宋体" w:eastAsia="宋体" w:cs="宋体" w:hAnsi="宋体" w:hint="eastAsia"/>
          <w:color w:val="auto"/>
          <w:kern w:val="0"/>
          <w:sz w:val="28"/>
          <w:szCs w:val="28"/>
          <w:lang w:val="en-US" w:eastAsia="zh-CN"/>
        </w:rPr>
        <w:t>35kV</w:t>
      </w:r>
      <w:r>
        <w:rPr>
          <w:rFonts w:hint="eastAsia"/>
          <w:color w:val="auto"/>
          <w:sz w:val="28"/>
          <w:szCs w:val="28"/>
          <w:lang w:val="en-US" w:eastAsia="zh-CN"/>
        </w:rPr>
        <w:t>开关站</w:t>
      </w:r>
      <w:r>
        <w:rPr>
          <w:rFonts w:ascii="宋体" w:eastAsia="宋体" w:cs="宋体" w:hAnsi="宋体" w:hint="eastAsia"/>
          <w:color w:val="auto"/>
          <w:kern w:val="0"/>
          <w:sz w:val="28"/>
          <w:szCs w:val="28"/>
          <w:lang w:eastAsia="zh-CN"/>
        </w:rPr>
        <w:t>装机容量为</w:t>
      </w:r>
      <w:r>
        <w:rPr>
          <w:rFonts w:ascii="宋体" w:eastAsia="宋体" w:cs="宋体" w:hAnsi="宋体" w:hint="eastAsia"/>
          <w:color w:val="auto"/>
          <w:kern w:val="0"/>
          <w:sz w:val="28"/>
          <w:szCs w:val="28"/>
          <w:lang w:val="en-US" w:eastAsia="zh-CN"/>
        </w:rPr>
        <w:t>30MW，</w:t>
      </w:r>
      <w:r>
        <w:rPr>
          <w:rFonts w:hint="eastAsia"/>
          <w:color w:val="auto"/>
          <w:sz w:val="28"/>
          <w:szCs w:val="28"/>
          <w:lang w:val="en-US" w:eastAsia="zh-CN"/>
        </w:rPr>
        <w:t>面积为1273.51㎡，储能站用地面积为997.49㎡</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lang w:eastAsia="zh-CN"/>
        </w:rPr>
        <w:t>参考以上</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表</w:t>
      </w:r>
      <w:r>
        <w:rPr>
          <w:rFonts w:ascii="宋体" w:eastAsia="宋体" w:cs="宋体" w:hAnsi="宋体" w:hint="eastAsia"/>
          <w:color w:val="auto"/>
          <w:kern w:val="0"/>
          <w:sz w:val="28"/>
          <w:szCs w:val="28"/>
          <w:lang w:val="en-US" w:eastAsia="zh-CN"/>
        </w:rPr>
        <w:t>5.5-1装机容量为50MW对应的生产建筑面积标准为400㎡，除生产建筑外，还有其他辅助生产建筑、储能建筑、分期建设的电气配电设施及储能设备等未在上表列出，为了发挥</w:t>
      </w:r>
      <w:r>
        <w:rPr>
          <w:rFonts w:ascii="宋体" w:eastAsia="宋体" w:cs="宋体" w:hAnsi="宋体" w:hint="eastAsia"/>
          <w:color w:val="auto"/>
          <w:kern w:val="0"/>
          <w:sz w:val="28"/>
          <w:szCs w:val="28"/>
          <w:lang w:eastAsia="zh-CN"/>
        </w:rPr>
        <w:t>本项目开关站和储能站的最大供电效益，</w:t>
      </w:r>
      <w:r>
        <w:rPr>
          <w:rFonts w:ascii="宋体" w:eastAsia="宋体" w:cs="宋体" w:hAnsi="宋体" w:hint="eastAsia"/>
          <w:color w:val="auto"/>
          <w:kern w:val="0"/>
          <w:sz w:val="28"/>
          <w:szCs w:val="28"/>
          <w:lang w:val="en-US" w:eastAsia="zh-CN"/>
        </w:rPr>
        <w:t>根据实际适当增加建筑面积，提高地块容积率，节约用地，提高场地使用效益，</w:t>
      </w:r>
      <w:r>
        <w:rPr>
          <w:rFonts w:ascii="宋体" w:eastAsia="宋体" w:cs="宋体" w:hAnsi="宋体" w:hint="eastAsia"/>
          <w:color w:val="auto"/>
          <w:kern w:val="0"/>
          <w:sz w:val="28"/>
          <w:szCs w:val="28"/>
          <w:lang w:eastAsia="zh-CN"/>
        </w:rPr>
        <w:t>同时借鉴钦州市内外其他已批同类型案例——例如钦北区古道岭风电场一期工程已批的容积率的上限控制为</w:t>
      </w:r>
      <w:r>
        <w:rPr>
          <w:rFonts w:ascii="宋体" w:eastAsia="宋体" w:cs="宋体" w:hAnsi="宋体" w:hint="eastAsia"/>
          <w:color w:val="auto"/>
          <w:kern w:val="0"/>
          <w:sz w:val="28"/>
          <w:szCs w:val="28"/>
          <w:lang w:val="en-US" w:eastAsia="zh-CN"/>
        </w:rPr>
        <w:t>1.0</w:t>
      </w:r>
      <w:r>
        <w:rPr>
          <w:rFonts w:ascii="宋体" w:eastAsia="宋体" w:cs="宋体" w:hAnsi="宋体" w:hint="eastAsia"/>
          <w:color w:val="auto"/>
          <w:kern w:val="0"/>
          <w:sz w:val="28"/>
          <w:szCs w:val="28"/>
          <w:lang w:eastAsia="zh-CN"/>
        </w:rPr>
        <w:t>，规划本项目开关站地块和储能站地块</w:t>
      </w:r>
      <w:r>
        <w:rPr>
          <w:rFonts w:ascii="宋体" w:eastAsia="宋体" w:cs="宋体" w:hAnsi="宋体" w:hint="eastAsia"/>
          <w:color w:val="auto"/>
          <w:kern w:val="0"/>
          <w:sz w:val="28"/>
          <w:szCs w:val="28"/>
          <w:lang w:val="en-US" w:eastAsia="zh-CN"/>
        </w:rPr>
        <w:t>容积</w:t>
      </w:r>
      <w:r>
        <w:rPr>
          <w:rFonts w:ascii="宋体" w:eastAsia="宋体" w:cs="宋体" w:hAnsi="宋体" w:hint="eastAsia"/>
          <w:color w:val="auto"/>
          <w:kern w:val="0"/>
          <w:sz w:val="28"/>
          <w:szCs w:val="28"/>
          <w:lang w:eastAsia="zh-CN"/>
        </w:rPr>
        <w:t>率均控制为</w:t>
      </w:r>
      <w:r>
        <w:rPr>
          <w:rFonts w:ascii="宋体" w:eastAsia="宋体" w:cs="宋体" w:hAnsi="宋体" w:hint="eastAsia"/>
          <w:color w:val="auto"/>
          <w:kern w:val="0"/>
          <w:sz w:val="28"/>
          <w:szCs w:val="28"/>
          <w:lang w:val="en-US" w:eastAsia="zh-CN"/>
        </w:rPr>
        <w:t>R</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1.0。</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）风电机组和箱变用地容积率控制</w:t>
      </w:r>
    </w:p>
    <w:p>
      <w:pPr>
        <w:widowControl/>
        <w:spacing w:before="4" w:line="360" w:lineRule="auto"/>
        <w:ind w:left="0" w:right="351" w:firstLineChars="200" w:firstLine="560"/>
        <w:jc w:val="left"/>
        <w:rPr>
          <w:color w:val="auto"/>
          <w:lang w:val="en-US" w:eastAsia="zh-CN"/>
        </w:rPr>
      </w:pPr>
      <w:r>
        <w:rPr>
          <w:rFonts w:ascii="宋体" w:eastAsia="宋体" w:cs="宋体" w:hAnsi="宋体" w:hint="eastAsia"/>
          <w:color w:val="auto"/>
          <w:kern w:val="0"/>
          <w:sz w:val="28"/>
          <w:szCs w:val="28"/>
          <w:lang w:eastAsia="zh-CN"/>
        </w:rPr>
        <w:t>风机属于大型构筑物，风机和箱式变压器由于常年运转难免会出现设备问题，如更换设备，从运输、施工吊装整个过程较困难，因此，风机和箱变用地内需要建设小型的临时检修站对其定期检查、保养和维护，待设备正常运行时即拆除临建建筑。本规划控制</w:t>
      </w:r>
      <w:r>
        <w:rPr>
          <w:rFonts w:hint="eastAsia"/>
          <w:color w:val="auto"/>
          <w:sz w:val="28"/>
          <w:szCs w:val="28"/>
          <w:lang w:eastAsia="zh-CN"/>
        </w:rPr>
        <w:t>风机和箱变用地</w:t>
      </w:r>
      <w:r>
        <w:rPr>
          <w:rFonts w:ascii="宋体" w:eastAsia="宋体" w:cs="宋体" w:hAnsi="宋体" w:hint="eastAsia"/>
          <w:color w:val="auto"/>
          <w:kern w:val="0"/>
          <w:sz w:val="28"/>
          <w:szCs w:val="28"/>
          <w:lang w:val="en-US" w:eastAsia="zh-CN"/>
        </w:rPr>
        <w:t>容积</w:t>
      </w:r>
      <w:r>
        <w:rPr>
          <w:rFonts w:ascii="宋体" w:eastAsia="宋体" w:cs="宋体" w:hAnsi="宋体" w:hint="eastAsia"/>
          <w:color w:val="auto"/>
          <w:kern w:val="0"/>
          <w:sz w:val="28"/>
          <w:szCs w:val="28"/>
          <w:lang w:eastAsia="zh-CN"/>
        </w:rPr>
        <w:t>率为</w:t>
      </w:r>
      <w:r>
        <w:rPr>
          <w:rFonts w:ascii="宋体" w:eastAsia="宋体" w:cs="宋体" w:hAnsi="宋体" w:hint="eastAsia"/>
          <w:color w:val="auto"/>
          <w:kern w:val="0"/>
          <w:sz w:val="28"/>
          <w:szCs w:val="28"/>
          <w:lang w:val="en-US" w:eastAsia="zh-CN"/>
        </w:rPr>
        <w:t>R</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0.2。</w:t>
      </w:r>
    </w:p>
    <w:p>
      <w:pPr>
        <w:pStyle w:val="18"/>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7.1.2 </w:t>
      </w:r>
      <w:r>
        <w:rPr>
          <w:rFonts w:hint="eastAsia"/>
          <w:b/>
          <w:bCs/>
          <w:color w:val="auto"/>
          <w:sz w:val="28"/>
          <w:szCs w:val="28"/>
          <w:lang w:eastAsia="zh-CN"/>
        </w:rPr>
        <w:t>建筑密度</w:t>
      </w:r>
    </w:p>
    <w:p>
      <w:pPr>
        <w:widowControl/>
        <w:spacing w:before="4" w:line="360" w:lineRule="auto"/>
        <w:ind w:left="118" w:right="351" w:firstLineChars="200" w:firstLine="560"/>
        <w:jc w:val="left"/>
        <w:rPr>
          <w:color w:val="auto"/>
          <w:sz w:val="28"/>
          <w:szCs w:val="28"/>
          <w:lang w:val="en-US" w:eastAsia="zh-CN"/>
        </w:rPr>
      </w:pPr>
      <w:r>
        <w:rPr>
          <w:rFonts w:hint="eastAsia"/>
          <w:color w:val="auto"/>
          <w:sz w:val="28"/>
          <w:szCs w:val="28"/>
          <w:lang w:eastAsia="zh-CN"/>
        </w:rPr>
        <w:t>风电场工程项目建设应根据风电行业发展的需要，在综合考虑风能资源、场址、电力市场、接入系统和资金筹措能力等建设条件的同时，体现科学、合理和节约集约用地的原则。本项目</w:t>
      </w:r>
      <w:r>
        <w:rPr>
          <w:rFonts w:hint="eastAsia"/>
          <w:color w:val="auto"/>
          <w:sz w:val="28"/>
          <w:szCs w:val="28"/>
          <w:lang w:val="en-US" w:eastAsia="zh-CN"/>
        </w:rPr>
        <w:t>风电机组和箱变用地为永久用地，其报批的建设用地指标即为风电机组和箱变的基础底板外轮廓面积，因此，本规划着重对开关</w:t>
      </w:r>
      <w:r>
        <w:rPr>
          <w:rFonts w:hint="eastAsia"/>
          <w:color w:val="auto"/>
          <w:sz w:val="28"/>
          <w:szCs w:val="28"/>
          <w:lang w:eastAsia="zh-CN"/>
        </w:rPr>
        <w:t>站和储能站地块的建筑密度进行规划控制。</w:t>
      </w:r>
    </w:p>
    <w:p>
      <w:pPr>
        <w:widowControl/>
        <w:spacing w:before="4" w:line="360" w:lineRule="auto"/>
        <w:ind w:left="118" w:right="351" w:firstLineChars="200" w:firstLine="560"/>
        <w:jc w:val="left"/>
        <w:rPr>
          <w:rFonts w:ascii="宋体" w:eastAsia="宋体" w:cs="宋体" w:hAnsi="宋体" w:hint="eastAsia"/>
          <w:color w:val="auto"/>
          <w:kern w:val="0"/>
          <w:sz w:val="28"/>
          <w:szCs w:val="28"/>
        </w:rPr>
      </w:pPr>
      <w:r>
        <w:rPr>
          <w:rFonts w:hint="eastAsia"/>
          <w:color w:val="auto"/>
          <w:sz w:val="28"/>
          <w:szCs w:val="28"/>
          <w:lang w:eastAsia="zh-CN"/>
        </w:rPr>
        <w:t>参照</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hint="eastAsia"/>
          <w:color w:val="auto"/>
          <w:sz w:val="28"/>
          <w:szCs w:val="28"/>
          <w:lang w:eastAsia="zh-CN"/>
        </w:rPr>
        <w:t>第</w:t>
      </w:r>
      <w:r>
        <w:rPr>
          <w:rFonts w:hint="eastAsia"/>
          <w:color w:val="auto"/>
          <w:sz w:val="28"/>
          <w:szCs w:val="28"/>
          <w:lang w:val="en-US" w:eastAsia="zh-CN"/>
        </w:rPr>
        <w:t>5.0.3至5.0.6条规定及表格分析，35</w:t>
      </w:r>
      <w:r>
        <w:rPr>
          <w:rFonts w:ascii="宋体" w:eastAsia="宋体" w:cs="宋体" w:hAnsi="宋体" w:hint="eastAsia"/>
          <w:color w:val="auto"/>
          <w:sz w:val="28"/>
          <w:szCs w:val="28"/>
          <w:lang w:val="en-US" w:eastAsia="zh-CN"/>
        </w:rPr>
        <w:t>kV</w:t>
      </w:r>
      <w:r>
        <w:rPr>
          <w:rFonts w:hint="eastAsia"/>
          <w:color w:val="auto"/>
          <w:sz w:val="28"/>
          <w:szCs w:val="28"/>
          <w:lang w:val="en-US" w:eastAsia="zh-CN"/>
        </w:rPr>
        <w:t>开关站及运行管理中心用地指标可参考</w:t>
      </w:r>
      <w:r>
        <w:rPr>
          <w:rFonts w:ascii="宋体" w:eastAsia="宋体" w:cs="宋体" w:hAnsi="宋体" w:hint="eastAsia"/>
          <w:color w:val="auto"/>
          <w:sz w:val="28"/>
          <w:szCs w:val="28"/>
          <w:lang w:val="en-US" w:eastAsia="zh-CN"/>
        </w:rPr>
        <w:t xml:space="preserve">66kV </w:t>
      </w:r>
      <w:r>
        <w:rPr>
          <w:rFonts w:hint="eastAsia"/>
          <w:color w:val="auto"/>
          <w:sz w:val="28"/>
          <w:szCs w:val="28"/>
          <w:lang w:val="en-US" w:eastAsia="zh-CN"/>
        </w:rPr>
        <w:t>升压变电站及运行管理中心用地指标执行。该项目开关站的用地指标上限应为：3000㎡+5600㎡=8600㎡。本项目开关站及运行管理中心由一座开关站和储能站构成，开关站面积为1273.51㎡，储能站面积为997.49㎡，合计</w:t>
      </w:r>
      <w:r>
        <w:rPr>
          <w:rFonts w:ascii="宋体" w:eastAsia="宋体" w:cs="宋体" w:hAnsi="宋体" w:hint="eastAsia"/>
          <w:color w:val="auto"/>
          <w:kern w:val="0"/>
          <w:sz w:val="28"/>
          <w:szCs w:val="28"/>
          <w:lang w:val="en-US" w:eastAsia="zh-CN"/>
        </w:rPr>
        <w:t>2271㎡，远小于上限指标8600㎡</w:t>
      </w:r>
      <w:r>
        <w:rPr>
          <w:rFonts w:hint="eastAsia"/>
          <w:color w:val="auto"/>
          <w:sz w:val="28"/>
          <w:szCs w:val="28"/>
          <w:lang w:val="en-US" w:eastAsia="zh-CN"/>
        </w:rPr>
        <w:t>，用地面积十分有限，秉着</w:t>
      </w:r>
      <w:r>
        <w:rPr>
          <w:rFonts w:ascii="宋体" w:eastAsia="宋体" w:cs="宋体" w:hAnsi="宋体" w:hint="eastAsia"/>
          <w:color w:val="auto"/>
          <w:kern w:val="0"/>
          <w:sz w:val="28"/>
          <w:szCs w:val="28"/>
          <w:lang w:val="en-US" w:eastAsia="zh-CN"/>
        </w:rPr>
        <w:t>节约集约利用土地原则，为开关站和储能站分期建设的电气配电装置及设备预留发展空间，</w:t>
      </w:r>
      <w:r>
        <w:rPr>
          <w:rFonts w:ascii="宋体" w:eastAsia="宋体" w:cs="宋体" w:hAnsi="宋体" w:hint="eastAsia"/>
          <w:color w:val="auto"/>
          <w:kern w:val="0"/>
          <w:sz w:val="28"/>
          <w:szCs w:val="28"/>
          <w:lang w:eastAsia="zh-CN"/>
        </w:rPr>
        <w:t>同时借鉴钦州市内外其他已批同类型案例——例如钦北区古道岭风电场一期工程已批的建筑密度的上限控制为</w:t>
      </w:r>
      <w:r>
        <w:rPr>
          <w:rFonts w:ascii="宋体" w:eastAsia="宋体" w:cs="宋体" w:hAnsi="宋体" w:hint="eastAsia"/>
          <w:color w:val="auto"/>
          <w:kern w:val="0"/>
          <w:sz w:val="28"/>
          <w:szCs w:val="28"/>
          <w:lang w:val="en-US" w:eastAsia="zh-CN"/>
        </w:rPr>
        <w:t>30%，本次</w:t>
      </w:r>
      <w:r>
        <w:rPr>
          <w:rFonts w:hint="eastAsia"/>
          <w:color w:val="auto"/>
          <w:sz w:val="28"/>
          <w:szCs w:val="28"/>
          <w:lang w:val="en-US" w:eastAsia="zh-CN"/>
        </w:rPr>
        <w:t>规划开关站和储能站地块的建筑密度均控制为≤30%</w:t>
      </w:r>
      <w:r>
        <w:rPr>
          <w:rFonts w:ascii="宋体" w:eastAsia="宋体" w:cs="宋体" w:hAnsi="宋体" w:hint="eastAsia"/>
          <w:color w:val="auto"/>
          <w:kern w:val="0"/>
          <w:sz w:val="28"/>
          <w:szCs w:val="28"/>
        </w:rPr>
        <w:t>。</w:t>
      </w:r>
    </w:p>
    <w:p>
      <w:pPr>
        <w:pStyle w:val="18"/>
        <w:rPr>
          <w:color w:val="auto"/>
        </w:rPr>
      </w:pPr>
      <w:r>
        <w:rPr>
          <w:color w:val="auto"/>
        </w:rPr>
        <w:drawing>
          <wp:inline distT="0" distB="0" distL="114300" distR="114300">
            <wp:extent cx="5267960" cy="2217420"/>
            <wp:effectExtent l="0" t="1" r="47" b="33"/>
            <wp:docPr id="68" name="图片 1"/>
            <wp:cNvGraphicFramePr>
              <a:graphicFrameLocks noChangeAspect="1"/>
            </wp:cNvGraphicFramePr>
            <a:graphic>
              <a:graphicData uri="http://schemas.openxmlformats.org/drawingml/2006/picture">
                <pic:pic>
                  <pic:nvPicPr>
                    <pic:cNvPr id="69" name="图片 1 69"/>
                    <pic:cNvPicPr/>
                  </pic:nvPicPr>
                  <pic:blipFill>
                    <a:blip r:embed="rId26"/>
                    <a:stretch>
                      <a:fillRect/>
                    </a:stretch>
                  </pic:blipFill>
                  <pic:spPr>
                    <a:xfrm rot="0">
                      <a:off x="0" y="0"/>
                      <a:ext cx="5267960" cy="2217420"/>
                    </a:xfrm>
                    <a:prstGeom prst="rect"/>
                    <a:noFill/>
                    <a:ln w="9525" cmpd="sng" cap="flat">
                      <a:noFill/>
                      <a:prstDash val="solid"/>
                      <a:round/>
                    </a:ln>
                  </pic:spPr>
                </pic:pic>
              </a:graphicData>
            </a:graphic>
          </wp:inline>
        </w:drawing>
      </w:r>
    </w:p>
    <w:p>
      <w:pPr>
        <w:pStyle w:val="18"/>
        <w:widowControl/>
        <w:autoSpaceDE w:val="0"/>
        <w:autoSpaceDN w:val="0"/>
        <w:spacing w:before="4" w:line="420" w:lineRule="auto"/>
        <w:ind w:left="118" w:right="351" w:firstLineChars="200" w:firstLine="560"/>
        <w:jc w:val="left"/>
        <w:rPr>
          <w:rFonts w:ascii="宋体" w:eastAsia="宋体" w:cs="宋体" w:hAnsi="宋体" w:hint="eastAsia"/>
          <w:b/>
          <w:bCs/>
          <w:color w:val="auto"/>
          <w:kern w:val="0"/>
          <w:sz w:val="28"/>
          <w:szCs w:val="28"/>
        </w:rPr>
      </w:pPr>
      <w:r>
        <w:rPr>
          <w:rFonts w:hint="eastAsia"/>
          <w:b/>
          <w:bCs/>
          <w:color w:val="auto"/>
          <w:sz w:val="28"/>
          <w:szCs w:val="28"/>
          <w:lang w:val="en-US" w:eastAsia="zh-CN"/>
        </w:rPr>
        <w:t xml:space="preserve">7.1.3 </w:t>
      </w:r>
      <w:r>
        <w:rPr>
          <w:rFonts w:hint="eastAsia"/>
          <w:b/>
          <w:bCs/>
          <w:color w:val="auto"/>
          <w:sz w:val="28"/>
          <w:szCs w:val="28"/>
          <w:lang w:eastAsia="zh-CN"/>
        </w:rPr>
        <w:t>绿地率</w:t>
      </w:r>
    </w:p>
    <w:p>
      <w:pPr>
        <w:widowControl/>
        <w:autoSpaceDE w:val="0"/>
        <w:autoSpaceDN w:val="0"/>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第</w:t>
      </w:r>
      <w:r>
        <w:rPr>
          <w:rFonts w:ascii="宋体" w:eastAsia="宋体" w:cs="宋体" w:hAnsi="宋体" w:hint="eastAsia"/>
          <w:color w:val="auto"/>
          <w:kern w:val="0"/>
          <w:sz w:val="28"/>
          <w:szCs w:val="28"/>
          <w:lang w:val="en-US" w:eastAsia="zh-CN"/>
        </w:rPr>
        <w:t>4.9.6条</w:t>
      </w:r>
      <w:r>
        <w:rPr>
          <w:rFonts w:ascii="宋体" w:eastAsia="宋体" w:cs="宋体" w:hAnsi="宋体" w:hint="eastAsia"/>
          <w:color w:val="auto"/>
          <w:kern w:val="0"/>
          <w:sz w:val="28"/>
          <w:szCs w:val="28"/>
          <w:lang w:eastAsia="zh-CN"/>
        </w:rPr>
        <w:t>“变电站的选所和建设应符合国家《全国生态环境保护纲要》的有关要求。根据绿化规划应因地制宜在变电站所区内外种植树木和草皮，变电站绿化率不宜低于</w:t>
      </w:r>
      <w:r>
        <w:rPr>
          <w:rFonts w:ascii="宋体" w:eastAsia="宋体" w:cs="宋体" w:hAnsi="宋体" w:hint="eastAsia"/>
          <w:color w:val="auto"/>
          <w:kern w:val="0"/>
          <w:sz w:val="28"/>
          <w:szCs w:val="28"/>
          <w:lang w:val="en-US" w:eastAsia="zh-CN"/>
        </w:rPr>
        <w:t>15%……</w:t>
      </w:r>
      <w:r>
        <w:rPr>
          <w:rFonts w:ascii="宋体" w:eastAsia="宋体" w:cs="宋体" w:hAnsi="宋体" w:hint="eastAsia"/>
          <w:color w:val="auto"/>
          <w:kern w:val="0"/>
          <w:sz w:val="28"/>
          <w:szCs w:val="28"/>
          <w:lang w:eastAsia="zh-CN"/>
        </w:rPr>
        <w:t>”，风电场开关站地块和储能站</w:t>
      </w:r>
      <w:r>
        <w:rPr>
          <w:rFonts w:ascii="宋体" w:eastAsia="宋体" w:cs="宋体" w:hAnsi="宋体" w:hint="eastAsia"/>
          <w:color w:val="auto"/>
          <w:kern w:val="0"/>
          <w:sz w:val="28"/>
          <w:szCs w:val="28"/>
        </w:rPr>
        <w:t>属于公用设施</w:t>
      </w:r>
      <w:r>
        <w:rPr>
          <w:rFonts w:ascii="宋体" w:eastAsia="宋体" w:cs="宋体" w:hAnsi="宋体" w:hint="eastAsia"/>
          <w:color w:val="auto"/>
          <w:kern w:val="0"/>
          <w:sz w:val="28"/>
          <w:szCs w:val="28"/>
          <w:lang w:eastAsia="zh-CN"/>
        </w:rPr>
        <w:t>的供电</w:t>
      </w:r>
      <w:r>
        <w:rPr>
          <w:rFonts w:ascii="宋体" w:eastAsia="宋体" w:cs="宋体" w:hAnsi="宋体" w:hint="eastAsia"/>
          <w:color w:val="auto"/>
          <w:kern w:val="0"/>
          <w:sz w:val="28"/>
          <w:szCs w:val="28"/>
        </w:rPr>
        <w:t>用地，</w:t>
      </w:r>
      <w:r>
        <w:rPr>
          <w:rFonts w:ascii="宋体" w:eastAsia="宋体" w:cs="宋体" w:hAnsi="宋体" w:hint="eastAsia"/>
          <w:color w:val="auto"/>
          <w:kern w:val="0"/>
          <w:sz w:val="28"/>
          <w:szCs w:val="28"/>
          <w:lang w:eastAsia="zh-CN"/>
        </w:rPr>
        <w:t>地块内配建的绿化用地是属于单位附属绿地，应充分利用路旁、建筑物旁以及其他空闲场地，种植生长力强、维护量小的植物，并应注意保护站区周围原有绿化。本规划控制开关站地块和储能站地块绿地率均≥</w:t>
      </w:r>
      <w:r>
        <w:rPr>
          <w:rFonts w:ascii="宋体" w:eastAsia="宋体" w:cs="宋体" w:hAnsi="宋体" w:hint="eastAsia"/>
          <w:color w:val="auto"/>
          <w:kern w:val="0"/>
          <w:sz w:val="28"/>
          <w:szCs w:val="28"/>
          <w:lang w:val="en-US" w:eastAsia="zh-CN"/>
        </w:rPr>
        <w:t>15%。</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7.1.4 建筑限高</w:t>
      </w:r>
    </w:p>
    <w:p>
      <w:pPr>
        <w:widowControl/>
        <w:spacing w:before="4" w:line="360" w:lineRule="auto"/>
        <w:ind w:left="118"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本项目风电场根据实际建设需要，</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开关站地块内主要布置生产建筑和</w:t>
      </w:r>
      <w:r>
        <w:rPr>
          <w:rFonts w:ascii="宋体" w:eastAsia="宋体" w:cs="宋体" w:hAnsi="宋体" w:hint="eastAsia"/>
          <w:color w:val="auto"/>
          <w:kern w:val="0"/>
          <w:sz w:val="28"/>
          <w:szCs w:val="28"/>
          <w:lang w:val="en-US" w:eastAsia="zh-CN"/>
        </w:rPr>
        <w:t>电气配电装置，</w:t>
      </w:r>
      <w:r>
        <w:rPr>
          <w:rFonts w:ascii="宋体" w:eastAsia="宋体" w:cs="宋体" w:hAnsi="宋体" w:hint="eastAsia"/>
          <w:color w:val="auto"/>
          <w:kern w:val="0"/>
          <w:sz w:val="28"/>
          <w:szCs w:val="28"/>
          <w:lang w:eastAsia="zh-CN"/>
        </w:rPr>
        <w:t>储能站地块内布置</w:t>
      </w:r>
      <w:r>
        <w:rPr>
          <w:rFonts w:ascii="宋体" w:eastAsia="宋体" w:cs="宋体" w:hAnsi="宋体" w:hint="eastAsia"/>
          <w:color w:val="auto"/>
          <w:kern w:val="0"/>
          <w:sz w:val="28"/>
          <w:szCs w:val="28"/>
          <w:lang w:val="en-US" w:eastAsia="zh-CN"/>
        </w:rPr>
        <w:t>储能建筑及设备，</w:t>
      </w: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：“变电站的生产楼宜设置二层，土地价格较高的地区，经技术经济比较后可设置两层以上”</w:t>
      </w:r>
      <w:r>
        <w:rPr>
          <w:rFonts w:hint="eastAsia"/>
          <w:color w:val="auto"/>
          <w:sz w:val="28"/>
          <w:szCs w:val="28"/>
        </w:rPr>
        <w:t>，</w:t>
      </w:r>
      <w:r>
        <w:rPr>
          <w:rFonts w:hint="eastAsia"/>
          <w:color w:val="auto"/>
          <w:sz w:val="28"/>
          <w:szCs w:val="28"/>
          <w:lang w:eastAsia="zh-CN"/>
        </w:rPr>
        <w:t>从该导则和</w:t>
      </w:r>
      <w:r>
        <w:rPr>
          <w:rFonts w:hint="eastAsia"/>
          <w:color w:val="auto"/>
          <w:sz w:val="28"/>
          <w:szCs w:val="28"/>
          <w:lang w:val="en-US" w:eastAsia="zh-CN"/>
        </w:rPr>
        <w:t>风电行业的建设特点</w:t>
      </w:r>
      <w:r>
        <w:rPr>
          <w:rFonts w:hint="eastAsia"/>
          <w:color w:val="auto"/>
          <w:sz w:val="28"/>
          <w:szCs w:val="28"/>
          <w:lang w:eastAsia="zh-CN"/>
        </w:rPr>
        <w:t>分析，本项目开关站地块和储能站内的建</w:t>
      </w:r>
      <w:r>
        <w:rPr>
          <w:rFonts w:hint="eastAsia"/>
          <w:color w:val="auto"/>
          <w:sz w:val="28"/>
          <w:szCs w:val="28"/>
        </w:rPr>
        <w:t>筑高度</w:t>
      </w:r>
      <w:r>
        <w:rPr>
          <w:rFonts w:hint="eastAsia"/>
          <w:color w:val="auto"/>
          <w:sz w:val="28"/>
          <w:szCs w:val="28"/>
          <w:lang w:eastAsia="zh-CN"/>
        </w:rPr>
        <w:t>规划按≤</w:t>
      </w:r>
      <w:r>
        <w:rPr>
          <w:rFonts w:hint="eastAsia"/>
          <w:color w:val="auto"/>
          <w:sz w:val="28"/>
          <w:szCs w:val="28"/>
          <w:lang w:val="en-US" w:eastAsia="zh-CN"/>
        </w:rPr>
        <w:t>24</w:t>
      </w:r>
      <w:r>
        <w:rPr>
          <w:rFonts w:hint="eastAsia"/>
          <w:color w:val="auto"/>
          <w:sz w:val="28"/>
          <w:szCs w:val="28"/>
        </w:rPr>
        <w:t>米控制</w:t>
      </w:r>
      <w:r>
        <w:rPr>
          <w:rFonts w:hint="eastAsia"/>
          <w:color w:val="auto"/>
          <w:sz w:val="28"/>
          <w:szCs w:val="28"/>
          <w:lang w:eastAsia="zh-CN"/>
        </w:rPr>
        <w:t>。</w:t>
      </w:r>
    </w:p>
    <w:p>
      <w:pPr>
        <w:widowControl/>
        <w:spacing w:before="4" w:line="360" w:lineRule="auto"/>
        <w:ind w:left="118" w:right="351" w:firstLineChars="200" w:firstLine="560"/>
        <w:jc w:val="left"/>
        <w:rPr>
          <w:color w:val="auto"/>
          <w:lang w:val="en-US" w:eastAsia="zh-CN"/>
        </w:rPr>
      </w:pPr>
      <w:r>
        <w:rPr>
          <w:rFonts w:hint="eastAsia"/>
          <w:color w:val="auto"/>
          <w:sz w:val="28"/>
          <w:szCs w:val="28"/>
          <w:lang w:eastAsia="zh-CN"/>
        </w:rPr>
        <w:t>此外，规划风电机组地块内的风机为构筑物，应从技术参数、基本性能、发电量、成本等方面进行全面的技术经济比较，合理选购并安装风电机组等设备，根据本项目装机容量和实际地形，本规划安装的风电机组轮毂高度为</w:t>
      </w:r>
      <w:r>
        <w:rPr>
          <w:rFonts w:hint="eastAsia"/>
          <w:color w:val="auto"/>
          <w:sz w:val="28"/>
          <w:szCs w:val="28"/>
          <w:lang w:val="en-US" w:eastAsia="zh-CN"/>
        </w:rPr>
        <w:t>95～100米。</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7.1.5 停车位配建</w:t>
      </w:r>
    </w:p>
    <w:p>
      <w:pPr>
        <w:widowControl/>
        <w:spacing w:before="4" w:line="360" w:lineRule="auto"/>
        <w:ind w:left="0"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项目地块用地性质</w:t>
      </w:r>
      <w:r>
        <w:rPr>
          <w:rFonts w:ascii="宋体" w:eastAsia="宋体" w:cs="宋体" w:hAnsi="宋体" w:hint="eastAsia"/>
          <w:color w:val="auto"/>
          <w:kern w:val="0"/>
          <w:sz w:val="28"/>
          <w:szCs w:val="28"/>
        </w:rPr>
        <w:t>属于公用设施</w:t>
      </w:r>
      <w:r>
        <w:rPr>
          <w:rFonts w:ascii="宋体" w:eastAsia="宋体" w:cs="宋体" w:hAnsi="宋体" w:hint="eastAsia"/>
          <w:color w:val="auto"/>
          <w:kern w:val="0"/>
          <w:sz w:val="28"/>
          <w:szCs w:val="28"/>
          <w:lang w:eastAsia="zh-CN"/>
        </w:rPr>
        <w:t>的供电</w:t>
      </w:r>
      <w:r>
        <w:rPr>
          <w:rFonts w:ascii="宋体" w:eastAsia="宋体" w:cs="宋体" w:hAnsi="宋体" w:hint="eastAsia"/>
          <w:color w:val="auto"/>
          <w:kern w:val="0"/>
          <w:sz w:val="28"/>
          <w:szCs w:val="28"/>
        </w:rPr>
        <w:t>用地，</w:t>
      </w:r>
      <w:r>
        <w:rPr>
          <w:rFonts w:hint="eastAsia"/>
          <w:color w:val="auto"/>
          <w:sz w:val="28"/>
          <w:szCs w:val="28"/>
        </w:rPr>
        <w:t>停车位结合自身使用要求进行建设</w:t>
      </w:r>
      <w:r>
        <w:rPr>
          <w:rFonts w:hint="eastAsia"/>
          <w:color w:val="auto"/>
          <w:sz w:val="28"/>
          <w:szCs w:val="28"/>
          <w:lang w:eastAsia="zh-CN"/>
        </w:rPr>
        <w:t>。</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7.1.6 规划控制线</w:t>
      </w:r>
    </w:p>
    <w:p>
      <w:pPr>
        <w:widowControl/>
        <w:spacing w:before="4" w:line="360" w:lineRule="auto"/>
        <w:ind w:left="0"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本规划的各地块用地性质为公用设施用地的供电用地，规划控制线为基础设施黄线，属城市基础设施用地的控制界线，在用地黄线内进行建设活动，必须贯彻安全、高效、经济的方针，处理好近远期关系，根据项目发展的实际需要，分期有序实施。</w:t>
      </w:r>
      <w:r>
        <w:rPr>
          <w:rFonts w:hint="eastAsia"/>
          <w:color w:val="auto"/>
          <w:sz w:val="28"/>
          <w:szCs w:val="28"/>
          <w:lang w:val="en-US" w:eastAsia="zh-CN"/>
        </w:rPr>
        <w:t>项目地块用地范围不涉及永久基本农田、生态保护红线</w:t>
      </w:r>
      <w:r>
        <w:rPr>
          <w:rFonts w:ascii="宋体" w:eastAsia="宋体" w:cs="宋体" w:hAnsi="宋体" w:hint="eastAsia"/>
          <w:color w:val="auto"/>
          <w:kern w:val="0"/>
          <w:sz w:val="28"/>
          <w:szCs w:val="28"/>
          <w:lang w:eastAsia="zh-CN"/>
        </w:rPr>
        <w:t>和城镇开发边界</w:t>
      </w:r>
      <w:r>
        <w:rPr>
          <w:rFonts w:hint="eastAsia"/>
          <w:color w:val="auto"/>
          <w:sz w:val="28"/>
          <w:szCs w:val="28"/>
          <w:lang w:val="en-US" w:eastAsia="zh-CN"/>
        </w:rPr>
        <w:t>等强制性内容。各地块具体界线范围和界址坐标详见用地勘测定界图。</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7.1.7 建筑退线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w:t>
      </w:r>
      <w:r>
        <w:rPr>
          <w:rFonts w:hint="eastAsia"/>
          <w:color w:val="auto"/>
          <w:sz w:val="28"/>
          <w:szCs w:val="28"/>
          <w:lang w:val="en-US" w:eastAsia="zh-CN"/>
        </w:rPr>
        <w:t>1</w:t>
      </w:r>
      <w:r>
        <w:rPr>
          <w:rFonts w:hint="eastAsia"/>
          <w:color w:val="auto"/>
          <w:sz w:val="28"/>
          <w:szCs w:val="28"/>
          <w:lang w:eastAsia="zh-CN"/>
        </w:rPr>
        <w:t>）开关站、储能站地块建筑退线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本风电场规划总装机容量共</w:t>
      </w:r>
      <w:r>
        <w:rPr>
          <w:rFonts w:hint="eastAsia"/>
          <w:color w:val="auto"/>
          <w:sz w:val="28"/>
          <w:szCs w:val="28"/>
          <w:lang w:val="en-US" w:eastAsia="zh-CN"/>
        </w:rPr>
        <w:t>30MW，</w:t>
      </w:r>
      <w:r>
        <w:rPr>
          <w:rFonts w:hint="eastAsia"/>
          <w:color w:val="auto"/>
          <w:sz w:val="28"/>
          <w:szCs w:val="28"/>
          <w:lang w:eastAsia="zh-CN"/>
        </w:rPr>
        <w:t>参照</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电力工程项目建设用地指标(风电场)</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建标(2011)209号</w:t>
      </w:r>
      <w:r>
        <w:rPr>
          <w:rFonts w:ascii="宋体" w:eastAsia="宋体" w:cs="宋体" w:hAnsi="宋体" w:hint="eastAsia"/>
          <w:color w:val="auto"/>
          <w:kern w:val="0"/>
          <w:sz w:val="28"/>
          <w:szCs w:val="28"/>
          <w:lang w:eastAsia="zh-CN"/>
        </w:rPr>
        <w:t>和</w:t>
      </w:r>
      <w:r>
        <w:rPr>
          <w:rFonts w:ascii="宋体" w:eastAsia="宋体" w:cs="宋体" w:hAnsi="宋体" w:hint="eastAsia"/>
          <w:color w:val="auto"/>
          <w:kern w:val="0"/>
          <w:sz w:val="28"/>
          <w:szCs w:val="28"/>
        </w:rPr>
        <w:t>《风电场工程设计导则》</w:t>
      </w:r>
      <w:r>
        <w:rPr>
          <w:rFonts w:hint="eastAsia"/>
          <w:color w:val="auto"/>
          <w:sz w:val="28"/>
          <w:szCs w:val="28"/>
          <w:lang w:val="en-US" w:eastAsia="zh-CN"/>
        </w:rPr>
        <w:t>分析，</w:t>
      </w:r>
      <w:r>
        <w:rPr>
          <w:rFonts w:ascii="宋体" w:eastAsia="宋体" w:cs="宋体" w:hAnsi="宋体" w:hint="eastAsia"/>
          <w:color w:val="auto"/>
          <w:kern w:val="0"/>
          <w:sz w:val="28"/>
          <w:szCs w:val="28"/>
          <w:lang w:eastAsia="zh-CN"/>
        </w:rPr>
        <w:t>开关站地块用地面积为</w:t>
      </w:r>
      <w:r>
        <w:rPr>
          <w:rFonts w:ascii="宋体" w:eastAsia="宋体" w:cs="宋体" w:hAnsi="宋体" w:hint="eastAsia"/>
          <w:color w:val="auto"/>
          <w:kern w:val="0"/>
          <w:sz w:val="28"/>
          <w:szCs w:val="28"/>
          <w:lang w:val="en-US" w:eastAsia="zh-CN"/>
        </w:rPr>
        <w:t>1273.51平方米，</w:t>
      </w:r>
      <w:r>
        <w:rPr>
          <w:rFonts w:ascii="宋体" w:eastAsia="宋体" w:cs="宋体" w:hAnsi="宋体" w:hint="eastAsia"/>
          <w:color w:val="auto"/>
          <w:kern w:val="0"/>
          <w:sz w:val="28"/>
          <w:szCs w:val="28"/>
          <w:lang w:eastAsia="zh-CN"/>
        </w:rPr>
        <w:t>储能站地块用地面积为</w:t>
      </w:r>
      <w:r>
        <w:rPr>
          <w:rFonts w:ascii="宋体" w:eastAsia="宋体" w:cs="宋体" w:hAnsi="宋体" w:hint="eastAsia"/>
          <w:color w:val="auto"/>
          <w:kern w:val="0"/>
          <w:sz w:val="28"/>
          <w:szCs w:val="28"/>
          <w:lang w:val="en-US" w:eastAsia="zh-CN"/>
        </w:rPr>
        <w:t>997.49平方米，</w:t>
      </w:r>
      <w:r>
        <w:rPr>
          <w:rFonts w:hint="eastAsia"/>
          <w:color w:val="auto"/>
          <w:sz w:val="28"/>
          <w:szCs w:val="28"/>
          <w:lang w:val="en-US" w:eastAsia="zh-CN"/>
        </w:rPr>
        <w:t>合计</w:t>
      </w:r>
      <w:r>
        <w:rPr>
          <w:rFonts w:ascii="宋体" w:eastAsia="宋体" w:cs="宋体" w:hAnsi="宋体" w:hint="eastAsia"/>
          <w:color w:val="auto"/>
          <w:kern w:val="0"/>
          <w:sz w:val="28"/>
          <w:szCs w:val="28"/>
          <w:lang w:val="en-US" w:eastAsia="zh-CN"/>
        </w:rPr>
        <w:t>2271平方米，远小于总装机容量50MW以下对应的用地上限指标8600平方米，</w:t>
      </w:r>
      <w:r>
        <w:rPr>
          <w:rFonts w:hint="eastAsia"/>
          <w:color w:val="auto"/>
          <w:sz w:val="28"/>
          <w:szCs w:val="28"/>
          <w:lang w:val="en-US" w:eastAsia="zh-CN"/>
        </w:rPr>
        <w:t>用地面积十分有限，而且两地块均为独立地块，因此，在有限的用地面积且不受邻里关系约束及在满足建筑物通风、采光、日照的条件下，规划控制开关站和储能站地块内的建筑退离用地红线距离d≥3m</w:t>
      </w:r>
      <w:r>
        <w:rPr>
          <w:rFonts w:hint="eastAsia"/>
          <w:color w:val="auto"/>
          <w:sz w:val="28"/>
          <w:szCs w:val="28"/>
          <w:lang w:eastAsia="zh-CN"/>
        </w:rPr>
        <w:t>。</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eastAsia="zh-CN"/>
        </w:rPr>
        <w:t>（</w:t>
      </w:r>
      <w:r>
        <w:rPr>
          <w:rFonts w:hint="eastAsia"/>
          <w:color w:val="auto"/>
          <w:sz w:val="28"/>
          <w:szCs w:val="28"/>
          <w:lang w:val="en-US" w:eastAsia="zh-CN"/>
        </w:rPr>
        <w:t>2</w:t>
      </w:r>
      <w:r>
        <w:rPr>
          <w:rFonts w:hint="eastAsia"/>
          <w:color w:val="auto"/>
          <w:sz w:val="28"/>
          <w:szCs w:val="28"/>
          <w:lang w:eastAsia="zh-CN"/>
        </w:rPr>
        <w:t>）风电机组和箱变地块建筑退线</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hint="eastAsia"/>
          <w:color w:val="auto"/>
          <w:sz w:val="28"/>
          <w:szCs w:val="28"/>
          <w:lang w:val="en-US" w:eastAsia="zh-CN"/>
        </w:rPr>
        <w:t>该地块为独立地块，为公用设施的供电用地，根据风电场用地指标，本项目每个风电机组用地面积为441㎡，风电机组和箱变用地范围基本为建设的构筑物的基础外轮廓，地块中心主要布置大型的风机塔筒，箱变布于风机一侧，不宜在相邻较近位置规划布置其他不同用地类型的项目。因此，根据风电行业的建设特点，规划风电机组用地范围内的地面</w:t>
      </w:r>
      <w:r>
        <w:rPr>
          <w:rFonts w:hint="eastAsia"/>
          <w:color w:val="auto"/>
          <w:sz w:val="28"/>
          <w:szCs w:val="28"/>
          <w:lang w:eastAsia="zh-CN"/>
        </w:rPr>
        <w:t>建、构筑物建筑控制线退距用地红线轮廓</w:t>
      </w:r>
      <w:r>
        <w:rPr>
          <w:rFonts w:hint="eastAsia"/>
          <w:color w:val="auto"/>
          <w:sz w:val="28"/>
          <w:szCs w:val="28"/>
          <w:lang w:val="en-US" w:eastAsia="zh-CN"/>
        </w:rPr>
        <w:t>d</w:t>
      </w:r>
      <w:r>
        <w:rPr>
          <w:rFonts w:hint="eastAsia"/>
          <w:color w:val="auto"/>
          <w:sz w:val="28"/>
          <w:szCs w:val="28"/>
          <w:lang w:eastAsia="zh-CN"/>
        </w:rPr>
        <w:t>≥</w:t>
      </w:r>
      <w:r>
        <w:rPr>
          <w:rFonts w:hint="eastAsia"/>
          <w:color w:val="auto"/>
          <w:sz w:val="28"/>
          <w:szCs w:val="28"/>
          <w:lang w:val="en-US" w:eastAsia="zh-CN"/>
        </w:rPr>
        <w:t>2m</w:t>
      </w:r>
      <w:r>
        <w:rPr>
          <w:rFonts w:hint="eastAsia"/>
          <w:color w:val="auto"/>
          <w:sz w:val="28"/>
          <w:szCs w:val="28"/>
          <w:lang w:eastAsia="zh-CN"/>
        </w:rPr>
        <w:t>。</w:t>
      </w:r>
    </w:p>
    <w:p>
      <w:pPr>
        <w:pStyle w:val="15"/>
        <w:rPr>
          <w:rFonts w:hint="eastAsia"/>
          <w:color w:val="auto"/>
          <w:lang w:eastAsia="zh-CN"/>
        </w:rPr>
      </w:pP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7.1.8 建构筑物控制</w:t>
      </w:r>
    </w:p>
    <w:p>
      <w:pPr>
        <w:widowControl/>
        <w:autoSpaceDE w:val="0"/>
        <w:autoSpaceDN w:val="0"/>
        <w:spacing w:before="4" w:line="360" w:lineRule="auto"/>
        <w:ind w:left="118" w:right="351" w:firstLineChars="200" w:firstLine="560"/>
        <w:jc w:val="left"/>
        <w:rPr>
          <w:rFonts w:hint="eastAsia"/>
          <w:color w:val="auto"/>
          <w:sz w:val="28"/>
          <w:szCs w:val="28"/>
          <w:lang w:eastAsia="zh-CN"/>
        </w:rPr>
      </w:pPr>
      <w:r>
        <w:rPr>
          <w:rFonts w:ascii="宋体" w:eastAsia="宋体" w:cs="宋体" w:hAnsi="宋体" w:hint="eastAsia"/>
          <w:color w:val="auto"/>
          <w:kern w:val="0"/>
          <w:sz w:val="28"/>
          <w:szCs w:val="28"/>
          <w:lang w:eastAsia="zh-CN"/>
        </w:rPr>
        <w:t>参照</w:t>
      </w:r>
      <w:r>
        <w:rPr>
          <w:rFonts w:ascii="宋体" w:eastAsia="宋体" w:cs="宋体" w:hAnsi="宋体" w:hint="eastAsia"/>
          <w:color w:val="auto"/>
          <w:kern w:val="0"/>
          <w:sz w:val="28"/>
          <w:szCs w:val="28"/>
        </w:rPr>
        <w:t>《风电场工程设计导则》</w:t>
      </w:r>
      <w:r>
        <w:rPr>
          <w:rFonts w:ascii="宋体" w:eastAsia="宋体" w:cs="宋体" w:hAnsi="宋体" w:hint="eastAsia"/>
          <w:color w:val="auto"/>
          <w:kern w:val="0"/>
          <w:sz w:val="28"/>
          <w:szCs w:val="28"/>
          <w:lang w:eastAsia="zh-CN"/>
        </w:rPr>
        <w:t>，建构筑物的设计应做到统一规划、造型协调、整体性好、生产及生活方便，同时结构的类型及材料品种应合理并简化，以利备料、加工、施工及运行。架构、设备支架等构筑物应根据变电站的电压等级、规模、施工及运行条件、制作水平、运输条件及当地的气候条件来选择合适的结构，其外形应做到相互协调(设备支架还应与上部设备相协调)</w:t>
      </w:r>
      <w:r>
        <w:rPr>
          <w:rFonts w:hint="eastAsia"/>
          <w:color w:val="auto"/>
          <w:sz w:val="28"/>
          <w:szCs w:val="28"/>
          <w:lang w:eastAsia="zh-CN"/>
        </w:rPr>
        <w:t>。</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7.1.9 交通管控</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风电场位于丘陵区，为了减少对植被的破坏和节约投资，场内道路在利用场内现有的交通便道基础上局部扩宽裁弯取直，再新建连接开关站、储能站和各风机的道路。考虑风力发电设备大件运输，场内道路按山岭重丘四级公路标准建设，采用碾压石渣路面，路基宽5.5m。在风电场建成营运后，场区道路将作为公共道路和林业三产道路使用。</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开关站主要出入口规划于地块围墙西侧，通过</w:t>
      </w:r>
      <w:r>
        <w:rPr>
          <w:rFonts w:ascii="宋体" w:eastAsia="宋体" w:cs="宋体" w:hAnsi="宋体" w:hint="eastAsia"/>
          <w:color w:val="auto"/>
          <w:kern w:val="0"/>
          <w:sz w:val="28"/>
          <w:szCs w:val="28"/>
          <w:lang w:val="en-US" w:eastAsia="zh-CN"/>
        </w:rPr>
        <w:t>长约59米的场区支路往西接出检修主干道，受现状地形限制的原因进站道路与检修道路交汇处夹角形成角度较小的锐角，规划将其转角处进行拓宽处理，并在该支路至检修道路两侧管控为禁止机动车开口路段。</w:t>
      </w:r>
    </w:p>
    <w:p>
      <w:pPr>
        <w:widowControl/>
        <w:autoSpaceDE w:val="0"/>
        <w:autoSpaceDN w:val="0"/>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场区检修道路与2#、3#、6#风机之间连接的支路交汇处夹角较小，规划将其转角处进行拓宽处理，并在连接风机的支路两侧至检修道路之间管控为禁止机动车开口路段，其余地块主要对其用地范围开设出入口进行管控（具体详见图则）。</w:t>
      </w:r>
    </w:p>
    <w:p>
      <w:pPr>
        <w:pStyle w:val="18"/>
        <w:widowControl/>
        <w:autoSpaceDE w:val="0"/>
        <w:autoSpaceDN w:val="0"/>
        <w:spacing w:before="4" w:line="420" w:lineRule="auto"/>
        <w:ind w:left="118" w:right="351" w:firstLineChars="200" w:firstLine="560"/>
        <w:jc w:val="left"/>
        <w:rPr>
          <w:rFonts w:hint="eastAsia"/>
          <w:b/>
          <w:bCs/>
          <w:color w:val="auto"/>
          <w:sz w:val="28"/>
          <w:szCs w:val="28"/>
          <w:lang w:val="en-US" w:eastAsia="zh-CN"/>
        </w:rPr>
      </w:pPr>
      <w:r>
        <w:rPr>
          <w:rFonts w:hint="eastAsia"/>
          <w:b/>
          <w:bCs/>
          <w:color w:val="auto"/>
          <w:sz w:val="28"/>
          <w:szCs w:val="28"/>
          <w:lang w:val="en-US" w:eastAsia="zh-CN"/>
        </w:rPr>
        <w:t>7.1.10高压走廊宽度控制</w:t>
      </w:r>
    </w:p>
    <w:p>
      <w:pPr>
        <w:widowControl/>
        <w:autoSpaceDE/>
        <w:autoSpaceDN/>
        <w:spacing w:before="4" w:line="360" w:lineRule="auto"/>
        <w:ind w:left="118" w:right="351" w:firstLineChars="200" w:firstLine="560"/>
        <w:jc w:val="left"/>
        <w:rPr>
          <w:rFonts w:ascii="宋体" w:eastAsia="宋体" w:cs="宋体" w:hAnsi="宋体" w:hint="eastAsia"/>
          <w:color w:val="auto"/>
          <w:kern w:val="0"/>
          <w:sz w:val="28"/>
          <w:szCs w:val="28"/>
          <w:lang w:eastAsia="zh-CN"/>
        </w:rPr>
      </w:pPr>
      <w:r>
        <w:rPr>
          <w:rFonts w:ascii="宋体" w:eastAsia="宋体" w:cs="宋体" w:hAnsi="宋体" w:hint="eastAsia"/>
          <w:color w:val="auto"/>
          <w:kern w:val="0"/>
          <w:sz w:val="28"/>
          <w:szCs w:val="28"/>
          <w:lang w:eastAsia="zh-CN"/>
        </w:rPr>
        <w:t>本规划为</w:t>
      </w: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eastAsia="zh-CN"/>
        </w:rPr>
        <w:t>项目独立地块控规，规划建设</w:t>
      </w:r>
      <w:r>
        <w:rPr>
          <w:rFonts w:ascii="宋体" w:eastAsia="宋体" w:cs="宋体" w:hAnsi="宋体" w:hint="eastAsia"/>
          <w:color w:val="auto"/>
          <w:kern w:val="0"/>
          <w:sz w:val="28"/>
          <w:szCs w:val="28"/>
          <w:lang w:val="en-US" w:eastAsia="zh-CN"/>
        </w:rPr>
        <w:t>10组风电机组和开关站及储能站用地，风电场线路工程主要包括风电场集电线路和送出线路</w:t>
      </w:r>
      <w:r>
        <w:rPr>
          <w:rFonts w:ascii="宋体" w:eastAsia="宋体" w:cs="宋体" w:hAnsi="宋体" w:hint="eastAsia"/>
          <w:color w:val="auto"/>
          <w:kern w:val="0"/>
          <w:sz w:val="28"/>
          <w:szCs w:val="28"/>
        </w:rPr>
        <w:t>；风电场以2回35k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集电线路接入35k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开关站,以1回35k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送出线路接入220k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歌标站的35k</w:t>
      </w:r>
      <w:r>
        <w:rPr>
          <w:rFonts w:ascii="宋体" w:eastAsia="宋体" w:cs="宋体" w:hAnsi="宋体" w:hint="eastAsia"/>
          <w:color w:val="auto"/>
          <w:kern w:val="0"/>
          <w:sz w:val="28"/>
          <w:szCs w:val="28"/>
          <w:lang w:val="en-US" w:eastAsia="zh-CN"/>
        </w:rPr>
        <w:t>V</w:t>
      </w:r>
      <w:r>
        <w:rPr>
          <w:rFonts w:ascii="宋体" w:eastAsia="宋体" w:cs="宋体" w:hAnsi="宋体" w:hint="eastAsia"/>
          <w:color w:val="auto"/>
          <w:kern w:val="0"/>
          <w:sz w:val="28"/>
          <w:szCs w:val="28"/>
        </w:rPr>
        <w:t>母线并网</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线路导线选JNRLH1/LB20A-240/30型铝包钢芯耐热铝合金绞线</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rPr>
        <w:t>线路长度5.78km</w:t>
      </w:r>
      <w:r>
        <w:rPr>
          <w:rFonts w:ascii="宋体" w:eastAsia="宋体" w:cs="宋体" w:hAnsi="宋体" w:hint="eastAsia"/>
          <w:color w:val="auto"/>
          <w:kern w:val="0"/>
          <w:sz w:val="28"/>
          <w:szCs w:val="28"/>
          <w:lang w:eastAsia="zh-CN"/>
        </w:rPr>
        <w:t>。根据</w:t>
      </w: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r>
        <w:rPr>
          <w:rFonts w:ascii="宋体" w:eastAsia="宋体" w:cs="宋体" w:hAnsi="宋体" w:hint="eastAsia"/>
          <w:color w:val="auto"/>
          <w:kern w:val="0"/>
          <w:sz w:val="28"/>
          <w:szCs w:val="28"/>
          <w:lang w:eastAsia="zh-CN"/>
        </w:rPr>
        <w:t>的要求：“高压走廊应根据城市规划和电网要求，结合山体和绿地等用地统一布置，架空线路应尽可能在规划高压走廊内集中敷设”，高压架空线路走廊控制宽度和直埋电缆通道控制宽度宜分别符合下表规定：</w:t>
      </w:r>
    </w:p>
    <w:p>
      <w:pPr>
        <w:widowControl/>
        <w:autoSpaceDE/>
        <w:autoSpaceDN/>
        <w:spacing w:before="4" w:line="360" w:lineRule="auto"/>
        <w:ind w:left="0" w:right="351" w:firstLine="0"/>
        <w:jc w:val="left"/>
        <w:rPr>
          <w:color w:val="auto"/>
        </w:rPr>
      </w:pPr>
      <w:r>
        <w:rPr>
          <w:color w:val="auto"/>
        </w:rPr>
        <w:drawing>
          <wp:inline distT="0" distB="0" distL="114300" distR="114300">
            <wp:extent cx="5270499" cy="1163320"/>
            <wp:effectExtent l="0" t="0" r="16" b="45"/>
            <wp:docPr id="70" name="图片 1"/>
            <wp:cNvGraphicFramePr>
              <a:graphicFrameLocks noChangeAspect="1"/>
            </wp:cNvGraphicFramePr>
            <a:graphic>
              <a:graphicData uri="http://schemas.openxmlformats.org/drawingml/2006/picture">
                <pic:pic>
                  <pic:nvPicPr>
                    <pic:cNvPr id="72" name="图片 1 72"/>
                    <pic:cNvPicPr/>
                  </pic:nvPicPr>
                  <pic:blipFill>
                    <a:blip r:embed="rId27"/>
                    <a:stretch>
                      <a:fillRect/>
                    </a:stretch>
                  </pic:blipFill>
                  <pic:spPr>
                    <a:xfrm rot="0">
                      <a:off x="0" y="0"/>
                      <a:ext cx="5270499" cy="1163320"/>
                    </a:xfrm>
                    <a:prstGeom prst="rect"/>
                    <a:noFill/>
                    <a:ln w="9525" cmpd="sng" cap="flat">
                      <a:noFill/>
                      <a:prstDash val="solid"/>
                      <a:round/>
                    </a:ln>
                  </pic:spPr>
                </pic:pic>
              </a:graphicData>
            </a:graphic>
          </wp:inline>
        </w:drawing>
      </w:r>
    </w:p>
    <w:p>
      <w:pPr>
        <w:widowControl/>
        <w:autoSpaceDE/>
        <w:autoSpaceDN/>
        <w:spacing w:before="4" w:line="360" w:lineRule="auto"/>
        <w:ind w:left="0" w:right="351" w:firstLine="0"/>
        <w:jc w:val="left"/>
        <w:rPr>
          <w:color w:val="auto"/>
        </w:rPr>
      </w:pPr>
      <w:r>
        <w:rPr>
          <w:color w:val="auto"/>
        </w:rPr>
        <w:drawing>
          <wp:inline distT="0" distB="0" distL="114300" distR="114300">
            <wp:extent cx="5213350" cy="1139189"/>
            <wp:effectExtent l="0" t="0" r="16" b="17"/>
            <wp:docPr id="73" name="图片 1"/>
            <wp:cNvGraphicFramePr>
              <a:graphicFrameLocks noChangeAspect="1"/>
            </wp:cNvGraphicFramePr>
            <a:graphic>
              <a:graphicData uri="http://schemas.openxmlformats.org/drawingml/2006/picture">
                <pic:pic>
                  <pic:nvPicPr>
                    <pic:cNvPr id="75" name="图片 1 75"/>
                    <pic:cNvPicPr/>
                  </pic:nvPicPr>
                  <pic:blipFill>
                    <a:blip r:embed="rId28"/>
                    <a:stretch>
                      <a:fillRect/>
                    </a:stretch>
                  </pic:blipFill>
                  <pic:spPr>
                    <a:xfrm rot="0">
                      <a:off x="0" y="0"/>
                      <a:ext cx="5213350" cy="1139189"/>
                    </a:xfrm>
                    <a:prstGeom prst="rect"/>
                    <a:noFill/>
                    <a:ln w="9525" cmpd="sng" cap="flat">
                      <a:noFill/>
                      <a:prstDash val="solid"/>
                      <a:round/>
                    </a:ln>
                  </pic:spPr>
                </pic:pic>
              </a:graphicData>
            </a:graphic>
          </wp:inline>
        </w:drawing>
      </w:r>
    </w:p>
    <w:p>
      <w:pPr>
        <w:pStyle w:val="15"/>
        <w:ind w:firstLineChars="200" w:firstLine="560"/>
        <w:rPr>
          <w:color w:val="auto"/>
        </w:rPr>
      </w:pPr>
      <w:r>
        <w:rPr>
          <w:rFonts w:ascii="宋体" w:eastAsia="宋体" w:cs="宋体" w:hAnsi="宋体" w:hint="eastAsia"/>
          <w:color w:val="auto"/>
          <w:kern w:val="0"/>
          <w:sz w:val="28"/>
          <w:szCs w:val="28"/>
          <w:lang w:eastAsia="zh-CN"/>
        </w:rPr>
        <w:t>220kV、110kV 直埋电缆通道控制宽度指标宜符合</w:t>
      </w:r>
      <w:r>
        <w:rPr>
          <w:rFonts w:ascii="宋体" w:eastAsia="宋体" w:cs="宋体" w:hAnsi="宋体" w:hint="eastAsia"/>
          <w:color w:val="auto"/>
          <w:kern w:val="0"/>
          <w:sz w:val="28"/>
          <w:szCs w:val="28"/>
        </w:rPr>
        <w:t>钦州市城市规划技术标准与准则》（</w:t>
      </w:r>
      <w:r>
        <w:rPr>
          <w:rFonts w:ascii="宋体" w:eastAsia="宋体" w:cs="宋体" w:hAnsi="宋体"/>
          <w:color w:val="auto"/>
          <w:kern w:val="0"/>
          <w:sz w:val="28"/>
          <w:szCs w:val="28"/>
        </w:rPr>
        <w:t>2015</w:t>
      </w:r>
      <w:r>
        <w:rPr>
          <w:rFonts w:ascii="宋体" w:eastAsia="宋体" w:cs="宋体" w:hAnsi="宋体" w:hint="eastAsia"/>
          <w:color w:val="auto"/>
          <w:kern w:val="0"/>
          <w:sz w:val="28"/>
          <w:szCs w:val="28"/>
        </w:rPr>
        <w:t>年版）</w:t>
      </w:r>
      <w:r>
        <w:rPr>
          <w:rFonts w:ascii="宋体" w:eastAsia="宋体" w:cs="宋体" w:hAnsi="宋体" w:hint="eastAsia"/>
          <w:color w:val="auto"/>
          <w:kern w:val="0"/>
          <w:sz w:val="28"/>
          <w:szCs w:val="28"/>
          <w:lang w:eastAsia="zh-CN"/>
        </w:rPr>
        <w:t>表13.16 的规定，控制深度一般为2 米。本规划场区内的集电线路主要为</w:t>
      </w:r>
      <w:r>
        <w:rPr>
          <w:rFonts w:ascii="宋体" w:eastAsia="宋体" w:cs="宋体" w:hAnsi="宋体" w:hint="eastAsia"/>
          <w:color w:val="auto"/>
          <w:kern w:val="0"/>
          <w:sz w:val="28"/>
          <w:szCs w:val="28"/>
          <w:lang w:val="en-US" w:eastAsia="zh-CN"/>
        </w:rPr>
        <w:t>35kV</w:t>
      </w:r>
      <w:r>
        <w:rPr>
          <w:rFonts w:ascii="宋体" w:eastAsia="宋体" w:cs="宋体" w:hAnsi="宋体" w:hint="eastAsia"/>
          <w:color w:val="auto"/>
          <w:kern w:val="0"/>
          <w:sz w:val="28"/>
          <w:szCs w:val="28"/>
          <w:lang w:eastAsia="zh-CN"/>
        </w:rPr>
        <w:t>直埋电缆</w:t>
      </w:r>
      <w:r>
        <w:rPr>
          <w:rFonts w:ascii="宋体" w:eastAsia="宋体" w:cs="宋体" w:hAnsi="宋体" w:hint="eastAsia"/>
          <w:color w:val="auto"/>
          <w:kern w:val="0"/>
          <w:sz w:val="28"/>
          <w:szCs w:val="28"/>
          <w:lang w:val="en-US" w:eastAsia="zh-CN"/>
        </w:rPr>
        <w:t>,参照《电力工程电缆设计标准》GB50217-2018第5.3.3条相关规定，35kV</w:t>
      </w:r>
      <w:r>
        <w:rPr>
          <w:rFonts w:ascii="宋体" w:eastAsia="宋体" w:cs="宋体" w:hAnsi="宋体" w:hint="eastAsia"/>
          <w:color w:val="auto"/>
          <w:kern w:val="0"/>
          <w:sz w:val="28"/>
          <w:szCs w:val="28"/>
          <w:lang w:eastAsia="zh-CN"/>
        </w:rPr>
        <w:t>直埋电缆控制深度为电缆外皮至地面深度≥</w:t>
      </w:r>
      <w:r>
        <w:rPr>
          <w:rFonts w:ascii="宋体" w:eastAsia="宋体" w:cs="宋体" w:hAnsi="宋体" w:hint="eastAsia"/>
          <w:color w:val="auto"/>
          <w:kern w:val="0"/>
          <w:sz w:val="28"/>
          <w:szCs w:val="28"/>
          <w:lang w:val="en-US" w:eastAsia="zh-CN"/>
        </w:rPr>
        <w:t>0.7</w:t>
      </w:r>
      <w:r>
        <w:rPr>
          <w:rFonts w:ascii="宋体" w:eastAsia="宋体" w:cs="宋体" w:hAnsi="宋体" w:hint="eastAsia"/>
          <w:color w:val="auto"/>
          <w:kern w:val="0"/>
          <w:sz w:val="28"/>
          <w:szCs w:val="28"/>
          <w:lang w:eastAsia="zh-CN"/>
        </w:rPr>
        <w:t>米，</w:t>
      </w:r>
      <w:r>
        <w:rPr>
          <w:rFonts w:ascii="宋体" w:eastAsia="宋体" w:cs="宋体" w:hAnsi="宋体"/>
          <w:color w:val="auto"/>
          <w:kern w:val="0"/>
          <w:sz w:val="28"/>
          <w:szCs w:val="28"/>
          <w:lang w:eastAsia="zh-CN"/>
        </w:rPr>
        <w:t>电</w:t>
      </w:r>
      <w:r>
        <w:rPr>
          <w:rFonts w:ascii="宋体" w:eastAsia="宋体" w:cs="宋体" w:hAnsi="宋体" w:hint="eastAsia"/>
          <w:color w:val="auto"/>
          <w:kern w:val="0"/>
          <w:sz w:val="28"/>
          <w:szCs w:val="28"/>
          <w:lang w:eastAsia="zh-CN"/>
        </w:rPr>
        <w:t>缆外皮至地下构筑物基础距离≥</w:t>
      </w:r>
      <w:r>
        <w:rPr>
          <w:rFonts w:ascii="宋体" w:eastAsia="宋体" w:cs="宋体" w:hAnsi="宋体" w:hint="eastAsia"/>
          <w:color w:val="auto"/>
          <w:kern w:val="0"/>
          <w:sz w:val="28"/>
          <w:szCs w:val="28"/>
          <w:lang w:val="en-US" w:eastAsia="zh-CN"/>
        </w:rPr>
        <w:t>0.3</w:t>
      </w:r>
      <w:r>
        <w:rPr>
          <w:rFonts w:ascii="宋体" w:eastAsia="宋体" w:cs="宋体" w:hAnsi="宋体" w:hint="eastAsia"/>
          <w:color w:val="auto"/>
          <w:kern w:val="0"/>
          <w:sz w:val="28"/>
          <w:szCs w:val="28"/>
          <w:lang w:eastAsia="zh-CN"/>
        </w:rPr>
        <w:t>米，电缆通道宽度应根据电缆根数和外径由工程设计确定</w:t>
      </w:r>
      <w:r>
        <w:rPr>
          <w:rFonts w:cs="宋体" w:hAnsi="宋体" w:hint="eastAsia"/>
          <w:color w:val="auto"/>
          <w:kern w:val="0"/>
          <w:sz w:val="28"/>
          <w:szCs w:val="28"/>
          <w:lang w:eastAsia="zh-CN"/>
        </w:rPr>
        <w:t>。</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0" w:name="_Toc25298"/>
      <w:r>
        <w:rPr>
          <w:rFonts w:ascii="宋体" w:eastAsia="宋体" w:cs="宋体" w:hAnsi="宋体" w:hint="eastAsia"/>
          <w:bCs/>
          <w:color w:val="auto"/>
          <w:sz w:val="32"/>
          <w:szCs w:val="32"/>
          <w:lang w:val="en-US" w:eastAsia="zh-CN"/>
        </w:rPr>
        <w:t>7.2地块控制指标表</w:t>
      </w:r>
      <w:bookmarkEnd w:id="60"/>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eastAsia="zh-CN"/>
        </w:rPr>
        <w:t>规划的开关站和储能站地块、各风电机组和箱变地块的用地性质均为供电用地（地类用地代码</w:t>
      </w:r>
      <w:r>
        <w:rPr>
          <w:rFonts w:ascii="宋体" w:eastAsia="宋体" w:cs="宋体" w:hAnsi="宋体" w:hint="eastAsia"/>
          <w:color w:val="auto"/>
          <w:kern w:val="0"/>
          <w:sz w:val="28"/>
          <w:szCs w:val="28"/>
          <w:lang w:val="en-US" w:eastAsia="zh-CN"/>
        </w:rPr>
        <w:t>1303</w:t>
      </w:r>
      <w:r>
        <w:rPr>
          <w:rFonts w:ascii="宋体" w:eastAsia="宋体" w:cs="宋体" w:hAnsi="宋体" w:hint="eastAsia"/>
          <w:color w:val="auto"/>
          <w:kern w:val="0"/>
          <w:sz w:val="28"/>
          <w:szCs w:val="28"/>
          <w:lang w:eastAsia="zh-CN"/>
        </w:rPr>
        <w:t>）</w:t>
      </w:r>
      <w:r>
        <w:rPr>
          <w:rFonts w:ascii="宋体" w:eastAsia="宋体" w:cs="宋体" w:hAnsi="宋体" w:hint="eastAsia"/>
          <w:color w:val="auto"/>
          <w:kern w:val="0"/>
          <w:sz w:val="28"/>
          <w:szCs w:val="28"/>
          <w:lang w:val="en-US" w:eastAsia="zh-CN"/>
        </w:rPr>
        <w:t>。</w:t>
      </w: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val="en-US" w:eastAsia="zh-CN"/>
        </w:rPr>
        <w:t>场址东北向的风电机组地块位置与</w:t>
      </w:r>
      <w:r>
        <w:rPr>
          <w:rFonts w:ascii="宋体" w:eastAsia="宋体" w:cs="宋体" w:hAnsi="宋体" w:hint="eastAsia"/>
          <w:color w:val="auto"/>
          <w:kern w:val="0"/>
          <w:sz w:val="28"/>
          <w:szCs w:val="28"/>
          <w:lang w:eastAsia="zh-CN"/>
        </w:rPr>
        <w:t>外部交通道口</w:t>
      </w:r>
      <w:r>
        <w:rPr>
          <w:rFonts w:ascii="宋体" w:eastAsia="宋体" w:cs="宋体" w:hAnsi="宋体" w:hint="eastAsia"/>
          <w:color w:val="auto"/>
          <w:kern w:val="0"/>
          <w:sz w:val="28"/>
          <w:szCs w:val="28"/>
        </w:rPr>
        <w:t>较近</w:t>
      </w:r>
      <w:r>
        <w:rPr>
          <w:rFonts w:ascii="宋体" w:eastAsia="宋体" w:cs="宋体" w:hAnsi="宋体" w:hint="eastAsia"/>
          <w:color w:val="auto"/>
          <w:kern w:val="0"/>
          <w:sz w:val="28"/>
          <w:szCs w:val="28"/>
          <w:lang w:eastAsia="zh-CN"/>
        </w:rPr>
        <w:t>，因此，</w:t>
      </w:r>
      <w:r>
        <w:rPr>
          <w:rFonts w:ascii="宋体" w:eastAsia="宋体" w:cs="宋体" w:hAnsi="宋体" w:hint="eastAsia"/>
          <w:color w:val="auto"/>
          <w:kern w:val="0"/>
          <w:sz w:val="28"/>
          <w:szCs w:val="28"/>
          <w:lang w:val="en-US" w:eastAsia="zh-CN"/>
        </w:rPr>
        <w:t>本规划拟从东北往西南</w:t>
      </w:r>
      <w:r>
        <w:rPr>
          <w:rFonts w:ascii="宋体" w:eastAsia="宋体" w:cs="宋体" w:hAnsi="宋体"/>
          <w:color w:val="auto"/>
          <w:kern w:val="0"/>
          <w:sz w:val="28"/>
          <w:szCs w:val="28"/>
          <w:lang w:val="en-US" w:eastAsia="zh-CN"/>
        </w:rPr>
        <w:t>方</w:t>
      </w:r>
      <w:r>
        <w:rPr>
          <w:rFonts w:ascii="宋体" w:eastAsia="宋体" w:cs="宋体" w:hAnsi="宋体" w:hint="eastAsia"/>
          <w:color w:val="auto"/>
          <w:kern w:val="0"/>
          <w:sz w:val="28"/>
          <w:szCs w:val="28"/>
          <w:lang w:val="en-US" w:eastAsia="zh-CN"/>
        </w:rPr>
        <w:t>向将12个地块依次编号为DF-01至DF-12，最终以规划主管部门定义的地块编号为准。本规划各地块位置及地块编号详见下图：</w:t>
      </w:r>
    </w:p>
    <w:p>
      <w:pPr>
        <w:pStyle w:val="15"/>
        <w:rPr>
          <w:rFonts w:hint="eastAsia"/>
          <w:color w:val="auto"/>
          <w:lang w:val="en-US" w:eastAsia="zh-CN"/>
        </w:rPr>
      </w:pPr>
      <w:r>
        <w:rPr>
          <w:rFonts w:hint="eastAsia"/>
          <w:color w:val="auto"/>
          <w:lang w:val="en-US" w:eastAsia="zh-CN"/>
        </w:rPr>
        <w:drawing>
          <wp:inline distT="0" distB="0" distL="114300" distR="114300">
            <wp:extent cx="5779135" cy="4085590"/>
            <wp:effectExtent l="0" t="0" r="25" b="1"/>
            <wp:docPr id="76" name="图片 1" descr="E:/00王麒麟项目/王麒麟钦州低风速二期分散式风电场工程项目独立地块控制性详细规划2025.04/低风速插图/00低风速控规总图图则编号-Model.png00低风速控规总图图则编号-Model"/>
            <wp:cNvGraphicFramePr>
              <a:graphicFrameLocks noChangeAspect="1"/>
            </wp:cNvGraphicFramePr>
            <a:graphic>
              <a:graphicData uri="http://schemas.openxmlformats.org/drawingml/2006/picture">
                <pic:pic>
                  <pic:nvPicPr>
                    <pic:cNvPr id="78" name="图片 1 78"/>
                    <pic:cNvPicPr/>
                  </pic:nvPicPr>
                  <pic:blipFill>
                    <a:blip r:embed="rId29"/>
                    <a:srcRect l="8" r="8"/>
                    <a:stretch>
                      <a:fillRect/>
                    </a:stretch>
                  </pic:blipFill>
                  <pic:spPr>
                    <a:xfrm rot="0">
                      <a:off x="0" y="0"/>
                      <a:ext cx="5779135" cy="4085590"/>
                    </a:xfrm>
                    <a:prstGeom prst="rect"/>
                    <a:noFill/>
                    <a:ln w="9525" cmpd="sng" cap="flat">
                      <a:noFill/>
                      <a:prstDash val="solid"/>
                      <a:miter/>
                    </a:ln>
                  </pic:spPr>
                </pic:pic>
              </a:graphicData>
            </a:graphic>
          </wp:inline>
        </w:drawing>
      </w:r>
    </w:p>
    <w:p>
      <w:pPr>
        <w:jc w:val="center"/>
        <w:rPr>
          <w:rFonts w:hint="eastAsia"/>
          <w:b/>
          <w:bCs/>
          <w:color w:val="auto"/>
          <w:sz w:val="24"/>
          <w:szCs w:val="24"/>
          <w:lang w:val="en-US" w:eastAsia="zh-CN"/>
        </w:rPr>
      </w:pPr>
      <w:r>
        <w:rPr>
          <w:rFonts w:hint="eastAsia"/>
          <w:b/>
          <w:bCs/>
          <w:color w:val="auto"/>
          <w:sz w:val="24"/>
          <w:szCs w:val="24"/>
          <w:lang w:val="en-US" w:eastAsia="zh-CN"/>
        </w:rPr>
        <w:t>规划各地块位置及地块编号总图</w:t>
      </w:r>
    </w:p>
    <w:p>
      <w:pPr>
        <w:widowControl/>
        <w:spacing w:before="4" w:line="360" w:lineRule="auto"/>
        <w:ind w:right="351"/>
        <w:jc w:val="left"/>
        <w:rPr>
          <w:rFonts w:ascii="宋体" w:eastAsia="宋体" w:cs="宋体" w:hAnsi="宋体" w:hint="eastAsia"/>
          <w:color w:val="auto"/>
          <w:kern w:val="0"/>
          <w:sz w:val="28"/>
          <w:szCs w:val="28"/>
          <w:lang w:val="en-US" w:eastAsia="zh-CN"/>
        </w:rPr>
      </w:pPr>
    </w:p>
    <w:p>
      <w:pPr>
        <w:widowControl/>
        <w:spacing w:before="4" w:line="360" w:lineRule="auto"/>
        <w:ind w:left="118" w:right="351" w:firstLineChars="200" w:firstLine="560"/>
        <w:jc w:val="left"/>
        <w:rPr>
          <w:rFonts w:ascii="宋体" w:eastAsia="宋体" w:cs="宋体" w:hAnsi="宋体" w:hint="eastAsia"/>
          <w:color w:val="auto"/>
          <w:kern w:val="0"/>
          <w:sz w:val="24"/>
          <w:szCs w:val="24"/>
          <w:lang w:val="en-US" w:eastAsia="zh-CN"/>
        </w:rPr>
      </w:pPr>
      <w:r>
        <w:rPr>
          <w:rFonts w:ascii="宋体" w:eastAsia="宋体" w:cs="宋体" w:hAnsi="宋体" w:hint="eastAsia"/>
          <w:color w:val="auto"/>
          <w:kern w:val="0"/>
          <w:sz w:val="28"/>
          <w:szCs w:val="28"/>
          <w:lang w:val="en-US" w:eastAsia="zh-CN"/>
        </w:rPr>
        <w:t>本规划的各地块编号、用地代码、用地性质、用地面积以及其他具体管控内容详见下表：</w:t>
      </w:r>
    </w:p>
    <w:p>
      <w:pPr>
        <w:widowControl/>
        <w:spacing w:before="4" w:line="360" w:lineRule="auto"/>
        <w:ind w:left="118" w:right="351" w:firstLineChars="200" w:firstLine="480"/>
        <w:jc w:val="center"/>
        <w:rPr>
          <w:rFonts w:ascii="宋体" w:eastAsia="宋体" w:cs="宋体" w:hAnsi="宋体" w:hint="eastAsia"/>
          <w:color w:val="auto"/>
          <w:kern w:val="0"/>
          <w:sz w:val="24"/>
          <w:szCs w:val="24"/>
          <w:lang w:val="en-US" w:eastAsia="zh-CN"/>
        </w:rPr>
      </w:pPr>
      <w:r>
        <w:rPr>
          <w:rFonts w:ascii="宋体" w:eastAsia="宋体" w:cs="宋体" w:hAnsi="宋体" w:hint="eastAsia"/>
          <w:color w:val="auto"/>
          <w:kern w:val="0"/>
          <w:sz w:val="24"/>
          <w:szCs w:val="24"/>
          <w:lang w:val="en-US" w:eastAsia="zh-CN"/>
        </w:rPr>
        <w:t>地块控制指标一览表</w:t>
      </w:r>
    </w:p>
    <w:tbl>
      <w:tblPr>
        <w:jc w:val="lef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108" w:type="dxa"/>
          <w:bottom w:w="0" w:type="dxa"/>
          <w:right w:w="108" w:type="dxa"/>
        </w:tblCellMar>
      </w:tblPr>
      <w:tblGrid>
        <w:gridCol w:w="752"/>
        <w:gridCol w:w="661"/>
        <w:gridCol w:w="670"/>
        <w:gridCol w:w="678"/>
        <w:gridCol w:w="777"/>
        <w:gridCol w:w="959"/>
        <w:gridCol w:w="770"/>
        <w:gridCol w:w="693"/>
        <w:gridCol w:w="663"/>
        <w:gridCol w:w="742"/>
        <w:gridCol w:w="507"/>
        <w:gridCol w:w="650"/>
      </w:tblGrid>
      <w:tr>
        <w:trPr>
          <w:trHeight w:val="2143"/>
          <w:tblHeader/>
        </w:trPr>
        <w:tc>
          <w:tcPr>
            <w:tcW w:w="752"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地块</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编号</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61"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代码</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70"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性质</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678"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主导</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功能</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面积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比例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777"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不可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兼容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类型</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(负面</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清单)</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p>
        </w:tc>
        <w:tc>
          <w:tcPr>
            <w:tcW w:w="959"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用地面积(平方米）</w:t>
            </w:r>
          </w:p>
        </w:tc>
        <w:tc>
          <w:tcPr>
            <w:tcW w:w="770"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容</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积</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693"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建筑密度</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/建筑系数(%)</w:t>
            </w:r>
          </w:p>
        </w:tc>
        <w:tc>
          <w:tcPr>
            <w:tcW w:w="663"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绿</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地</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率(%)</w:t>
            </w:r>
          </w:p>
        </w:tc>
        <w:tc>
          <w:tcPr>
            <w:tcW w:w="742"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建筑限高(米)</w:t>
            </w:r>
          </w:p>
        </w:tc>
        <w:tc>
          <w:tcPr>
            <w:tcW w:w="507"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配套设施</w:t>
            </w:r>
          </w:p>
        </w:tc>
        <w:tc>
          <w:tcPr>
            <w:tcW w:w="650" w:type="dxa"/>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备</w:t>
            </w:r>
          </w:p>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注</w:t>
            </w:r>
          </w:p>
        </w:tc>
      </w:tr>
      <w:tr>
        <w:trPr>
          <w:trHeight w:val="544"/>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DF-01</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DF-02</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DF-03</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DF-04</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DF-05</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DF-06</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DF-07</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DF-08</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DF-09</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DF-10</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441.00</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≤0.2</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风机箱变</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DF-11</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1273.51</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≤30</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≥15</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≤24</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开关站</w:t>
            </w:r>
          </w:p>
        </w:tc>
      </w:tr>
      <w:tr>
        <w:trPr>
          <w:trHeight w:val="441"/>
        </w:trPr>
        <w:tc>
          <w:tcPr>
            <w:tcW w:w="75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DF-12</w:t>
            </w:r>
          </w:p>
        </w:tc>
        <w:tc>
          <w:tcPr>
            <w:tcW w:w="661"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1303</w:t>
            </w:r>
          </w:p>
        </w:tc>
        <w:tc>
          <w:tcPr>
            <w:tcW w:w="6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供电用地</w:t>
            </w:r>
          </w:p>
        </w:tc>
        <w:tc>
          <w:tcPr>
            <w:tcW w:w="678"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100</w:t>
            </w:r>
          </w:p>
        </w:tc>
        <w:tc>
          <w:tcPr>
            <w:tcW w:w="77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959"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997.49</w:t>
            </w:r>
          </w:p>
        </w:tc>
        <w:tc>
          <w:tcPr>
            <w:tcW w:w="77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≤1.0</w:t>
            </w:r>
          </w:p>
        </w:tc>
        <w:tc>
          <w:tcPr>
            <w:tcW w:w="69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≤30</w:t>
            </w:r>
          </w:p>
        </w:tc>
        <w:tc>
          <w:tcPr>
            <w:tcW w:w="663"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≥15</w:t>
            </w:r>
          </w:p>
        </w:tc>
        <w:tc>
          <w:tcPr>
            <w:tcW w:w="742"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≤24</w:t>
            </w:r>
          </w:p>
        </w:tc>
        <w:tc>
          <w:tcPr>
            <w:tcW w:w="507"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w:t>
            </w:r>
          </w:p>
        </w:tc>
        <w:tc>
          <w:tcPr>
            <w:tcW w:w="650" w:type="dxa"/>
            <w:tcBorders>
              <w:top w:val="single" w:sz="4" w:space="0" w:color="auto"/>
              <w:left w:val="single" w:sz="4" w:space="0" w:color="auto"/>
              <w:bottom w:val="single" w:sz="4" w:space="0" w:color="auto"/>
              <w:right w:val="single" w:sz="4" w:space="0" w:color="auto"/>
            </w:tcBorders>
            <w:vAlign w:val="center"/>
          </w:tcPr>
          <w:p>
            <w:pPr>
              <w:keepNext w:val="0"/>
              <w:keepLines w:val="0"/>
              <w:pageBreakBefore w:val="0"/>
              <w:widowControl/>
              <w:kinsoku/>
              <w:wordWrap/>
              <w:overflowPunct/>
              <w:topLinePunct w:val="0"/>
              <w:autoSpaceDE/>
              <w:autoSpaceDN/>
              <w:bidi w:val="0"/>
              <w:adjustRightInd/>
              <w:snapToGrid/>
              <w:spacing w:before="4" w:line="240" w:lineRule="auto"/>
              <w:ind w:left="0" w:right="6"/>
              <w:jc w:val="center"/>
              <w:textAlignment w:val="auto"/>
              <w:rPr>
                <w:rFonts w:ascii="宋体" w:eastAsia="宋体" w:cs="宋体" w:hAnsi="宋体" w:hint="eastAsia"/>
                <w:color w:val="auto"/>
                <w:kern w:val="0"/>
                <w:sz w:val="21"/>
                <w:szCs w:val="21"/>
                <w:vertAlign w:val="baseline"/>
                <w:lang w:val="en-US" w:eastAsia="zh-CN"/>
              </w:rPr>
            </w:pPr>
            <w:r>
              <w:rPr>
                <w:rFonts w:ascii="宋体" w:eastAsia="宋体" w:cs="宋体" w:hAnsi="宋体" w:hint="eastAsia"/>
                <w:color w:val="auto"/>
                <w:kern w:val="0"/>
                <w:sz w:val="21"/>
                <w:szCs w:val="21"/>
                <w:vertAlign w:val="baseline"/>
                <w:lang w:val="en-US" w:eastAsia="zh-CN"/>
              </w:rPr>
              <w:t>储能站</w:t>
            </w:r>
          </w:p>
        </w:tc>
      </w:tr>
    </w:tbl>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rPr>
          <w:color w:val="auto"/>
        </w:rPr>
      </w:pPr>
    </w:p>
    <w:p>
      <w:pPr>
        <w:rPr>
          <w:color w:val="auto"/>
        </w:rPr>
      </w:pPr>
    </w:p>
    <w:p>
      <w:pPr>
        <w:pStyle w:val="15"/>
      </w:pPr>
    </w:p>
    <w:p/>
    <w:p>
      <w:pPr>
        <w:pStyle w:val="15"/>
        <w:rPr>
          <w:color w:val="auto"/>
        </w:rPr>
      </w:pPr>
    </w:p>
    <w:p>
      <w:pPr>
        <w:pStyle w:val="1"/>
        <w:numPr>
          <w:ilvl w:val="0"/>
          <w:numId w:val="0"/>
        </w:numPr>
        <w:spacing w:before="260" w:line="360" w:lineRule="auto"/>
        <w:ind w:left="420" w:right="351"/>
        <w:jc w:val="center"/>
        <w:rPr>
          <w:rFonts w:ascii="宋体" w:eastAsia="宋体" w:cs="宋体" w:hAnsi="宋体"/>
          <w:bCs/>
          <w:color w:val="auto"/>
          <w:sz w:val="32"/>
          <w:szCs w:val="32"/>
        </w:rPr>
      </w:pPr>
      <w:bookmarkStart w:id="61" w:name="_Toc6800"/>
      <w:r>
        <w:rPr>
          <w:rFonts w:ascii="宋体" w:eastAsia="宋体" w:cs="宋体" w:hAnsi="宋体" w:hint="eastAsia"/>
          <w:bCs/>
          <w:color w:val="auto"/>
          <w:sz w:val="32"/>
          <w:szCs w:val="32"/>
          <w:lang w:eastAsia="zh-CN"/>
        </w:rPr>
        <w:t>第八章</w:t>
      </w:r>
      <w:r>
        <w:rPr>
          <w:rFonts w:ascii="宋体" w:eastAsia="宋体" w:cs="宋体" w:hAnsi="宋体" w:hint="eastAsia"/>
          <w:bCs/>
          <w:color w:val="auto"/>
          <w:sz w:val="32"/>
          <w:szCs w:val="32"/>
          <w:lang w:val="en-US" w:eastAsia="zh-CN"/>
        </w:rPr>
        <w:t xml:space="preserve"> </w:t>
      </w:r>
      <w:r>
        <w:rPr>
          <w:rFonts w:ascii="宋体" w:eastAsia="宋体" w:cs="宋体" w:hAnsi="宋体" w:hint="eastAsia"/>
          <w:bCs/>
          <w:color w:val="auto"/>
          <w:sz w:val="32"/>
          <w:szCs w:val="32"/>
          <w:lang w:eastAsia="zh-CN"/>
        </w:rPr>
        <w:t>环境保护</w:t>
      </w:r>
      <w:r>
        <w:rPr>
          <w:rFonts w:ascii="宋体" w:eastAsia="宋体" w:cs="宋体" w:hAnsi="宋体" w:hint="eastAsia"/>
          <w:bCs/>
          <w:color w:val="auto"/>
          <w:sz w:val="32"/>
          <w:szCs w:val="32"/>
        </w:rPr>
        <w:t>规划</w:t>
      </w:r>
      <w:bookmarkEnd w:id="61"/>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2" w:name="_Toc4323"/>
      <w:r>
        <w:rPr>
          <w:rFonts w:ascii="宋体" w:eastAsia="宋体" w:cs="宋体" w:hAnsi="宋体" w:hint="eastAsia"/>
          <w:bCs/>
          <w:color w:val="auto"/>
          <w:sz w:val="32"/>
          <w:szCs w:val="32"/>
          <w:lang w:val="en-US" w:eastAsia="zh-CN"/>
        </w:rPr>
        <w:t>8.1规划依据</w:t>
      </w:r>
      <w:bookmarkEnd w:id="62"/>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（1）《中华人民共和国环境保护法》（2015.1）；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（2）《中华人民共和国环境影响评价法》（2018.12）；</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（3）《中华人民共和国大气污染防治法》（2018.10）；</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（4）《中华人民共和国水污染防治法》（2018.1）；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（5）《中华人民共和国固体废物污染环境防治法》（2020.9）；</w:t>
      </w:r>
    </w:p>
    <w:p>
      <w:pPr>
        <w:widowControl/>
        <w:spacing w:before="4" w:line="360" w:lineRule="auto"/>
        <w:ind w:leftChars="322" w:left="676" w:right="351" w:firstLine="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6</w:t>
      </w:r>
      <w:r>
        <w:rPr>
          <w:rFonts w:ascii="宋体" w:eastAsia="宋体" w:cs="宋体" w:hAnsi="宋体" w:hint="eastAsia"/>
          <w:color w:val="auto"/>
          <w:kern w:val="0"/>
          <w:sz w:val="28"/>
          <w:szCs w:val="28"/>
          <w:lang w:val="en-US" w:eastAsia="zh-CN"/>
        </w:rPr>
        <w:t>）《中华人民共和国土壤污染防治法》（2019.1）；</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7</w:t>
      </w:r>
      <w:r>
        <w:rPr>
          <w:rFonts w:ascii="宋体" w:eastAsia="宋体" w:cs="宋体" w:hAnsi="宋体" w:hint="eastAsia"/>
          <w:color w:val="auto"/>
          <w:kern w:val="0"/>
          <w:sz w:val="28"/>
          <w:szCs w:val="28"/>
          <w:lang w:val="en-US" w:eastAsia="zh-CN"/>
        </w:rPr>
        <w:t>）《中华人民共和国可再生能源法》中华人民共和国主席令第23 号，2016 年1 月1 日；</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8</w:t>
      </w:r>
      <w:r>
        <w:rPr>
          <w:rFonts w:ascii="宋体" w:eastAsia="宋体" w:cs="宋体" w:hAnsi="宋体" w:hint="eastAsia"/>
          <w:color w:val="auto"/>
          <w:kern w:val="0"/>
          <w:sz w:val="28"/>
          <w:szCs w:val="28"/>
          <w:lang w:val="en-US" w:eastAsia="zh-CN"/>
        </w:rPr>
        <w:t>）《中华人民共和国电力法》，中华人民共和国主席令第24 号，2015 年4 月24 日；</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w:t>
      </w:r>
      <w:r>
        <w:rPr>
          <w:rFonts w:ascii="宋体" w:eastAsia="宋体" w:cs="宋体" w:hAnsi="宋体"/>
          <w:color w:val="auto"/>
          <w:kern w:val="0"/>
          <w:sz w:val="28"/>
          <w:szCs w:val="28"/>
          <w:lang w:val="en-US" w:eastAsia="zh-CN"/>
        </w:rPr>
        <w:t>9</w:t>
      </w:r>
      <w:bookmarkStart w:id="63" w:name="_GoBack"/>
      <w:bookmarkEnd w:id="63"/>
      <w:r>
        <w:rPr>
          <w:rFonts w:ascii="宋体" w:eastAsia="宋体" w:cs="宋体" w:hAnsi="宋体" w:hint="eastAsia"/>
          <w:color w:val="auto"/>
          <w:kern w:val="0"/>
          <w:sz w:val="28"/>
          <w:szCs w:val="28"/>
          <w:lang w:val="en-US" w:eastAsia="zh-CN"/>
        </w:rPr>
        <w:t>）其他有关法规。</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64" w:name="_Toc5366"/>
      <w:r>
        <w:rPr>
          <w:rFonts w:ascii="宋体" w:eastAsia="宋体" w:cs="宋体" w:hAnsi="宋体" w:hint="eastAsia"/>
          <w:bCs/>
          <w:color w:val="auto"/>
          <w:sz w:val="32"/>
          <w:szCs w:val="32"/>
          <w:lang w:val="en-US" w:eastAsia="zh-CN"/>
        </w:rPr>
        <w:t>8.2环境保护措施</w:t>
      </w:r>
      <w:bookmarkEnd w:id="64"/>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研究地块为</w:t>
      </w:r>
      <w:r>
        <w:rPr>
          <w:rFonts w:ascii="宋体" w:eastAsia="宋体" w:cs="宋体" w:hAnsi="宋体" w:hint="eastAsia"/>
          <w:color w:val="auto"/>
          <w:kern w:val="0"/>
          <w:sz w:val="28"/>
          <w:szCs w:val="28"/>
        </w:rPr>
        <w:t>钦州低风速二期分散式风电场工程</w:t>
      </w:r>
      <w:r>
        <w:rPr>
          <w:rFonts w:ascii="宋体" w:eastAsia="宋体" w:cs="宋体" w:hAnsi="宋体" w:hint="eastAsia"/>
          <w:color w:val="auto"/>
          <w:kern w:val="0"/>
          <w:sz w:val="28"/>
          <w:szCs w:val="28"/>
          <w:lang w:val="en-US" w:eastAsia="zh-CN"/>
        </w:rPr>
        <w:t>规划建设用地，该风电场项目已于2020年编制项目水土保持方案报告和项目环境影响评价报告并已得到批复，本规划在项目的建设期和营运期对环境产生的影响进行分析，主要由于工程施工期新建场内道路施工、风机场地平整与基础开挖等造成水土流失对周围生态环境产生影响，施工机械噪声、车辆尾气、施工扬尘和施工区排水对周围环境也产生一定影响；项目运营期对环境的影响主要有“三废”（废气、废水、固体废物）和噪声、电磁场等方面。提出具体保护措施如下：</w:t>
      </w:r>
    </w:p>
    <w:p>
      <w:pPr>
        <w:pStyle w:val="18"/>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8.2.1</w:t>
      </w:r>
      <w:r>
        <w:rPr>
          <w:rFonts w:hint="eastAsia"/>
          <w:color w:val="auto"/>
        </w:rPr>
        <w:t xml:space="preserve"> </w:t>
      </w:r>
      <w:r>
        <w:rPr>
          <w:rFonts w:hint="eastAsia"/>
          <w:b/>
          <w:bCs/>
          <w:color w:val="auto"/>
          <w:sz w:val="28"/>
          <w:szCs w:val="28"/>
          <w:lang w:eastAsia="zh-CN"/>
        </w:rPr>
        <w:t>项目建设阶段环境保护措施</w:t>
      </w:r>
    </w:p>
    <w:p>
      <w:pPr>
        <w:pStyle w:val="15"/>
        <w:ind w:left="0" w:firstLineChars="200" w:firstLine="560"/>
        <w:rPr>
          <w:rFonts w:cs="宋体" w:hAnsi="宋体" w:hint="eastAsia"/>
          <w:color w:val="auto"/>
          <w:kern w:val="0"/>
          <w:sz w:val="28"/>
          <w:szCs w:val="28"/>
          <w:lang w:val="en-US" w:eastAsia="zh-CN"/>
        </w:rPr>
      </w:pPr>
      <w:r>
        <w:rPr>
          <w:rFonts w:cs="宋体" w:hAnsi="宋体" w:hint="eastAsia"/>
          <w:color w:val="auto"/>
          <w:kern w:val="0"/>
          <w:sz w:val="28"/>
          <w:szCs w:val="28"/>
          <w:lang w:val="en-US" w:eastAsia="zh-CN"/>
        </w:rPr>
        <w:t>（1）水土保持防治措施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水土保持设施应与主体工程同时设计，同时施工，同时投产使用，水土保持拦挡措施首先实施，做到“先挡后弃”，保证工程建设期和运行期的安全，控制水土流失，保护周边的生态环境。本规划按风机机组区、集电线路区、升压变电区、道路工程区、弃土场区、临时堆土场区和施工生产生活区等7个分区布设水土保持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①风机机组区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在主体设计中拟采用修建浆砌石排水沟、布置排水管等措施。施工期间在施工场地设置临时排水沟，出口处布置沉沙池，对临时堆土及裸露地表进行彩条布覆盖；施工结束后对裸露地块进行撒播草籽恢复绿化。</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②集电线路区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施工结束后对施工区周边裸露地块采用撒播草籽+无纺布苫盖措施。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③升压变电区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在主体设计中拟采用修建浆砌石排水沟、浆砌片石挡土墙、场内植草绿地和景观绿化等措施。施工期间在开关站和储能站外围设置临时排水沟，出口处设置沉沙池，对临时堆土采用彩条布覆盖措施。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④道路工程区</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在主体设计中拟采用修建截排水沟、管涵和挡土墙等措施。在道路排水沟沿线设置沉沙池；对工程区填方边坡采用撒播草籽+无纺布苫盖进行防护；对工程区挖方边坡采用喷播草籽+无纺布苫盖进行防护。</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⑤弃土场区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堆土前对弃土场进行表土剥离，用于后期绿化覆土。弃土之前在底部修建浆砌石挡土墙，沿场地周边设置截排水沟，出口处设置沉沙池；堆土结束后采用撒播草籽+无纺布苫盖措施恢复绿化。</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⑥临时堆土场区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堆土前对弃土场进行表土剥离，用于后期绿化覆土。堆土前沿场地周边设置截排水沟，出口处设置沉沙池；在堆土边坡坡脚处设置装土编织袋临时拦挡；堆土结束后采用撒播草籽+无纺布苫盖措施恢复绿化。</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⑦施工生产生活区</w:t>
      </w:r>
    </w:p>
    <w:p>
      <w:pPr>
        <w:widowControl/>
        <w:spacing w:before="4" w:line="360" w:lineRule="auto"/>
        <w:ind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在主体设计中拟采用沿场地四周及场内修建排水沟，对场内堆土表面采用彩条布覆盖措施；施工结束后进行撒播草籽恢复绿化。</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（2）施工噪声防治措施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建筑施工场界环境噪声排放标准》（GB12523-2011），施工阶段不同，噪声限值也不同。夜间除打桩阶段为禁止施工外，其它阶段限值为55dB，因此，应提倡文明施工，减少人为噪声，尽量采用低噪声有消声设备的施工机械，建立健全控制噪声的管理制度，对噪声进行监测，发现超标应及时、有效地采取控制措施。常见的控制措施有：消声、吸声、隔声和阻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虽然施工噪声仅在施工期的土建施工阶段产生，随施工的结束而消失，但由于噪声较强，且日夜连续工作，将会对周围声环境产生严重影响，极易引起人们的反感，应予以重视，建议采取以下噪声防治措施：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采用较先进的、噪声较小的施工设备，并加强维护和保养，以降低声源声级；施工尽量在白天进行，如需必要的夜间施工，必须按相关规定办理作业许可，并告知周边居民，同时不宜超过24点；将有固定工作地点的施工机械应尽量设置在距居民区较远的位置，并采取适当的封闭和隔声措施；施工场界噪声的控制应达到《建筑施工场界环境噪声排放标准》的要求。</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（3）施工废水防治措施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本工程使用商混，不设混凝土拌合站，施工期废水主要来自混凝土养护废水等施工废水和施工人员的生活污水。施工期的水污染防治措施主要有：</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①风机、箱变等基础浇筑后表面洒水润湿进行养护，混凝土养护废水产生量极少，自然蒸发处理，不会对水环境产生影响。</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②施工人员生活污水统一收集、排放至施工营地内的临时化粪池内，处理后用作施工营地附近区域林地浇灌，施工结束后及时清理临时化粪池。生活污水不得排入临近的周边沟渠，不得与雨水混合后外排。</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（4）施工废气防治措施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①运输车辆严禁超载运输，避免超过车载负荷而使尾气排放量上升。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加强对施工机械、车辆的维修保养，提高机械设备的正常使用率，缩短工期，降低燃料废气的排放量。禁止以柴油为燃料的施工机械超负荷工作，避免因机械保养不当而导致的尾气排放量增大，对于排放量严重超标的机械应禁止使用。</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（5）施工固废防治措施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期间将产生固体废弃物，主要包括施工弃土、生活垃圾、各类建材包装箱袋以及设备安装包装物等。开挖的临时弃土放置于施工区内的临时堆土场，施工后期用作回填和绿化覆土，永久弃渣集中堆放到弃渣场。施工期间砖渣泥土等建筑垃圾的运输采用有封盖封闭式运渣车，运渣车辆不得超高运输，并覆盖塑料布，以免洒落。为了防止临时堆土受雨水冲刷产生水土流失，施工区临时堆土场应采取编织袋装土防护和苫布覆盖以及设置临时排水导流系统等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施工期间生活垃圾统一收集后运往临近乡镇的生活垃圾中转站处理。各类建材包装箱、袋以及设备安装包装物等统一回收利用给废品收购站。</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（6）施工扬尘防治措施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在场地平整、基础施工、电缆的电缆沟开挖、架空导线基础开挖、废弃土石方堆放、风机设备及建筑材料运输等施工过程中会产生扬尘。在施工基础土方中采用遮盖措施避免扬尘，必要时采用湿式作业。建材的堆放及混凝土拌和应定点、定位，并采取防尘措施，设置挡风板。对土石方装卸和运输产生的扬尘采取洒水、限制车速</w:t>
      </w:r>
      <w:r>
        <w:rPr>
          <w:rFonts w:ascii="宋体" w:eastAsia="宋体" w:cs="宋体" w:hAnsi="宋体"/>
          <w:color w:val="auto"/>
          <w:kern w:val="0"/>
          <w:sz w:val="28"/>
          <w:szCs w:val="28"/>
          <w:lang w:val="en-US" w:eastAsia="zh-CN"/>
        </w:rPr>
        <w:t>等</w:t>
      </w:r>
      <w:r>
        <w:rPr>
          <w:rFonts w:ascii="宋体" w:eastAsia="宋体" w:cs="宋体" w:hAnsi="宋体" w:hint="eastAsia"/>
          <w:color w:val="auto"/>
          <w:kern w:val="0"/>
          <w:sz w:val="28"/>
          <w:szCs w:val="28"/>
          <w:lang w:val="en-US" w:eastAsia="zh-CN"/>
        </w:rPr>
        <w:t>抑尘措施，以减轻对施工区附近地面环境空气质量的影响。</w:t>
      </w:r>
    </w:p>
    <w:p>
      <w:pPr>
        <w:pStyle w:val="18"/>
        <w:widowControl/>
        <w:autoSpaceDE w:val="0"/>
        <w:autoSpaceDN w:val="0"/>
        <w:spacing w:before="4" w:line="420" w:lineRule="auto"/>
        <w:ind w:left="118" w:right="351" w:firstLineChars="200" w:firstLine="560"/>
        <w:jc w:val="left"/>
        <w:rPr>
          <w:rFonts w:ascii="宋体" w:eastAsia="宋体" w:cs="宋体" w:hAnsi="宋体" w:hint="eastAsia"/>
          <w:color w:val="auto"/>
          <w:kern w:val="0"/>
          <w:sz w:val="28"/>
          <w:szCs w:val="28"/>
          <w:lang w:val="en-US" w:eastAsia="zh-CN"/>
        </w:rPr>
      </w:pPr>
      <w:r>
        <w:rPr>
          <w:rFonts w:hint="eastAsia"/>
          <w:b/>
          <w:bCs/>
          <w:color w:val="auto"/>
          <w:sz w:val="28"/>
          <w:szCs w:val="28"/>
          <w:lang w:val="en-US" w:eastAsia="zh-CN"/>
        </w:rPr>
        <w:t>8.2.2</w:t>
      </w:r>
      <w:r>
        <w:rPr>
          <w:rFonts w:hint="eastAsia"/>
          <w:color w:val="auto"/>
        </w:rPr>
        <w:t xml:space="preserve"> </w:t>
      </w:r>
      <w:r>
        <w:rPr>
          <w:rFonts w:hint="eastAsia"/>
          <w:b/>
          <w:bCs/>
          <w:color w:val="auto"/>
          <w:sz w:val="28"/>
          <w:szCs w:val="28"/>
          <w:lang w:eastAsia="zh-CN"/>
        </w:rPr>
        <w:t>项目营运阶段环境保护措施</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（1）水污染防治措施</w:t>
      </w:r>
    </w:p>
    <w:p>
      <w:pPr>
        <w:widowControl/>
        <w:spacing w:before="4" w:line="360" w:lineRule="auto"/>
        <w:ind w:left="118" w:right="351" w:firstLineChars="200" w:firstLine="560"/>
        <w:jc w:val="left"/>
        <w:rPr>
          <w:rFonts w:hint="eastAsia"/>
          <w:color w:val="auto"/>
          <w:lang w:val="en-US" w:eastAsia="zh-CN"/>
        </w:rPr>
      </w:pPr>
      <w:r>
        <w:rPr>
          <w:rFonts w:ascii="宋体" w:eastAsia="宋体" w:cs="宋体" w:hAnsi="宋体" w:hint="eastAsia"/>
          <w:color w:val="auto"/>
          <w:kern w:val="0"/>
          <w:sz w:val="28"/>
          <w:szCs w:val="28"/>
          <w:lang w:val="en-US" w:eastAsia="zh-CN"/>
        </w:rPr>
        <w:t>本项目不产生生活污水，营运期废水主要为开关站主变压器发生故障时排出的变压器油。</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根据工程分析，主变压器一次事故排油量约为15t，变压器油常温下密度约0.87t/m³，发生事故时排油体积约17.2m³/次。本工程在主变压器底部设有贮油坑，贮油坑的四周设挡油坎，坑底设有排油管，能将主变事故排油排至事故油池中，并在主变压器北侧设置有一座专用事故油池，有效容积为20m³，可满足主变事故排油需要。当主变发生事故时，事故排油经排油管道进入事故油池，经过油水分离，去除水分和杂质，大部分油回收利用，剩余少量废油渣交由有危险废弃物处置资质的单位进行回收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（2）废气污染防治措施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营运期废气主要为风电场内进出的运输、维护车辆的尾气排放，应严禁车辆超载运输，避免超过车载负荷而使尾气排放量上升。</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加强对车辆的维修保养，对于排放量严重超标的车辆应禁止使用。只要通过加强工程车辆的维护，车辆排放尾气对周边环境的影响很小。</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（3）固体废物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①一般固体废物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A．运行维护人员生活垃圾由站内垃圾桶集中收集，然后由站内值班人员定期清运，运至风电场附近的镇垃圾转运站进行处置。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B．废旧玻璃钢材料和包装物外卖给废品收购公司综合利用，废轴承由厂家回收处置。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C．废弃含油抹布定期混入生活垃圾，统一清运至镇垃圾转运站进行处置。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②危险废物</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A．废旧机油（含废润滑油、废液压油）、废旧蓄电池、废变压器油交由有危险废物处置资质的单位进行处置。</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B．危险废物需按《危险废物收集贮存运输技术规范》（HJ2025-2012）进行管理，还应满足《危险废物贮存污染控制标准》（GB18597-2001）及其修改单的相关规定。</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（4）防噪措施</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①在设备订货时合理选择变压器、电气设备、导线；选择表面光滑、耐氧化的导线和母线，在设备安装时要保证各类接口接触良好，减少火花及电晕放电噪声。</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hint="eastAsia"/>
          <w:color w:val="auto"/>
          <w:kern w:val="0"/>
          <w:sz w:val="28"/>
          <w:szCs w:val="28"/>
          <w:lang w:val="en-US" w:eastAsia="zh-CN"/>
        </w:rPr>
        <w:t>②加强日常维护，保证风机等大噪声部件运行良好。由于本风电场内无大型集中居民点分布，风机与周边居民点的水平距离在800m 以上，风机运行噪声对当地居民基本无影响。</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w:t>
      </w:r>
      <w:r>
        <w:rPr>
          <w:rFonts w:ascii="宋体" w:eastAsia="宋体" w:cs="宋体" w:hAnsi="宋体" w:hint="eastAsia"/>
          <w:color w:val="auto"/>
          <w:kern w:val="0"/>
          <w:sz w:val="28"/>
          <w:szCs w:val="28"/>
          <w:lang w:val="en-US" w:eastAsia="zh-CN"/>
        </w:rPr>
        <w:t>5</w:t>
      </w:r>
      <w:r>
        <w:rPr>
          <w:rFonts w:ascii="宋体" w:eastAsia="宋体" w:cs="宋体" w:hAnsi="宋体"/>
          <w:color w:val="auto"/>
          <w:kern w:val="0"/>
          <w:sz w:val="28"/>
          <w:szCs w:val="28"/>
          <w:lang w:val="en-US" w:eastAsia="zh-CN"/>
        </w:rPr>
        <w:t>）电磁场影响防治措施</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①对产生电磁场主要来源的变压器、断路器、电流电压互感器等电气设备进行屏蔽；将机箱的孔、口、门缝的连接缝密封。</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②站区四周设置围墙，墙外布置隔离带，种植树冠较大、枝叶茂密，长势不高的常绿树</w:t>
      </w:r>
      <w:r>
        <w:rPr>
          <w:rFonts w:ascii="宋体" w:eastAsia="宋体" w:cs="宋体" w:hAnsi="宋体" w:hint="eastAsia"/>
          <w:color w:val="auto"/>
          <w:kern w:val="0"/>
          <w:sz w:val="28"/>
          <w:szCs w:val="28"/>
          <w:lang w:val="en-US" w:eastAsia="zh-CN"/>
        </w:rPr>
        <w:t>。</w:t>
      </w:r>
    </w:p>
    <w:p>
      <w:pPr>
        <w:widowControl/>
        <w:spacing w:before="4" w:line="360" w:lineRule="auto"/>
        <w:ind w:left="118" w:right="351" w:firstLineChars="200" w:firstLine="560"/>
        <w:jc w:val="left"/>
        <w:rPr>
          <w:rFonts w:ascii="宋体" w:eastAsia="宋体" w:cs="宋体" w:hAnsi="宋体"/>
          <w:color w:val="auto"/>
          <w:kern w:val="0"/>
          <w:sz w:val="28"/>
          <w:szCs w:val="28"/>
          <w:lang w:val="en-US" w:eastAsia="zh-CN"/>
        </w:rPr>
      </w:pPr>
      <w:r>
        <w:rPr>
          <w:rFonts w:ascii="宋体" w:eastAsia="宋体" w:cs="宋体" w:hAnsi="宋体"/>
          <w:color w:val="auto"/>
          <w:kern w:val="0"/>
          <w:sz w:val="28"/>
          <w:szCs w:val="28"/>
          <w:lang w:val="en-US" w:eastAsia="zh-CN"/>
        </w:rPr>
        <w:t>建设符合国家当前的产业政策，符合我国可持续发展战略，可促进地方经济的发展，是地区电网能源消耗的有益补充，具有良好的社会效益、经济效益和环境效益。</w:t>
      </w:r>
    </w:p>
    <w:p>
      <w:pPr>
        <w:widowControl/>
        <w:spacing w:before="4" w:line="360" w:lineRule="auto"/>
        <w:ind w:left="118" w:right="351" w:firstLineChars="200" w:firstLine="560"/>
        <w:jc w:val="left"/>
        <w:rPr>
          <w:rFonts w:ascii="宋体" w:eastAsia="宋体" w:cs="宋体" w:hAnsi="宋体" w:hint="eastAsia"/>
          <w:color w:val="auto"/>
          <w:kern w:val="0"/>
          <w:sz w:val="28"/>
          <w:szCs w:val="28"/>
          <w:lang w:val="en-US" w:eastAsia="zh-CN"/>
        </w:rPr>
      </w:pPr>
      <w:r>
        <w:rPr>
          <w:rFonts w:ascii="宋体" w:eastAsia="宋体" w:cs="宋体" w:hAnsi="宋体"/>
          <w:color w:val="auto"/>
          <w:kern w:val="0"/>
          <w:sz w:val="28"/>
          <w:szCs w:val="28"/>
          <w:lang w:val="en-US" w:eastAsia="zh-CN"/>
        </w:rPr>
        <w:t>本</w:t>
      </w:r>
      <w:r>
        <w:rPr>
          <w:rFonts w:ascii="宋体" w:eastAsia="宋体" w:cs="宋体" w:hAnsi="宋体" w:hint="eastAsia"/>
          <w:color w:val="auto"/>
          <w:kern w:val="0"/>
          <w:sz w:val="28"/>
          <w:szCs w:val="28"/>
          <w:lang w:val="en-US" w:eastAsia="zh-CN"/>
        </w:rPr>
        <w:t>地块</w:t>
      </w:r>
      <w:r>
        <w:rPr>
          <w:rFonts w:ascii="宋体" w:eastAsia="宋体" w:cs="宋体" w:hAnsi="宋体"/>
          <w:color w:val="auto"/>
          <w:kern w:val="0"/>
          <w:sz w:val="28"/>
          <w:szCs w:val="28"/>
          <w:lang w:val="en-US" w:eastAsia="zh-CN"/>
        </w:rPr>
        <w:t>建设过程中不可避免地会对周围环境产生一定的不利影响，主要表现为工程占地对生态环境的影响，运行期主要环境影响来源于</w:t>
      </w:r>
      <w:r>
        <w:rPr>
          <w:rFonts w:ascii="宋体" w:eastAsia="宋体" w:cs="宋体" w:hAnsi="宋体" w:hint="eastAsia"/>
          <w:color w:val="auto"/>
          <w:kern w:val="0"/>
          <w:sz w:val="28"/>
          <w:szCs w:val="28"/>
          <w:lang w:val="en-US" w:eastAsia="zh-CN"/>
        </w:rPr>
        <w:t>开关站、储能站</w:t>
      </w:r>
      <w:r>
        <w:rPr>
          <w:rFonts w:ascii="宋体" w:eastAsia="宋体" w:cs="宋体" w:hAnsi="宋体"/>
          <w:color w:val="auto"/>
          <w:kern w:val="0"/>
          <w:sz w:val="28"/>
          <w:szCs w:val="28"/>
          <w:lang w:val="en-US" w:eastAsia="zh-CN"/>
        </w:rPr>
        <w:t>及风机的电磁场和噪声影响。工程在建设和运行过程中切实做好“三同时”工作，认真落实评价中提出的生态环境保护和恢复措施、污染防治措施、环境风险防范措施和环境管理措施后，本工程建设和营运对沿线生态环境、水环境、空气环境、声环境及电磁环境的不利影响可得到有效的控制和减缓，为环境所接受</w:t>
      </w:r>
      <w:r>
        <w:rPr>
          <w:rFonts w:ascii="宋体" w:eastAsia="宋体" w:cs="宋体" w:hAnsi="宋体" w:hint="eastAsia"/>
          <w:color w:val="auto"/>
          <w:kern w:val="0"/>
          <w:sz w:val="28"/>
          <w:szCs w:val="28"/>
          <w:lang w:val="en-US" w:eastAsia="zh-CN"/>
        </w:rPr>
        <w:t>。因此，从环境保护的角度而言，研究地块的建设</w:t>
      </w:r>
      <w:r>
        <w:rPr>
          <w:rFonts w:hint="eastAsia"/>
          <w:color w:val="auto"/>
          <w:sz w:val="28"/>
          <w:szCs w:val="28"/>
          <w:lang w:val="en-US"/>
        </w:rPr>
        <w:t>对周边</w:t>
      </w:r>
      <w:r>
        <w:rPr>
          <w:rFonts w:hint="eastAsia"/>
          <w:color w:val="auto"/>
          <w:sz w:val="28"/>
          <w:szCs w:val="28"/>
          <w:lang w:val="en-US" w:eastAsia="zh-CN"/>
        </w:rPr>
        <w:t>区域</w:t>
      </w:r>
      <w:r>
        <w:rPr>
          <w:rFonts w:hint="eastAsia"/>
          <w:color w:val="auto"/>
          <w:sz w:val="28"/>
          <w:szCs w:val="28"/>
          <w:lang w:val="en-US"/>
        </w:rPr>
        <w:t>基本没有影响</w:t>
      </w:r>
      <w:r>
        <w:rPr>
          <w:rFonts w:hint="eastAsia"/>
          <w:color w:val="auto"/>
          <w:sz w:val="28"/>
          <w:szCs w:val="28"/>
          <w:lang w:val="en-US" w:eastAsia="zh-CN"/>
        </w:rPr>
        <w:t>，</w:t>
      </w:r>
      <w:r>
        <w:rPr>
          <w:rFonts w:ascii="宋体" w:eastAsia="宋体" w:cs="宋体" w:hAnsi="宋体" w:hint="eastAsia"/>
          <w:color w:val="auto"/>
          <w:kern w:val="0"/>
          <w:sz w:val="28"/>
          <w:szCs w:val="28"/>
          <w:lang w:val="en-US" w:eastAsia="zh-CN"/>
        </w:rPr>
        <w:t>是可行的。</w:t>
      </w:r>
    </w:p>
    <w:p>
      <w:pPr>
        <w:pStyle w:val="18"/>
        <w:rPr>
          <w:color w:val="auto"/>
          <w:lang w:val="en-US"/>
        </w:rPr>
      </w:pPr>
    </w:p>
    <w:p>
      <w:pPr>
        <w:pStyle w:val="1"/>
        <w:numPr>
          <w:ilvl w:val="0"/>
          <w:numId w:val="0"/>
        </w:numPr>
        <w:spacing w:before="260" w:line="360" w:lineRule="auto"/>
        <w:ind w:left="420"/>
        <w:jc w:val="center"/>
        <w:rPr>
          <w:rFonts w:ascii="宋体" w:eastAsia="宋体" w:cs="宋体" w:hAnsi="宋体" w:hint="eastAsia"/>
          <w:bCs/>
          <w:color w:val="auto"/>
          <w:sz w:val="32"/>
          <w:szCs w:val="32"/>
          <w:lang w:eastAsia="zh-CN"/>
        </w:rPr>
      </w:pPr>
      <w:bookmarkStart w:id="65" w:name="_Toc19250"/>
      <w:bookmarkStart w:id="66" w:name="_Toc21433"/>
      <w:bookmarkStart w:id="67" w:name="_Toc19556"/>
      <w:bookmarkStart w:id="68" w:name="_Toc11234"/>
      <w:bookmarkStart w:id="69" w:name="_Toc21643"/>
      <w:r>
        <w:rPr>
          <w:rFonts w:ascii="宋体" w:eastAsia="宋体" w:cs="宋体" w:hAnsi="宋体" w:hint="eastAsia"/>
          <w:bCs/>
          <w:color w:val="auto"/>
          <w:sz w:val="32"/>
          <w:szCs w:val="32"/>
          <w:lang w:eastAsia="zh-CN"/>
        </w:rPr>
        <w:t>第九章</w:t>
      </w:r>
      <w:r>
        <w:rPr>
          <w:rFonts w:ascii="宋体" w:eastAsia="宋体" w:cs="宋体" w:hAnsi="宋体" w:hint="eastAsia"/>
          <w:bCs/>
          <w:color w:val="auto"/>
          <w:sz w:val="32"/>
          <w:szCs w:val="32"/>
          <w:lang w:val="en-US" w:eastAsia="zh-CN"/>
        </w:rPr>
        <w:t xml:space="preserve"> </w:t>
      </w:r>
      <w:bookmarkEnd w:id="65"/>
      <w:bookmarkEnd w:id="66"/>
      <w:bookmarkEnd w:id="67"/>
      <w:bookmarkEnd w:id="68"/>
      <w:r>
        <w:rPr>
          <w:rFonts w:ascii="宋体" w:eastAsia="宋体" w:cs="宋体" w:hAnsi="宋体" w:hint="eastAsia"/>
          <w:bCs/>
          <w:color w:val="auto"/>
          <w:sz w:val="32"/>
          <w:szCs w:val="32"/>
          <w:lang w:eastAsia="zh-CN"/>
        </w:rPr>
        <w:t>附则</w:t>
      </w:r>
      <w:bookmarkEnd w:id="69"/>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70" w:name="_Toc17013"/>
      <w:bookmarkStart w:id="71" w:name="_Toc16796"/>
      <w:bookmarkStart w:id="72" w:name="_Toc5762"/>
      <w:bookmarkStart w:id="73" w:name="_Toc815"/>
      <w:bookmarkStart w:id="74" w:name="_Toc28562"/>
      <w:r>
        <w:rPr>
          <w:rFonts w:ascii="宋体" w:eastAsia="宋体" w:cs="宋体" w:hAnsi="宋体" w:hint="eastAsia"/>
          <w:bCs/>
          <w:color w:val="auto"/>
          <w:sz w:val="32"/>
          <w:szCs w:val="32"/>
          <w:lang w:val="en-US" w:eastAsia="zh-CN"/>
        </w:rPr>
        <w:t>9.1</w:t>
      </w:r>
      <w:bookmarkEnd w:id="70"/>
      <w:bookmarkEnd w:id="71"/>
      <w:bookmarkEnd w:id="72"/>
      <w:bookmarkEnd w:id="73"/>
      <w:r>
        <w:rPr>
          <w:rFonts w:ascii="宋体" w:eastAsia="宋体" w:cs="宋体" w:hAnsi="宋体" w:hint="eastAsia"/>
          <w:bCs/>
          <w:color w:val="auto"/>
          <w:sz w:val="32"/>
          <w:szCs w:val="32"/>
          <w:lang w:val="en-US" w:eastAsia="zh-CN"/>
        </w:rPr>
        <w:t>规划成果构成</w:t>
      </w:r>
      <w:bookmarkEnd w:id="74"/>
    </w:p>
    <w:p>
      <w:pPr>
        <w:pStyle w:val="18"/>
        <w:autoSpaceDE w:val="0"/>
        <w:autoSpaceDN w:val="0"/>
        <w:spacing w:before="4" w:line="420" w:lineRule="auto"/>
        <w:ind w:left="118" w:right="351" w:firstLine="479"/>
        <w:rPr>
          <w:rFonts w:hint="eastAsia"/>
          <w:color w:val="auto"/>
          <w:sz w:val="28"/>
          <w:szCs w:val="28"/>
          <w:lang w:val="en-US" w:eastAsia="zh-CN"/>
        </w:rPr>
      </w:pPr>
      <w:r>
        <w:rPr>
          <w:rFonts w:ascii="宋体" w:eastAsia="宋体" w:cs="宋体" w:hAnsi="宋体" w:hint="eastAsia"/>
          <w:color w:val="auto"/>
          <w:kern w:val="0"/>
          <w:sz w:val="28"/>
          <w:szCs w:val="28"/>
        </w:rPr>
        <w:t>钦州低风速二期分散式风电场工程项目</w:t>
      </w:r>
      <w:r>
        <w:rPr>
          <w:rFonts w:hint="eastAsia"/>
          <w:color w:val="auto"/>
          <w:sz w:val="28"/>
          <w:szCs w:val="28"/>
          <w:lang w:val="en-US" w:eastAsia="zh-CN"/>
        </w:rPr>
        <w:t>独立地块控制性详细规划成果由规划图纸、图则、附件和数据库构成。附件包括规划说明、专家论证意见、部门意见及修改落实情况说明等。图纸、图则应与规划说明结合使用。</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75" w:name="_Toc1273"/>
      <w:bookmarkStart w:id="76" w:name="_Toc13421"/>
      <w:bookmarkStart w:id="77" w:name="_Toc2377"/>
      <w:bookmarkStart w:id="78" w:name="_Toc539"/>
      <w:bookmarkStart w:id="79" w:name="_Toc6553"/>
      <w:r>
        <w:rPr>
          <w:rFonts w:ascii="宋体" w:eastAsia="宋体" w:cs="宋体" w:hAnsi="宋体" w:hint="eastAsia"/>
          <w:bCs/>
          <w:color w:val="auto"/>
          <w:sz w:val="32"/>
          <w:szCs w:val="32"/>
          <w:lang w:val="en-US" w:eastAsia="zh-CN"/>
        </w:rPr>
        <w:t>9.2规划控制指标</w:t>
      </w:r>
      <w:bookmarkEnd w:id="75"/>
      <w:bookmarkEnd w:id="76"/>
      <w:bookmarkEnd w:id="77"/>
      <w:bookmarkEnd w:id="78"/>
      <w:bookmarkEnd w:id="79"/>
    </w:p>
    <w:p>
      <w:pPr>
        <w:pStyle w:val="18"/>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规划控制指标分别为约束性指标和指导性指标。用地性质、用地面积、容积率、建筑密度/建筑系数、绿地率、建筑限高原则上为约束性指标，约束性指标应该严格遵守，指导性指标可根据规划管理的需求进行适当的调整，并由规划管理部门根据实际情况对控制内容进行适时更新。</w:t>
      </w:r>
    </w:p>
    <w:p>
      <w:pPr>
        <w:pStyle w:val="1"/>
        <w:numPr>
          <w:ilvl w:val="0"/>
          <w:numId w:val="0"/>
        </w:numPr>
        <w:spacing w:before="260" w:line="360" w:lineRule="auto"/>
        <w:ind w:left="420"/>
        <w:rPr>
          <w:rFonts w:ascii="宋体" w:eastAsia="宋体" w:cs="宋体" w:hAnsi="宋体" w:hint="eastAsia"/>
          <w:bCs/>
          <w:color w:val="auto"/>
          <w:sz w:val="32"/>
          <w:szCs w:val="32"/>
          <w:lang w:val="en-US" w:eastAsia="zh-CN"/>
        </w:rPr>
      </w:pPr>
      <w:bookmarkStart w:id="80" w:name="_Toc20710"/>
      <w:r>
        <w:rPr>
          <w:rFonts w:ascii="宋体" w:eastAsia="宋体" w:cs="宋体" w:hAnsi="宋体" w:hint="eastAsia"/>
          <w:bCs/>
          <w:color w:val="auto"/>
          <w:sz w:val="32"/>
          <w:szCs w:val="32"/>
          <w:lang w:val="en-US" w:eastAsia="zh-CN"/>
        </w:rPr>
        <w:t>9.3规划实施保障措施</w:t>
      </w:r>
      <w:bookmarkEnd w:id="80"/>
    </w:p>
    <w:p>
      <w:pPr>
        <w:pStyle w:val="18"/>
        <w:autoSpaceDE w:val="0"/>
        <w:autoSpaceDN w:val="0"/>
        <w:spacing w:before="4" w:line="420" w:lineRule="auto"/>
        <w:ind w:right="351" w:firstLineChars="200" w:firstLine="560"/>
        <w:rPr>
          <w:rFonts w:hint="eastAsia"/>
          <w:color w:val="auto"/>
          <w:sz w:val="28"/>
          <w:szCs w:val="28"/>
          <w:lang w:val="en-US" w:eastAsia="zh-CN"/>
        </w:rPr>
      </w:pPr>
      <w:r>
        <w:rPr>
          <w:rFonts w:hint="eastAsia"/>
          <w:color w:val="auto"/>
          <w:sz w:val="28"/>
          <w:szCs w:val="28"/>
          <w:lang w:val="en-US" w:eastAsia="zh-CN"/>
        </w:rPr>
        <w:t>（1）严格贯彻《中华人民共和国城乡规划法》，依法进行规划、建设和管理，保证本规划的落实。</w:t>
      </w:r>
    </w:p>
    <w:p>
      <w:pPr>
        <w:pStyle w:val="18"/>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（2）大力宣传规划，提高公众对规划的参与意识和监督意识，增强民众支持规划、服从规划的自觉性。</w:t>
      </w:r>
    </w:p>
    <w:p>
      <w:pPr>
        <w:pStyle w:val="18"/>
        <w:autoSpaceDE w:val="0"/>
        <w:autoSpaceDN w:val="0"/>
        <w:spacing w:before="4" w:line="420" w:lineRule="auto"/>
        <w:ind w:left="118" w:right="351" w:firstLine="479"/>
        <w:rPr>
          <w:rFonts w:hint="eastAsia"/>
          <w:color w:val="auto"/>
          <w:sz w:val="28"/>
          <w:szCs w:val="28"/>
          <w:lang w:val="en-US" w:eastAsia="zh-CN"/>
        </w:rPr>
      </w:pPr>
      <w:r>
        <w:rPr>
          <w:rFonts w:hint="eastAsia"/>
          <w:color w:val="auto"/>
          <w:sz w:val="28"/>
          <w:szCs w:val="28"/>
          <w:lang w:val="en-US" w:eastAsia="zh-CN"/>
        </w:rPr>
        <w:t>（3）加强规划管理队伍的建设，加强对规划管理队伍的领导，充分发挥规划管理部门的职能作用。明确各级政府部门实施规划的权利和义务，建立违法、违规、违章的责任追究机制，提高规划的权威性和严肃性。</w:t>
      </w:r>
    </w:p>
    <w:p>
      <w:pPr>
        <w:pStyle w:val="18"/>
        <w:autoSpaceDE w:val="0"/>
        <w:autoSpaceDN w:val="0"/>
        <w:spacing w:before="4" w:line="420" w:lineRule="auto"/>
        <w:ind w:left="118" w:right="351" w:firstLine="479"/>
        <w:rPr>
          <w:rFonts w:ascii="宋体" w:eastAsia="宋体" w:cs="宋体" w:hAnsi="宋体"/>
          <w:color w:val="auto"/>
          <w:kern w:val="0"/>
          <w:sz w:val="24"/>
        </w:rPr>
      </w:pPr>
      <w:r>
        <w:rPr>
          <w:rFonts w:hint="eastAsia"/>
          <w:color w:val="auto"/>
          <w:sz w:val="28"/>
          <w:szCs w:val="28"/>
          <w:lang w:val="en-US" w:eastAsia="zh-CN"/>
        </w:rPr>
        <w:t>（4）本规划经钦北区人民政府批准后，自公布之日起施行，规划成果不得擅自随意更改。在规划实施过程中，如有确实需要修改的内容，应按《中华人民共和国城乡规划法》第四章之规定执行。</w:t>
      </w:r>
    </w:p>
    <w:p>
      <w:pPr>
        <w:widowControl/>
        <w:jc w:val="left"/>
        <w:rPr>
          <w:rFonts w:ascii="宋体" w:eastAsia="宋体" w:cs="宋体" w:hAnsi="宋体"/>
          <w:color w:val="auto"/>
          <w:kern w:val="0"/>
          <w:sz w:val="28"/>
          <w:szCs w:val="28"/>
        </w:rPr>
      </w:pPr>
      <w:bookmarkEnd w:id="9"/>
      <w:bookmarkEnd w:id="10"/>
      <w:bookmarkEnd w:id="11"/>
      <w:bookmarkEnd w:id="12"/>
      <w:bookmarkEnd w:id="13"/>
      <w:bookmarkEnd w:id="14"/>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rFonts w:ascii="宋体" w:eastAsia="宋体" w:cs="宋体" w:hAnsi="宋体"/>
          <w:color w:val="auto"/>
          <w:kern w:val="0"/>
          <w:sz w:val="24"/>
        </w:rPr>
      </w:pPr>
    </w:p>
    <w:p>
      <w:pPr>
        <w:rPr>
          <w:rFonts w:ascii="宋体" w:eastAsia="宋体" w:cs="宋体" w:hAnsi="宋体"/>
          <w:color w:val="auto"/>
          <w:kern w:val="0"/>
          <w:sz w:val="24"/>
        </w:rPr>
      </w:pPr>
    </w:p>
    <w:p>
      <w:pPr>
        <w:pStyle w:val="15"/>
        <w:rPr>
          <w:color w:val="auto"/>
        </w:rPr>
      </w:pPr>
    </w:p>
    <w:p>
      <w:pPr>
        <w:widowControl/>
        <w:jc w:val="left"/>
        <w:rPr>
          <w:rFonts w:ascii="宋体" w:eastAsia="宋体" w:cs="宋体" w:hAnsi="宋体"/>
          <w:color w:val="auto"/>
          <w:kern w:val="0"/>
          <w:sz w:val="28"/>
          <w:szCs w:val="28"/>
        </w:rPr>
      </w:pPr>
    </w:p>
    <w:p>
      <w:pPr>
        <w:pStyle w:val="18"/>
        <w:rPr>
          <w:rFonts w:ascii="宋体" w:eastAsia="宋体" w:cs="宋体" w:hAnsi="宋体"/>
          <w:color w:val="auto"/>
          <w:kern w:val="0"/>
          <w:sz w:val="28"/>
          <w:szCs w:val="28"/>
        </w:rPr>
      </w:pPr>
    </w:p>
    <w:p>
      <w:pPr>
        <w:rPr>
          <w:rFonts w:ascii="宋体" w:eastAsia="宋体" w:cs="宋体" w:hAnsi="宋体"/>
          <w:color w:val="auto"/>
          <w:kern w:val="0"/>
          <w:sz w:val="28"/>
          <w:szCs w:val="28"/>
        </w:rPr>
      </w:pPr>
    </w:p>
    <w:p>
      <w:pPr>
        <w:rPr>
          <w:rFonts w:hint="eastAsia"/>
          <w:color w:val="auto"/>
          <w:lang w:eastAsia="zh-CN"/>
        </w:rPr>
      </w:pPr>
    </w:p>
    <w:sectPr>
      <w:footerReference w:type="default" r:id="rId5"/>
      <w:pgSz w:w="11906" w:h="16838"/>
      <w:pgMar w:top="1440" w:right="1800" w:bottom="1440" w:left="1800" w:header="851" w:footer="992" w:gutter="0"/>
      <w:pgNumType w:start="1"/>
      <w:docGrid w:type="lines" w:linePitch="312" w:charSpace="0"/>
    </w:sectPr>
  </w:body>
</w:document>
</file>

<file path=word/fontTable.xml><?xml version="1.0" encoding="utf-8"?>
<w:fonts xmlns:w="http://schemas.openxmlformats.org/wordprocessingml/2006/main" xmlns:r="http://schemas.openxmlformats.org/officeDocument/2006/relationships">
  <w:font w:name="宋体">
    <w:panose1 w:val="02010600030101010101"/>
    <w:charset w:val="80"/>
    <w:family w:val="auto"/>
    <w:pitch w:val="variable"/>
    <w:sig w:usb0="00000003" w:usb1="288F0000" w:usb2="00000006" w:usb3="00000000" w:csb0="00040001" w:csb1="00000000"/>
  </w:font>
  <w:font w:name="Times New Roman">
    <w:panose1 w:val="02020603050405020304"/>
    <w:charset w:val="86"/>
    <w:family w:val="auto"/>
    <w:pitch w:val="variable"/>
    <w:sig w:usb0="E0002AFF" w:usb1="C0007841" w:usb2="00000009" w:usb3="00000000" w:csb0="400001FF" w:csb1="FFFF0000"/>
  </w:font>
  <w:font w:name="黑体">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2000019F" w:csb1="00000000"/>
  </w:font>
  <w:font w:name="Sans-serif">
    <w:panose1 w:val="00000000000000000000"/>
    <w:charset w:val="00"/>
    <w:family w:val="auto"/>
    <w:pitch w:val="variable"/>
    <w:sig w:usb0="00000000" w:usb1="00000000" w:usb2="00000000" w:usb3="00000000" w:csb0="00000000" w:csb1="00000000"/>
  </w:font>
  <w:font w:name="Arial">
    <w:panose1 w:val="020B0604020202020204"/>
    <w:charset w:val="01"/>
    <w:family w:val="swiss"/>
    <w:pitch w:val="variable"/>
    <w:sig w:usb0="E0002AFF" w:usb1="C0007843" w:usb2="00000009" w:usb3="00000000" w:csb0="400001FF" w:csb1="FFFF0000"/>
  </w:font>
  <w:font w:name="Courier New">
    <w:panose1 w:val="02070409020205090404"/>
    <w:charset w:val="00"/>
    <w:family w:val="auto"/>
    <w:pitch w:val="variable"/>
    <w:sig w:usb0="00007A87" w:usb1="80000000" w:usb2="00000008" w:usb3="00000000" w:csb0="400001FF" w:csb1="FFFF0000"/>
  </w:font>
  <w:font w:name="Cambria">
    <w:panose1 w:val="02040503050406030204"/>
    <w:charset w:val="00"/>
    <w:family w:val="roman"/>
    <w:pitch w:val="variable"/>
    <w:sig w:usb0="E00002FF" w:usb1="400004FF" w:usb2="00000000" w:usb3="00000000" w:csb0="2000019F" w:csb1="00000000"/>
  </w:font>
  <w:font w:name="仿宋_GB2312">
    <w:panose1 w:val="02010609030101010101"/>
    <w:charset w:val="86"/>
    <w:family w:val="modern"/>
    <w:pitch w:val="variable"/>
    <w:sig w:usb0="00000001" w:usb1="080E0000" w:usb2="00000000" w:usb3="00000000" w:csb0="00040000" w:csb1="00000000"/>
  </w:font>
</w:fonts>
</file>

<file path=word/footer1.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8"/>
      <w:spacing w:line="14" w:lineRule="auto"/>
      <w:rPr>
        <w:sz w:val="20"/>
      </w:rPr>
    </w:pPr>
  </w:p>
</w:ftr>
</file>

<file path=word/footer2.xml><?xml version="1.0" encoding="utf-8"?>
<w:ftr xmlns:w="http://schemas.openxmlformats.org/wordprocessingml/2006/main" xmlns:o="urn:schemas-microsoft-com:office:office" xmlns:r="http://schemas.openxmlformats.org/officeDocument/2006/relationships" xmlns:m="http://schemas.openxmlformats.org/officeDocument/2006/math" xmlns:v="urn:schemas-microsoft-com:vml" xmlns:a="http://schemas.openxmlformats.org/drawingml/2006/main" xmlns:wps="http://schemas.microsoft.com/office/word/2010/wordprocessingShape" xmlns:wp="http://schemas.openxmlformats.org/drawingml/2006/wordprocessingDrawing" xmlns:pic="http://schemas.openxmlformats.org/drawingml/2006/picture" xmlns:mc="http://schemas.openxmlformats.org/markup-compatibility/2006" xmlns:wpg="http://schemas.microsoft.com/office/word/2010/wordprocessingGroup" xmlns:wpc="http://schemas.microsoft.com/office/word/2010/wordprocessingCanvas" xmlns:w10="urn:schemas-microsoft-com:office:word" xmlns:w14="http://schemas.microsoft.com/office/word/2010/wordml" xmlns:w15="http://schemas.microsoft.com/office/word/2012/wordml" xmlns:a14="http://schemas.microsoft.com/office/drawing/2010/main" mc:Ignorable="w14 w15">
  <w:p>
    <w:pPr>
      <w:pStyle w:val="18"/>
      <w:spacing w:line="14" w:lineRule="auto"/>
      <w:rPr>
        <w:sz w:val="20"/>
      </w:rPr>
    </w:pPr>
    <w:r>
      <mc:AlternateContent>
        <mc:Choice Requires="wps">
          <w:drawing>
            <wp:anchor distT="0" distB="0" distL="114298" distR="114298" simplePos="0" relativeHeight="2" behindDoc="1" locked="0" layoutInCell="1" hidden="0" allowOverlap="1">
              <wp:simplePos x="0" y="0"/>
              <wp:positionH relativeFrom="page">
                <wp:posOffset>3696334</wp:posOffset>
              </wp:positionH>
              <wp:positionV relativeFrom="page">
                <wp:posOffset>9885045</wp:posOffset>
              </wp:positionV>
              <wp:extent cx="167005" cy="139699"/>
              <wp:effectExtent l="0" t="0" r="0" b="0"/>
              <wp:wrapNone/>
              <wp:docPr id="7" name="文本框 5"/>
              <wp:cNvGraphicFramePr>
                <a:graphicFrameLocks noChangeAspect="0"/>
              </wp:cNvGraphicFramePr>
              <a:graphic>
                <a:graphicData uri="http://schemas.microsoft.com/office/word/2010/wordprocessingShape">
                  <wps:wsp>
                    <wps:cNvSpPr/>
                    <wps:spPr>
                      <a:xfrm rot="0">
                        <a:off x="0" y="0"/>
                        <a:ext cx="167005" cy="139699"/>
                      </a:xfrm>
                      <a:prstGeom prst="rect"/>
                      <a:noFill/>
                      <a:ln w="9525" cmpd="sng" cap="flat">
                        <a:noFill/>
                        <a:prstDash val="solid"/>
                        <a:round/>
                      </a:ln>
                    </wps:spPr>
                    <wps:txbx id="8">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wps:txbx>
                    <wps:bodyPr vert="horz" wrap="square" lIns="0" tIns="0" rIns="0" bIns="0" anchor="t" anchorCtr="0" upright="1">
                      <a:noAutofit/>
                    </wps:bodyPr>
                  </wps:wsp>
                </a:graphicData>
              </a:graphic>
            </wp:anchor>
          </w:drawing>
        </mc:Choice>
        <mc:Fallback>
          <w:pict>
            <v:shape type="#_x0000_t202" id="文本框 5 9" o:spid="_x0000_s9" filled="f" stroked="f" style="position:absolute;margin-left:291.05pt;margin-top:778.35pt;width:13.15pt;height:10.999985pt;z-index:-31;mso-position-horizontal:absolute;mso-position-horizontal-relative:page;mso-position-vertical:absolute;mso-position-vertical-relative:page;mso-wrap-distance-left:8.999863pt;mso-wrap-distance-right:8.999863pt;mso-wrap-style:square;">
              <v:stroke color="#000000"/>
              <v:textbox id="874" inset="0mm,0mm,0mm,0mm" o:insetmode="custom" style="layout-flow:horizontal;v-text-anchor:top;">
                <w:txbxContent>
                  <w:p>
                    <w:pPr>
                      <w:spacing w:line="203" w:lineRule="exact"/>
                      <w:ind w:left="40"/>
                      <w:jc w:val="left"/>
                      <w:rPr>
                        <w:rFonts w:ascii="Calibri" w:hAnsi="Calibri"/>
                        <w:sz w:val="18"/>
                      </w:rPr>
                    </w:pPr>
                    <w:r>
                      <w:rPr>
                        <w:rFonts w:ascii="Calibri" w:hAnsi="Calibri"/>
                        <w:sz w:val="18"/>
                      </w:rPr>
                      <w:fldChar w:fldCharType="begin"/>
                    </w:r>
                    <w:r>
                      <w:rPr>
                        <w:rFonts w:ascii="Calibri" w:hAnsi="Calibri"/>
                        <w:sz w:val="18"/>
                      </w:rPr>
                      <w:instrText xml:space="preserve"> PAGE </w:instrText>
                    </w:r>
                    <w:r>
                      <w:fldChar w:fldCharType="separate"/>
                    </w:r>
                    <w:r>
                      <w:rPr>
                        <w:rFonts w:ascii="Calibri" w:hAnsi="Calibri"/>
                        <w:sz w:val="18"/>
                      </w:rPr>
                      <w:t>24</w:t>
                    </w:r>
                    <w:r>
                      <w:fldChar w:fldCharType="end"/>
                    </w:r>
                  </w:p>
                </w:txbxContent>
              </v:textbox>
            </v:shape>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m="http://schemas.openxmlformats.org/officeDocument/2006/math" xmlns:v="urn:schemas-microsoft-com:vml" xmlns:mc="http://schemas.openxmlformats.org/markup-compatibility/2006" xmlns:w14="http://schemas.microsoft.com/office/word/2010/wordml">
  <w:abstractNum w:abstractNumId="0">
    <w:nsid w:val="744F699E"/>
    <w:multiLevelType w:val="singleLevel"/>
    <w:tmpl w:val="744F699E"/>
    <w:lvl w:ilvl="0">
      <w:start w:val="1"/>
      <w:numFmt w:val="chineseCounting"/>
      <w:lvlRestart w:val="0"/>
      <w:suff w:val="space"/>
      <w:lvlText w:val="第%1章"/>
      <w:lvlJc w:val="left"/>
      <w:pPr>
        <w:ind w:left="0" w:hanging="0"/>
      </w:pPr>
      <w:rPr>
        <w:rFonts w:hint="eastAsia"/>
      </w:rPr>
    </w:lvl>
  </w:abstractNum>
  <w:abstractNum w:abstractNumId="1">
    <w:nsid w:val="B6E8E2DF"/>
    <w:multiLevelType w:val="singleLevel"/>
    <w:tmpl w:val="B6E8E2DF"/>
    <w:lvl w:ilvl="0">
      <w:start w:val="3"/>
      <w:numFmt w:val="decimal"/>
      <w:lvlRestart w:val="0"/>
      <w:suff w:val="nothing"/>
      <w:lvlText w:val="（%1）"/>
      <w:lvlJc w:val="left"/>
      <w:pPr>
        <w:ind w:left="0" w:hanging="0"/>
      </w:pPr>
    </w:lvl>
  </w:abstractNum>
  <w:abstractNum w:abstractNumId="2">
    <w:nsid w:val="53AE7EC3"/>
    <w:multiLevelType w:val="singleLevel"/>
    <w:tmpl w:val="53AE7EC3"/>
    <w:lvl w:ilvl="0">
      <w:start w:val="1"/>
      <w:numFmt w:val="decimal"/>
      <w:lvlRestart w:val="0"/>
      <w:suff w:val="nothing"/>
      <w:lvlText w:val="（%1）"/>
      <w:lvlJc w:val="left"/>
      <w:pPr>
        <w:ind w:left="0" w:hanging="0"/>
      </w:pPr>
    </w:lvl>
  </w:abstractNum>
  <w:abstractNum w:abstractNumId="3">
    <w:nsid w:val="9B90A9E7"/>
    <w:multiLevelType w:val="singleLevel"/>
    <w:tmpl w:val="9B90A9E7"/>
    <w:lvl w:ilvl="0">
      <w:start w:val="1"/>
      <w:numFmt w:val="decimal"/>
      <w:lvlRestart w:val="0"/>
      <w:suff w:val="nothing"/>
      <w:lvlText w:val="%1）"/>
      <w:lvlJc w:val="left"/>
      <w:pPr>
        <w:ind w:left="0" w:hanging="0"/>
      </w:pPr>
    </w:lvl>
  </w:abstractNum>
  <w:abstractNum w:abstractNumId="4">
    <w:nsid w:val="FBBAF1C3"/>
    <w:multiLevelType w:val="multilevel"/>
    <w:tmpl w:val="7576BC7F"/>
    <w:lvl w:ilvl="0">
      <w:start w:val="1"/>
      <w:numFmt w:val="chineseCounting"/>
      <w:lvlRestart w:val="0"/>
      <w:pStyle w:val="1"/>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w:zoom w:percent="10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1"/>
  <w:noPunctuationKerning/>
  <w:characterSpacingControl w:val="compressPunctuation"/>
  <w:compat>
    <w:spaceForUL/>
    <w:balanceSingleByteDoubleByteWidth/>
    <w:ulTrailSpace/>
    <w:doNotExpandShiftReturn/>
    <w:adjustLineHeightInTable/>
    <w:compatSetting w:name="compatibilityMode" w:uri="http://schemas.microsoft.com/office/word" w:val="14"/>
  </w:compat>
  <w:docVars>
    <w:docVar w:name="commondata" w:val="eyJoZGlkIjoiZGIxOWNlZTBkZTU1Zjc0NjkxMjNmYmQ3NGVkZjdkOWQifQ=="/>
  </w:docVars>
</w:settings>
</file>

<file path=word/styles.xml><?xml version="1.0" encoding="utf-8"?>
<w:styles xmlns:w="http://schemas.openxmlformats.org/wordprocessingml/2006/main" xmlns:r="http://schemas.openxmlformats.org/officeDocument/2006/relationships">
  <w:docDefaults>
    <w:rPrDefault>
      <w:rPr>
        <w:rFonts w:ascii="Times New Roman" w:eastAsia="宋体" w:hAnsi="Times New Roman" w:cs="Arial"/>
        <w:lang w:val="en-US" w:eastAsia="zh-CN" w:bidi="ar-SA"/>
      </w:rPr>
    </w:rPrDefault>
    <w:pPrDefault/>
  </w:docDefaults>
  <w:style w:type="paragraph" w:default="1" w:styleId="0">
    <w:name w:val="Normal"/>
    <w:autoRedefine/>
    <w:next w:val="15"/>
    <w:pPr>
      <w:widowControl w:val="0"/>
      <w:jc w:val="both"/>
    </w:pPr>
    <w:rPr>
      <w:rFonts w:ascii="Calibri" w:eastAsia="宋体" w:cs="Arial" w:hAnsi="Times New Roman"/>
      <w:kern w:val="2"/>
      <w:sz w:val="21"/>
      <w:szCs w:val="24"/>
      <w:lang w:val="en-US" w:eastAsia="zh-CN" w:bidi="ar-SA"/>
    </w:rPr>
  </w:style>
  <w:style w:type="paragraph" w:styleId="1">
    <w:name w:val="heading 1"/>
    <w:basedOn w:val="0"/>
    <w:next w:val="0"/>
    <w:pPr>
      <w:keepNext/>
      <w:keepLines/>
      <w:widowControl w:val="0"/>
      <w:numPr>
        <w:ilvl w:val="0"/>
        <w:numId w:val="5"/>
      </w:numPr>
      <w:spacing w:line="576" w:lineRule="auto"/>
      <w:outlineLvl w:val="0"/>
    </w:pPr>
    <w:rPr>
      <w:b/>
      <w:kern w:val="44"/>
      <w:sz w:val="44"/>
    </w:rPr>
  </w:style>
  <w:style w:type="paragraph" w:styleId="2">
    <w:name w:val="heading 2"/>
    <w:basedOn w:val="0"/>
    <w:next w:val="0"/>
    <w:pPr>
      <w:keepNext/>
      <w:keepLines/>
      <w:widowControl w:val="0"/>
      <w:numPr>
        <w:ilvl w:val="1"/>
        <w:numId w:val="5"/>
      </w:numPr>
      <w:spacing w:line="413" w:lineRule="auto"/>
      <w:outlineLvl w:val="1"/>
    </w:pPr>
    <w:rPr>
      <w:rFonts w:ascii="Arial" w:eastAsia="黑体" w:hAnsi="Arial"/>
      <w:b/>
      <w:sz w:val="32"/>
    </w:rPr>
  </w:style>
  <w:style w:type="paragraph" w:styleId="3">
    <w:name w:val="heading 3"/>
    <w:basedOn w:val="0"/>
    <w:autoRedefine/>
    <w:next w:val="0"/>
    <w:pPr>
      <w:keepNext/>
      <w:keepLines/>
      <w:widowControl w:val="0"/>
      <w:numPr>
        <w:ilvl w:val="2"/>
        <w:numId w:val="5"/>
      </w:numPr>
      <w:spacing w:line="413" w:lineRule="auto"/>
      <w:outlineLvl w:val="2"/>
    </w:pPr>
    <w:rPr>
      <w:b/>
      <w:sz w:val="32"/>
    </w:rPr>
  </w:style>
  <w:style w:type="paragraph" w:styleId="4">
    <w:name w:val="heading 4"/>
    <w:basedOn w:val="0"/>
    <w:next w:val="0"/>
    <w:pPr>
      <w:keepNext/>
      <w:keepLines/>
      <w:widowControl w:val="0"/>
      <w:numPr>
        <w:ilvl w:val="3"/>
        <w:numId w:val="5"/>
      </w:numPr>
      <w:spacing w:line="372" w:lineRule="auto"/>
      <w:outlineLvl w:val="3"/>
    </w:pPr>
    <w:rPr>
      <w:rFonts w:ascii="Arial" w:eastAsia="黑体" w:hAnsi="Arial"/>
      <w:b/>
      <w:sz w:val="28"/>
    </w:rPr>
  </w:style>
  <w:style w:type="paragraph" w:styleId="5">
    <w:name w:val="heading 5"/>
    <w:basedOn w:val="0"/>
    <w:autoRedefine/>
    <w:next w:val="0"/>
    <w:pPr>
      <w:keepNext/>
      <w:keepLines/>
      <w:widowControl w:val="0"/>
      <w:numPr>
        <w:ilvl w:val="4"/>
        <w:numId w:val="5"/>
      </w:numPr>
      <w:spacing w:line="372" w:lineRule="auto"/>
      <w:outlineLvl w:val="4"/>
    </w:pPr>
    <w:rPr>
      <w:b/>
      <w:sz w:val="28"/>
    </w:rPr>
  </w:style>
  <w:style w:type="paragraph" w:styleId="6">
    <w:name w:val="heading 6"/>
    <w:basedOn w:val="0"/>
    <w:autoRedefine/>
    <w:next w:val="0"/>
    <w:pPr>
      <w:keepNext/>
      <w:keepLines/>
      <w:widowControl w:val="0"/>
      <w:numPr>
        <w:ilvl w:val="5"/>
        <w:numId w:val="5"/>
      </w:numPr>
      <w:spacing w:line="317" w:lineRule="auto"/>
      <w:outlineLvl w:val="5"/>
    </w:pPr>
    <w:rPr>
      <w:rFonts w:ascii="Arial" w:eastAsia="黑体" w:hAnsi="Arial"/>
      <w:b/>
      <w:sz w:val="24"/>
    </w:rPr>
  </w:style>
  <w:style w:type="paragraph" w:styleId="7">
    <w:name w:val="heading 7"/>
    <w:basedOn w:val="0"/>
    <w:autoRedefine/>
    <w:next w:val="0"/>
    <w:pPr>
      <w:keepNext/>
      <w:keepLines/>
      <w:widowControl w:val="0"/>
      <w:numPr>
        <w:ilvl w:val="6"/>
        <w:numId w:val="5"/>
      </w:numPr>
      <w:spacing w:line="317" w:lineRule="auto"/>
      <w:outlineLvl w:val="6"/>
    </w:pPr>
    <w:rPr>
      <w:b/>
      <w:sz w:val="24"/>
    </w:rPr>
  </w:style>
  <w:style w:type="paragraph" w:styleId="8">
    <w:name w:val="heading 8"/>
    <w:basedOn w:val="0"/>
    <w:autoRedefine/>
    <w:next w:val="0"/>
    <w:pPr>
      <w:keepNext/>
      <w:keepLines/>
      <w:widowControl w:val="0"/>
      <w:numPr>
        <w:ilvl w:val="7"/>
        <w:numId w:val="5"/>
      </w:numPr>
      <w:spacing w:line="317" w:lineRule="auto"/>
      <w:outlineLvl w:val="7"/>
    </w:pPr>
    <w:rPr>
      <w:rFonts w:ascii="Arial" w:eastAsia="黑体" w:hAnsi="Arial"/>
      <w:sz w:val="24"/>
    </w:rPr>
  </w:style>
  <w:style w:type="paragraph" w:styleId="9">
    <w:name w:val="heading 9"/>
    <w:basedOn w:val="0"/>
    <w:autoRedefine/>
    <w:next w:val="0"/>
    <w:pPr>
      <w:keepNext/>
      <w:keepLines/>
      <w:widowControl w:val="0"/>
      <w:numPr>
        <w:ilvl w:val="8"/>
        <w:numId w:val="5"/>
      </w:numPr>
      <w:spacing w:line="317" w:lineRule="auto"/>
      <w:outlineLvl w:val="8"/>
    </w:pPr>
    <w:rPr>
      <w:rFonts w:ascii="Arial" w:eastAsia="黑体" w:hAnsi="Arial"/>
    </w:rPr>
  </w:style>
  <w:style w:type="character" w:default="1" w:styleId="10">
    <w:name w:val="Default Paragraph Font"/>
  </w:style>
  <w:style w:type="paragraph" w:customStyle="1" w:styleId="15">
    <w:name w:val="Default"/>
    <w:next w:val="0"/>
    <w:pPr>
      <w:widowControl w:val="0"/>
      <w:autoSpaceDE w:val="0"/>
      <w:autoSpaceDN w:val="0"/>
      <w:adjustRightInd w:val="0"/>
    </w:pPr>
    <w:rPr>
      <w:rFonts w:ascii="宋体" w:eastAsia="宋体" w:cs="宋体" w:hAnsi="Times New Roman"/>
      <w:color w:val="000000"/>
      <w:sz w:val="24"/>
      <w:szCs w:val="24"/>
      <w:lang w:val="en-US" w:eastAsia="zh-CN" w:bidi="ar-SA"/>
    </w:rPr>
  </w:style>
  <w:style w:type="paragraph" w:styleId="16">
    <w:name w:val="Document Map"/>
    <w:basedOn w:val="0"/>
    <w:rPr>
      <w:rFonts w:ascii="宋体" w:eastAsia="宋体"/>
      <w:sz w:val="18"/>
      <w:szCs w:val="18"/>
    </w:rPr>
  </w:style>
  <w:style w:type="paragraph" w:styleId="17">
    <w:name w:val="annotation text"/>
    <w:basedOn w:val="0"/>
    <w:autoRedefine/>
    <w:pPr>
      <w:jc w:val="left"/>
    </w:pPr>
  </w:style>
  <w:style w:type="paragraph" w:styleId="18">
    <w:name w:val="Body Text"/>
    <w:basedOn w:val="0"/>
    <w:autoRedefine/>
    <w:next w:val="0"/>
    <w:rPr>
      <w:rFonts w:ascii="宋体" w:eastAsia="宋体" w:cs="宋体" w:hAnsi="宋体"/>
      <w:sz w:val="24"/>
      <w:lang w:val="zh-CN" w:bidi="zh-CN"/>
    </w:rPr>
  </w:style>
  <w:style w:type="paragraph" w:styleId="19">
    <w:name w:val="Plain Text"/>
    <w:basedOn w:val="0"/>
    <w:rPr>
      <w:rFonts w:hAnsi="Courier New"/>
      <w:szCs w:val="20"/>
    </w:rPr>
  </w:style>
  <w:style w:type="paragraph" w:styleId="20">
    <w:name w:val="Balloon Text"/>
    <w:basedOn w:val="0"/>
    <w:rPr>
      <w:sz w:val="18"/>
      <w:szCs w:val="18"/>
    </w:rPr>
  </w:style>
  <w:style w:type="paragraph" w:styleId="21">
    <w:name w:val="footer"/>
    <w:basedOn w:val="0"/>
    <w:autoRedefine/>
    <w:pPr>
      <w:tabs>
        <w:tab w:val="center" w:pos="4153"/>
        <w:tab w:val="right" w:pos="8306"/>
      </w:tabs>
      <w:snapToGrid w:val="0"/>
      <w:jc w:val="left"/>
    </w:pPr>
    <w:rPr>
      <w:sz w:val="18"/>
    </w:rPr>
  </w:style>
  <w:style w:type="paragraph" w:styleId="22">
    <w:name w:val="header"/>
    <w:basedOn w:val="0"/>
    <w:autoRedefine/>
    <w:pPr>
      <w:pBdr>
        <w:top w:val="none" w:sz="0" w:space="0" w:color="auto"/>
        <w:left w:val="none" w:sz="0" w:space="0" w:color="auto"/>
        <w:bottom w:val="none" w:sz="0" w:space="0" w:color="auto"/>
        <w:right w:val="none" w:sz="0" w:space="0" w:color="auto"/>
      </w:pBdr>
      <w:tabs>
        <w:tab w:val="center" w:pos="4153"/>
        <w:tab w:val="right" w:pos="8306"/>
      </w:tabs>
      <w:snapToGrid w:val="0"/>
    </w:pPr>
    <w:rPr>
      <w:sz w:val="18"/>
    </w:rPr>
  </w:style>
  <w:style w:type="paragraph" w:styleId="23">
    <w:name w:val="toc 1"/>
    <w:basedOn w:val="0"/>
    <w:autoRedefine/>
    <w:next w:val="0"/>
    <w:rPr>
      <w:rFonts w:ascii="Calibri" w:hAnsi="Calibri"/>
      <w:sz w:val="28"/>
    </w:rPr>
  </w:style>
  <w:style w:type="paragraph" w:styleId="24">
    <w:name w:val="toc 2"/>
    <w:basedOn w:val="0"/>
    <w:autoRedefine/>
    <w:next w:val="0"/>
    <w:pPr>
      <w:ind w:leftChars="200" w:left="200"/>
    </w:pPr>
  </w:style>
  <w:style w:type="paragraph" w:styleId="25">
    <w:name w:val="Normal (Web)"/>
    <w:basedOn w:val="0"/>
    <w:autoRedefine/>
    <w:next w:val="15"/>
    <w:pPr>
      <w:keepNext w:val="0"/>
      <w:keepLines w:val="0"/>
      <w:pageBreakBefore w:val="0"/>
      <w:widowControl/>
      <w:suppressLineNumbers w:val="0"/>
      <w:pBdr>
        <w:top w:val="none" w:sz="0" w:space="0" w:color="auto"/>
        <w:left w:val="none" w:sz="0" w:space="0" w:color="auto"/>
        <w:bottom w:val="none" w:sz="0" w:space="0" w:color="auto"/>
        <w:right w:val="none" w:sz="0" w:space="0" w:color="auto"/>
      </w:pBdr>
      <w:suppressAutoHyphens w:val="0"/>
      <w:kinsoku/>
      <w:wordWrap/>
      <w:overflowPunct/>
      <w:topLinePunct w:val="0"/>
      <w:autoSpaceDE/>
      <w:autoSpaceDN/>
      <w:bidi w:val="0"/>
      <w:adjustRightInd/>
      <w:snapToGrid/>
      <w:spacing w:before="100" w:beforeAutospacing="1" w:after="100" w:afterAutospacing="1" w:line="240" w:lineRule="auto"/>
      <w:ind w:left="0" w:right="0" w:firstLine="0"/>
      <w:contextualSpacing w:val="0"/>
      <w:jc w:val="left"/>
      <w:textAlignment w:val="auto"/>
      <w:outlineLvl w:val="9"/>
    </w:pPr>
    <w:rPr>
      <w:rFonts w:ascii="宋体" w:eastAsia="宋体"/>
      <w:b w:val="0"/>
      <w:i w:val="0"/>
      <w:caps w:val="0"/>
      <w:smallCaps w:val="0"/>
      <w:strike w:val="0"/>
      <w:dstrike w:val="0"/>
      <w:snapToGrid/>
      <w:vanish w:val="0"/>
      <w:color w:val="auto"/>
      <w:spacing w:val="0"/>
      <w:w w:val="100"/>
      <w:kern w:val="0"/>
      <w:position w:val="0"/>
      <w:sz w:val="24"/>
      <w:szCs w:val="21"/>
      <w:u w:val="none" w:color="auto"/>
      <w:vertAlign w:val="baseline"/>
      <w:em w:val="none"/>
      <w:lang w:val="en-US" w:eastAsia="zh-CN" w:bidi="ar-SA"/>
    </w:rPr>
  </w:style>
  <w:style w:type="paragraph" w:styleId="26">
    <w:name w:val="Title"/>
    <w:basedOn w:val="0"/>
    <w:next w:val="0"/>
    <w:pPr>
      <w:spacing w:before="240" w:after="60"/>
      <w:jc w:val="center"/>
      <w:outlineLvl w:val="0"/>
    </w:pPr>
    <w:rPr>
      <w:rFonts w:ascii="Cambria" w:hAnsi="Cambria"/>
      <w:b/>
      <w:bCs/>
      <w:sz w:val="32"/>
      <w:szCs w:val="32"/>
    </w:rPr>
  </w:style>
  <w:style w:type="character" w:styleId="27">
    <w:name w:val="Strong"/>
    <w:basedOn w:val="10"/>
    <w:autoRedefine/>
    <w:rPr>
      <w:b/>
    </w:rPr>
  </w:style>
  <w:style w:type="paragraph" w:customStyle="1" w:styleId="28">
    <w:name w:val="Table Paragraph"/>
    <w:basedOn w:val="0"/>
    <w:autoRedefine/>
    <w:rPr>
      <w:lang w:val="zh-CN" w:bidi="zh-CN"/>
    </w:rPr>
  </w:style>
  <w:style w:type="paragraph" w:styleId="29">
    <w:name w:val="List Paragraph"/>
    <w:basedOn w:val="0"/>
    <w:autoRedefine/>
    <w:pPr>
      <w:ind w:firstLineChars="200" w:firstLine="200"/>
    </w:pPr>
  </w:style>
  <w:style w:type="character" w:customStyle="1" w:styleId="30">
    <w:name w:val="font11"/>
    <w:basedOn w:val="10"/>
    <w:rPr>
      <w:rFonts w:ascii="宋体" w:eastAsia="宋体" w:cs="宋体" w:hAnsi="宋体"/>
      <w:color w:val="000000"/>
      <w:sz w:val="22"/>
      <w:szCs w:val="22"/>
      <w:u w:val="none"/>
      <w:vertAlign w:val="superscript"/>
    </w:rPr>
  </w:style>
  <w:style w:type="paragraph" w:customStyle="1" w:styleId="31">
    <w:name w:val="6其他格式"/>
    <w:basedOn w:val="0"/>
    <w:pPr>
      <w:adjustRightInd w:val="0"/>
      <w:snapToGrid w:val="0"/>
      <w:spacing w:after="156" w:line="360" w:lineRule="auto"/>
      <w:ind w:firstLineChars="200" w:firstLine="200"/>
    </w:pPr>
    <w:rPr>
      <w:rFonts w:ascii="Calibri" w:eastAsia="仿宋_GB2312" w:hAnsi="Calibri"/>
      <w:sz w:val="24"/>
      <w:szCs w:val="22"/>
    </w:rPr>
  </w:style>
  <w:style w:type="paragraph" w:customStyle="1" w:styleId="32">
    <w:name w:val="6正文文本"/>
    <w:basedOn w:val="18"/>
    <w:pPr>
      <w:adjustRightInd w:val="0"/>
      <w:snapToGrid w:val="0"/>
      <w:spacing w:line="360" w:lineRule="auto"/>
      <w:ind w:firstLineChars="200" w:firstLine="200"/>
      <w:jc w:val="both"/>
    </w:pPr>
    <w:rPr>
      <w:rFonts w:ascii="Times New Roman" w:eastAsia="宋体" w:hAnsi="Times New Roman"/>
      <w:sz w:val="21"/>
      <w:szCs w:val="22"/>
    </w:rPr>
  </w:style>
  <w:style w:type="paragraph" w:customStyle="1" w:styleId="33">
    <w:name w:val="6表格内容"/>
    <w:basedOn w:val="0"/>
    <w:pPr>
      <w:adjustRightInd w:val="0"/>
      <w:snapToGrid w:val="0"/>
    </w:pPr>
    <w:rPr>
      <w:rFonts w:eastAsia="仿宋_GB2312"/>
      <w:szCs w:val="22"/>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oter" Target="footer1.xml"/><Relationship Id="rId3" Type="http://schemas.openxmlformats.org/officeDocument/2006/relationships/image" Target="media/2.jpeg"/><Relationship Id="rId4" Type="http://schemas.openxmlformats.org/officeDocument/2006/relationships/image" Target="media/5.jpeg"/><Relationship Id="rId5" Type="http://schemas.openxmlformats.org/officeDocument/2006/relationships/footer" Target="footer2.xml"/><Relationship Id="rId6" Type="http://schemas.openxmlformats.org/officeDocument/2006/relationships/image" Target="media/11.png"/><Relationship Id="rId7" Type="http://schemas.openxmlformats.org/officeDocument/2006/relationships/image" Target="media/14.png"/><Relationship Id="rId8" Type="http://schemas.openxmlformats.org/officeDocument/2006/relationships/image" Target="media/17.png"/><Relationship Id="rId9" Type="http://schemas.openxmlformats.org/officeDocument/2006/relationships/image" Target="media/20.png"/><Relationship Id="rId10" Type="http://schemas.openxmlformats.org/officeDocument/2006/relationships/image" Target="media/23.png"/><Relationship Id="rId11" Type="http://schemas.openxmlformats.org/officeDocument/2006/relationships/image" Target="media/26.png"/><Relationship Id="rId12" Type="http://schemas.openxmlformats.org/officeDocument/2006/relationships/image" Target="media/29.png"/><Relationship Id="rId13" Type="http://schemas.openxmlformats.org/officeDocument/2006/relationships/image" Target="media/32.png"/><Relationship Id="rId14" Type="http://schemas.openxmlformats.org/officeDocument/2006/relationships/image" Target="media/35.png"/><Relationship Id="rId15" Type="http://schemas.openxmlformats.org/officeDocument/2006/relationships/image" Target="media/38.png"/><Relationship Id="rId16" Type="http://schemas.openxmlformats.org/officeDocument/2006/relationships/image" Target="media/41.png"/><Relationship Id="rId17" Type="http://schemas.openxmlformats.org/officeDocument/2006/relationships/image" Target="media/44.png"/><Relationship Id="rId18" Type="http://schemas.openxmlformats.org/officeDocument/2006/relationships/image" Target="media/47.png"/><Relationship Id="rId19" Type="http://schemas.openxmlformats.org/officeDocument/2006/relationships/image" Target="media/14.png"/><Relationship Id="rId20" Type="http://schemas.openxmlformats.org/officeDocument/2006/relationships/image" Target="media/17.png"/><Relationship Id="rId21" Type="http://schemas.openxmlformats.org/officeDocument/2006/relationships/image" Target="media/54.png"/><Relationship Id="rId22" Type="http://schemas.openxmlformats.org/officeDocument/2006/relationships/image" Target="media/57.png"/><Relationship Id="rId23" Type="http://schemas.openxmlformats.org/officeDocument/2006/relationships/image" Target="media/60.png"/><Relationship Id="rId24" Type="http://schemas.openxmlformats.org/officeDocument/2006/relationships/image" Target="media/63.png"/><Relationship Id="rId25" Type="http://schemas.openxmlformats.org/officeDocument/2006/relationships/image" Target="media/66.png"/><Relationship Id="rId26" Type="http://schemas.openxmlformats.org/officeDocument/2006/relationships/image" Target="media/63.png"/><Relationship Id="rId27" Type="http://schemas.openxmlformats.org/officeDocument/2006/relationships/image" Target="media/71.png"/><Relationship Id="rId28" Type="http://schemas.openxmlformats.org/officeDocument/2006/relationships/image" Target="media/74.png"/><Relationship Id="rId29" Type="http://schemas.openxmlformats.org/officeDocument/2006/relationships/image" Target="media/77.png"/><Relationship Id="rId30" Type="http://schemas.openxmlformats.org/officeDocument/2006/relationships/styles" Target="styles.xml"/><Relationship Id="rId31" Type="http://schemas.openxmlformats.org/officeDocument/2006/relationships/numbering" Target="numbering.xml"/><Relationship Id="rId32" Type="http://schemas.openxmlformats.org/officeDocument/2006/relationships/fontTable" Target="fontTable.xml"/></Relationships>
</file>

<file path=docProps/app.xml><?xml version="1.0" encoding="utf-8"?>
<Properties xmlns="http://schemas.openxmlformats.org/officeDocument/2006/extended-properties">
  <Template>Normal.eit</Template>
  <TotalTime>24</TotalTime>
  <Application>Yozo_Office27021597764231179</Application>
  <Pages>73</Pages>
  <Words>0</Words>
  <Characters>24823</Characters>
  <Lines>0</Lines>
  <Paragraphs>673</Paragraphs>
  <CharactersWithSpaces>33098</CharactersWithSpaces>
</Properties>
</file>

<file path=docProps/core.xml><?xml version="1.0" encoding="utf-8"?>
<cp:coreProperties xmlns:cp="http://schemas.openxmlformats.org/package/2006/metadata/core-properties" xmlns:dc="http://purl.org/dc/elements/1.1/" xmlns:dcterms="http://purl.org/dc/terms/" xmlns:xsi="http://www.w3.org/2001/XMLSchema-instance">
  <dc:creator>Administrator</dc:creator>
  <cp:lastModifiedBy>User</cp:lastModifiedBy>
  <cp:revision>2</cp:revision>
  <dcterms:created xsi:type="dcterms:W3CDTF">2023-08-09T07:06:00Z</dcterms:created>
  <dcterms:modified xsi:type="dcterms:W3CDTF">2025-10-29T07:52:25Z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KSOProductBuildVer">
    <vt:lpwstr>2052-12.1.0.22529</vt:lpwstr>
  </property>
  <property fmtid="{D5CDD505-2E9C-101B-9397-08002B2CF9AE}" pid="3" name="ICV">
    <vt:lpwstr>C284C7C90DDF477890D8ACD0E8DE8D4A_13</vt:lpwstr>
  </property>
  <property fmtid="{D5CDD505-2E9C-101B-9397-08002B2CF9AE}" pid="4" name="KSOTemplateDocerSaveRecord">
    <vt:lpwstr>eyJoZGlkIjoiZDc1OGQzY2ZmNTYwYjNiMzQzOTQzZWQ3ZTUzMGMyNTkifQ==</vt:lpwstr>
  </property>
</Properties>
</file>