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settings.xml" ContentType="application/vnd.openxmlformats-officedocument.wordprocessingml.settings+xml"/>
  <Override PartName="/word/footer1.xml" ContentType="application/vnd.openxmlformats-officedocument.wordprocessingml.footer+xml"/>
  <Override PartName="/word/footer2.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body>
    <w:p>
      <w:pPr>
        <w:widowControl/>
        <w:ind w:firstLineChars="200" w:firstLine="720"/>
        <w:jc w:val="center"/>
        <w:rPr>
          <w:rFonts w:ascii="宋体" w:eastAsia="宋体" w:cs="宋体" w:hAnsi="宋体"/>
          <w:b/>
          <w:bCs/>
          <w:color w:val="auto"/>
          <w:kern w:val="0"/>
          <w:sz w:val="36"/>
          <w:szCs w:val="36"/>
        </w:rPr>
      </w:pPr>
    </w:p>
    <w:p>
      <w:pPr>
        <w:widowControl/>
        <w:ind w:firstLineChars="200" w:firstLine="720"/>
        <w:jc w:val="center"/>
        <w:rPr>
          <w:rFonts w:ascii="宋体" w:eastAsia="宋体" w:cs="宋体" w:hAnsi="宋体"/>
          <w:b/>
          <w:bCs/>
          <w:color w:val="auto"/>
          <w:kern w:val="0"/>
          <w:sz w:val="36"/>
          <w:szCs w:val="36"/>
        </w:rPr>
      </w:pPr>
    </w:p>
    <w:p>
      <w:pPr>
        <w:widowControl/>
        <w:ind w:firstLineChars="200" w:firstLine="720"/>
        <w:jc w:val="center"/>
        <w:rPr>
          <w:rFonts w:ascii="宋体" w:eastAsia="宋体" w:cs="宋体" w:hAnsi="宋体"/>
          <w:b/>
          <w:bCs/>
          <w:color w:val="auto"/>
          <w:kern w:val="0"/>
          <w:sz w:val="36"/>
          <w:szCs w:val="36"/>
        </w:rPr>
      </w:pPr>
    </w:p>
    <w:p>
      <w:pPr>
        <w:widowControl/>
        <w:ind w:firstLineChars="200" w:firstLine="720"/>
        <w:jc w:val="center"/>
        <w:rPr>
          <w:rFonts w:ascii="宋体" w:eastAsia="宋体" w:cs="宋体" w:hAnsi="宋体"/>
          <w:b/>
          <w:bCs/>
          <w:color w:val="auto"/>
          <w:kern w:val="0"/>
          <w:sz w:val="36"/>
          <w:szCs w:val="36"/>
        </w:rPr>
      </w:pPr>
    </w:p>
    <w:p>
      <w:pPr>
        <w:widowControl/>
        <w:jc w:val="center"/>
        <w:rPr>
          <w:rFonts w:ascii="宋体" w:eastAsia="宋体" w:cs="宋体" w:hAnsi="宋体" w:hint="eastAsia"/>
          <w:b/>
          <w:bCs/>
          <w:color w:val="auto"/>
          <w:kern w:val="0"/>
          <w:sz w:val="44"/>
          <w:szCs w:val="44"/>
          <w:lang w:eastAsia="zh-CN"/>
        </w:rPr>
      </w:pPr>
      <w:r>
        <w:rPr>
          <w:rFonts w:ascii="宋体" w:eastAsia="宋体" w:cs="宋体" w:hAnsi="宋体" w:hint="eastAsia"/>
          <w:b/>
          <w:bCs/>
          <w:color w:val="auto"/>
          <w:kern w:val="0"/>
          <w:sz w:val="44"/>
          <w:szCs w:val="44"/>
        </w:rPr>
        <w:t>钦北区古道岭风电场一期工程</w:t>
      </w:r>
      <w:r>
        <w:rPr>
          <w:rFonts w:ascii="宋体" w:eastAsia="宋体" w:cs="宋体" w:hAnsi="宋体" w:hint="eastAsia"/>
          <w:b/>
          <w:bCs/>
          <w:color w:val="auto"/>
          <w:kern w:val="0"/>
          <w:sz w:val="44"/>
          <w:szCs w:val="44"/>
          <w:lang w:eastAsia="zh-CN"/>
        </w:rPr>
        <w:t>项目</w:t>
      </w:r>
    </w:p>
    <w:p>
      <w:pPr>
        <w:widowControl/>
        <w:jc w:val="center"/>
        <w:rPr>
          <w:rFonts w:ascii="宋体" w:eastAsia="宋体" w:cs="宋体" w:hAnsi="宋体" w:hint="eastAsia"/>
          <w:b/>
          <w:bCs/>
          <w:color w:val="auto"/>
          <w:kern w:val="0"/>
          <w:sz w:val="44"/>
          <w:szCs w:val="44"/>
        </w:rPr>
      </w:pPr>
      <w:r>
        <w:rPr>
          <w:rFonts w:ascii="宋体" w:eastAsia="宋体" w:cs="宋体" w:hAnsi="宋体" w:hint="eastAsia"/>
          <w:b/>
          <w:bCs/>
          <w:color w:val="auto"/>
          <w:kern w:val="0"/>
          <w:sz w:val="44"/>
          <w:szCs w:val="44"/>
        </w:rPr>
        <w:t>独立地块控制性详细规划</w:t>
      </w:r>
    </w:p>
    <w:p>
      <w:pPr>
        <w:widowControl/>
        <w:jc w:val="center"/>
        <w:rPr>
          <w:rFonts w:ascii="宋体" w:eastAsia="宋体" w:cs="宋体" w:hAnsi="宋体" w:hint="eastAsia"/>
          <w:b/>
          <w:bCs/>
          <w:color w:val="auto"/>
          <w:kern w:val="0"/>
          <w:sz w:val="44"/>
          <w:szCs w:val="44"/>
        </w:rPr>
      </w:pPr>
    </w:p>
    <w:p>
      <w:pPr>
        <w:widowControl/>
        <w:jc w:val="center"/>
        <w:rPr>
          <w:rFonts w:ascii="宋体" w:eastAsia="宋体" w:cs="宋体" w:hAnsi="宋体" w:hint="eastAsia"/>
          <w:b/>
          <w:bCs/>
          <w:color w:val="auto"/>
          <w:kern w:val="0"/>
          <w:sz w:val="44"/>
          <w:szCs w:val="44"/>
        </w:rPr>
      </w:pPr>
    </w:p>
    <w:p>
      <w:pPr>
        <w:widowControl/>
        <w:jc w:val="center"/>
        <w:rPr>
          <w:rFonts w:ascii="宋体" w:eastAsia="宋体" w:cs="宋体" w:hAnsi="宋体" w:hint="eastAsia"/>
          <w:b/>
          <w:bCs/>
          <w:color w:val="auto"/>
          <w:kern w:val="0"/>
          <w:sz w:val="44"/>
          <w:szCs w:val="44"/>
        </w:rPr>
      </w:pPr>
    </w:p>
    <w:p>
      <w:pPr>
        <w:widowControl/>
        <w:jc w:val="center"/>
        <w:rPr>
          <w:rFonts w:ascii="宋体" w:eastAsia="宋体" w:cs="宋体" w:hAnsi="宋体" w:hint="eastAsia"/>
          <w:b/>
          <w:bCs/>
          <w:color w:val="auto"/>
          <w:kern w:val="0"/>
          <w:sz w:val="44"/>
          <w:szCs w:val="44"/>
        </w:rPr>
      </w:pPr>
    </w:p>
    <w:p>
      <w:pPr>
        <w:widowControl/>
        <w:jc w:val="center"/>
        <w:rPr>
          <w:rFonts w:ascii="宋体" w:eastAsia="宋体" w:cs="宋体" w:hAnsi="宋体"/>
          <w:b/>
          <w:bCs/>
          <w:color w:val="auto"/>
          <w:kern w:val="0"/>
          <w:sz w:val="36"/>
          <w:szCs w:val="36"/>
        </w:rPr>
      </w:pPr>
    </w:p>
    <w:p>
      <w:pPr>
        <w:pStyle w:val="15"/>
      </w:pPr>
    </w:p>
    <w:p>
      <w:pPr>
        <w:widowControl/>
        <w:jc w:val="center"/>
        <w:rPr>
          <w:rFonts w:ascii="宋体" w:eastAsia="宋体" w:cs="宋体" w:hAnsi="宋体"/>
          <w:b/>
          <w:bCs/>
          <w:color w:val="auto"/>
          <w:kern w:val="0"/>
          <w:sz w:val="36"/>
          <w:szCs w:val="36"/>
        </w:rPr>
      </w:pPr>
    </w:p>
    <w:p>
      <w:pPr>
        <w:widowControl/>
        <w:jc w:val="center"/>
        <w:rPr>
          <w:rFonts w:ascii="宋体" w:eastAsia="宋体" w:cs="宋体" w:hAnsi="宋体"/>
          <w:b/>
          <w:bCs/>
          <w:color w:val="auto"/>
          <w:kern w:val="0"/>
          <w:sz w:val="36"/>
          <w:szCs w:val="36"/>
        </w:rPr>
      </w:pPr>
    </w:p>
    <w:p>
      <w:pPr>
        <w:widowControl/>
        <w:jc w:val="center"/>
        <w:rPr>
          <w:rFonts w:ascii="宋体" w:eastAsia="宋体" w:cs="宋体" w:hAnsi="宋体"/>
          <w:b/>
          <w:bCs/>
          <w:color w:val="auto"/>
          <w:kern w:val="0"/>
          <w:sz w:val="36"/>
          <w:szCs w:val="36"/>
        </w:rPr>
      </w:pPr>
    </w:p>
    <w:p>
      <w:pPr>
        <w:widowControl/>
        <w:jc w:val="center"/>
        <w:rPr>
          <w:rFonts w:ascii="宋体" w:eastAsia="宋体" w:cs="宋体" w:hAnsi="宋体"/>
          <w:b/>
          <w:bCs/>
          <w:color w:val="auto"/>
          <w:kern w:val="0"/>
          <w:sz w:val="36"/>
          <w:szCs w:val="36"/>
        </w:rPr>
      </w:pPr>
    </w:p>
    <w:p>
      <w:pPr>
        <w:pStyle w:val="18"/>
        <w:rPr>
          <w:rFonts w:ascii="宋体" w:eastAsia="宋体" w:cs="宋体" w:hAnsi="宋体"/>
          <w:b/>
          <w:bCs/>
          <w:color w:val="auto"/>
          <w:kern w:val="0"/>
          <w:sz w:val="36"/>
          <w:szCs w:val="36"/>
        </w:rPr>
      </w:pPr>
    </w:p>
    <w:p>
      <w:pPr>
        <w:rPr>
          <w:rFonts w:ascii="宋体" w:eastAsia="宋体" w:cs="宋体" w:hAnsi="宋体"/>
          <w:b/>
          <w:bCs/>
          <w:color w:val="auto"/>
          <w:kern w:val="0"/>
          <w:sz w:val="36"/>
          <w:szCs w:val="36"/>
        </w:rPr>
      </w:pPr>
    </w:p>
    <w:p>
      <w:pPr>
        <w:pStyle w:val="18"/>
        <w:rPr>
          <w:rFonts w:ascii="宋体" w:eastAsia="宋体" w:cs="宋体" w:hAnsi="宋体"/>
          <w:b/>
          <w:bCs/>
          <w:color w:val="auto"/>
          <w:kern w:val="0"/>
          <w:sz w:val="36"/>
          <w:szCs w:val="36"/>
        </w:rPr>
      </w:pPr>
    </w:p>
    <w:p>
      <w:pPr>
        <w:rPr>
          <w:rFonts w:ascii="宋体" w:eastAsia="宋体" w:cs="宋体" w:hAnsi="宋体"/>
          <w:b/>
          <w:bCs/>
          <w:color w:val="auto"/>
          <w:kern w:val="0"/>
          <w:sz w:val="36"/>
          <w:szCs w:val="36"/>
        </w:rPr>
      </w:pPr>
    </w:p>
    <w:p>
      <w:pPr>
        <w:pStyle w:val="18"/>
        <w:rPr>
          <w:rFonts w:ascii="宋体" w:eastAsia="宋体" w:cs="宋体" w:hAnsi="宋体"/>
          <w:b/>
          <w:bCs/>
          <w:color w:val="auto"/>
          <w:kern w:val="0"/>
          <w:sz w:val="36"/>
          <w:szCs w:val="36"/>
        </w:rPr>
      </w:pPr>
    </w:p>
    <w:p>
      <w:pPr>
        <w:rPr>
          <w:color w:val="auto"/>
        </w:rPr>
      </w:pPr>
    </w:p>
    <w:p>
      <w:pPr>
        <w:rPr>
          <w:rFonts w:ascii="宋体" w:eastAsia="宋体" w:cs="宋体" w:hAnsi="宋体"/>
          <w:b/>
          <w:bCs/>
          <w:color w:val="auto"/>
          <w:kern w:val="0"/>
          <w:sz w:val="36"/>
          <w:szCs w:val="36"/>
        </w:rPr>
      </w:pPr>
    </w:p>
    <w:p>
      <w:pPr>
        <w:rPr>
          <w:color w:val="auto"/>
        </w:rPr>
      </w:pPr>
    </w:p>
    <w:p>
      <w:pPr>
        <w:pStyle w:val="31"/>
        <w:keepNext w:val="0"/>
        <w:keepLines w:val="0"/>
        <w:pageBreakBefore w:val="0"/>
        <w:widowControl w:val="0"/>
        <w:kinsoku/>
        <w:wordWrap/>
        <w:overflowPunct/>
        <w:topLinePunct w:val="0"/>
        <w:autoSpaceDE/>
        <w:autoSpaceDN/>
        <w:bidi w:val="0"/>
        <w:adjustRightInd w:val="0"/>
        <w:snapToGrid w:val="0"/>
        <w:spacing w:beforeLines="150" w:before="360" w:line="240" w:lineRule="auto"/>
        <w:ind w:firstLineChars="300" w:firstLine="960"/>
        <w:jc w:val="left"/>
        <w:textAlignment w:val="auto"/>
        <w:rPr>
          <w:rFonts w:ascii="Times New Roman" w:eastAsia="黑体" w:hAnsi="Times New Roman" w:hint="eastAsia"/>
          <w:b/>
          <w:bCs/>
          <w:color w:val="auto"/>
          <w:sz w:val="32"/>
          <w:szCs w:val="32"/>
          <w:lang w:eastAsia="zh-CN"/>
          <w:highlight w:val="auto"/>
        </w:rPr>
      </w:pPr>
      <w:r>
        <w:rPr>
          <w:rFonts w:ascii="Times New Roman" w:eastAsia="黑体" w:hAnsi="Times New Roman" w:hint="eastAsia"/>
          <w:b/>
          <w:bCs/>
          <w:color w:val="auto"/>
          <w:sz w:val="32"/>
          <w:szCs w:val="32"/>
          <w:lang w:eastAsia="zh-CN"/>
          <w:highlight w:val="auto"/>
        </w:rPr>
        <w:t>委托单位：钦州市钦北区自然资源局</w:t>
      </w:r>
    </w:p>
    <w:p>
      <w:pPr>
        <w:pStyle w:val="31"/>
        <w:keepNext w:val="0"/>
        <w:keepLines w:val="0"/>
        <w:pageBreakBefore w:val="0"/>
        <w:widowControl w:val="0"/>
        <w:kinsoku/>
        <w:wordWrap/>
        <w:overflowPunct/>
        <w:topLinePunct w:val="0"/>
        <w:autoSpaceDE/>
        <w:autoSpaceDN/>
        <w:bidi w:val="0"/>
        <w:adjustRightInd w:val="0"/>
        <w:snapToGrid w:val="0"/>
        <w:spacing w:beforeLines="150" w:before="360" w:line="240" w:lineRule="auto"/>
        <w:ind w:firstLineChars="300" w:firstLine="960"/>
        <w:jc w:val="left"/>
        <w:textAlignment w:val="auto"/>
        <w:rPr>
          <w:rFonts w:ascii="Times New Roman" w:eastAsia="黑体" w:hAnsi="Times New Roman" w:hint="eastAsia"/>
          <w:b/>
          <w:bCs/>
          <w:color w:val="auto"/>
          <w:sz w:val="32"/>
          <w:szCs w:val="32"/>
          <w:lang w:eastAsia="zh-CN"/>
          <w:highlight w:val="auto"/>
        </w:rPr>
      </w:pPr>
      <w:r>
        <w:rPr>
          <w:rFonts w:ascii="Times New Roman" w:eastAsia="黑体" w:hAnsi="Times New Roman"/>
          <w:b/>
          <w:bCs/>
          <w:color w:val="auto"/>
          <w:sz w:val="32"/>
          <w:szCs w:val="32"/>
          <w:highlight w:val="auto"/>
        </w:rPr>
        <w:t>编制单位：</w:t>
      </w:r>
      <w:r>
        <w:rPr>
          <w:rFonts w:ascii="Times New Roman" w:eastAsia="黑体" w:hAnsi="Times New Roman" w:hint="eastAsia"/>
          <w:b/>
          <w:bCs/>
          <w:color w:val="auto"/>
          <w:sz w:val="32"/>
          <w:szCs w:val="32"/>
          <w:highlight w:val="auto"/>
        </w:rPr>
        <w:t>广西众诚汇金工程技术有限公司</w:t>
      </w:r>
    </w:p>
    <w:p>
      <w:pPr>
        <w:pStyle w:val="31"/>
        <w:keepNext w:val="0"/>
        <w:keepLines w:val="0"/>
        <w:pageBreakBefore w:val="0"/>
        <w:widowControl w:val="0"/>
        <w:kinsoku/>
        <w:wordWrap/>
        <w:overflowPunct/>
        <w:topLinePunct w:val="0"/>
        <w:autoSpaceDE/>
        <w:autoSpaceDN/>
        <w:bidi w:val="0"/>
        <w:adjustRightInd w:val="0"/>
        <w:snapToGrid w:val="0"/>
        <w:spacing w:beforeLines="150" w:before="360" w:line="240" w:lineRule="auto"/>
        <w:ind w:firstLineChars="300" w:firstLine="960"/>
        <w:jc w:val="left"/>
        <w:textAlignment w:val="auto"/>
        <w:rPr>
          <w:rFonts w:ascii="Times New Roman" w:eastAsia="黑体" w:hAnsi="Times New Roman" w:hint="eastAsia"/>
          <w:b/>
          <w:bCs/>
          <w:color w:val="auto"/>
          <w:sz w:val="32"/>
          <w:szCs w:val="32"/>
          <w:lang w:val="en-US" w:eastAsia="zh-CN"/>
          <w:highlight w:val="auto"/>
        </w:rPr>
      </w:pPr>
      <w:r>
        <w:rPr>
          <w:rFonts w:ascii="Times New Roman" w:eastAsia="黑体" w:hAnsi="Times New Roman"/>
          <w:b/>
          <w:bCs/>
          <w:color w:val="auto"/>
          <w:sz w:val="32"/>
          <w:szCs w:val="32"/>
          <w:highlight w:val="auto"/>
        </w:rPr>
        <w:t>编制日期：二〇</w:t>
      </w:r>
      <w:r>
        <w:rPr>
          <w:rFonts w:ascii="Times New Roman" w:eastAsia="黑体" w:hAnsi="Times New Roman" w:hint="eastAsia"/>
          <w:b/>
          <w:bCs/>
          <w:color w:val="auto"/>
          <w:sz w:val="32"/>
          <w:szCs w:val="32"/>
          <w:highlight w:val="auto"/>
        </w:rPr>
        <w:t>二</w:t>
      </w:r>
      <w:r>
        <w:rPr>
          <w:rFonts w:ascii="Times New Roman" w:eastAsia="黑体" w:hAnsi="Times New Roman" w:hint="eastAsia"/>
          <w:b/>
          <w:bCs/>
          <w:color w:val="auto"/>
          <w:sz w:val="32"/>
          <w:szCs w:val="32"/>
          <w:lang w:eastAsia="zh-CN"/>
          <w:highlight w:val="auto"/>
        </w:rPr>
        <w:t>五</w:t>
      </w:r>
      <w:r>
        <w:rPr>
          <w:rFonts w:ascii="Times New Roman" w:eastAsia="黑体" w:hAnsi="Times New Roman"/>
          <w:b/>
          <w:bCs/>
          <w:color w:val="auto"/>
          <w:sz w:val="32"/>
          <w:szCs w:val="32"/>
          <w:highlight w:val="auto"/>
        </w:rPr>
        <w:t>年</w:t>
      </w:r>
      <w:r>
        <w:rPr>
          <w:rFonts w:ascii="Times New Roman" w:eastAsia="黑体" w:hAnsi="Times New Roman" w:hint="eastAsia"/>
          <w:b/>
          <w:bCs/>
          <w:color w:val="auto"/>
          <w:sz w:val="32"/>
          <w:szCs w:val="32"/>
          <w:lang w:eastAsia="zh-CN"/>
          <w:highlight w:val="auto"/>
        </w:rPr>
        <w:t>七</w:t>
      </w:r>
      <w:r>
        <w:rPr>
          <w:rFonts w:ascii="Times New Roman" w:eastAsia="黑体" w:hAnsi="Times New Roman"/>
          <w:b/>
          <w:bCs/>
          <w:color w:val="auto"/>
          <w:sz w:val="32"/>
          <w:szCs w:val="32"/>
          <w:highlight w:val="auto"/>
        </w:rPr>
        <w:t>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bCs/>
          <w:color w:val="auto"/>
          <w:sz w:val="28"/>
          <w:szCs w:val="28"/>
          <w:lang w:eastAsia="zh-CN"/>
        </w:rPr>
      </w:pPr>
      <w:r>
        <w:rPr>
          <w:rFonts w:hint="eastAsia"/>
          <w:b/>
          <w:bCs/>
          <w:color w:val="auto"/>
          <w:sz w:val="28"/>
          <w:szCs w:val="28"/>
          <w:lang w:eastAsia="zh-CN"/>
        </w:rPr>
        <w:t>项目名称：钦北区古道岭风电场一期工程项目独立地块控制性详细规划</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bCs/>
          <w:color w:val="auto"/>
          <w:sz w:val="28"/>
          <w:szCs w:val="28"/>
          <w:lang w:val="en-US" w:eastAsia="zh-CN"/>
        </w:rPr>
      </w:pPr>
      <w:r>
        <w:rPr>
          <w:rFonts w:hint="eastAsia"/>
          <w:b/>
          <w:bCs/>
          <w:color w:val="auto"/>
          <w:sz w:val="28"/>
          <w:szCs w:val="28"/>
          <w:lang w:val="en-US" w:eastAsia="zh-CN"/>
        </w:rPr>
        <w:t>编制单位：广西众诚汇金工程技术有限公司</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bCs/>
          <w:color w:val="auto"/>
          <w:sz w:val="28"/>
          <w:szCs w:val="28"/>
          <w:lang w:val="en-US" w:eastAsia="zh-CN"/>
        </w:rPr>
      </w:pPr>
      <w:r>
        <w:rPr>
          <w:rFonts w:hint="eastAsia"/>
          <w:b/>
          <w:bCs/>
          <w:color w:val="auto"/>
          <w:sz w:val="28"/>
          <w:szCs w:val="28"/>
          <w:lang w:val="en-US" w:eastAsia="zh-CN"/>
        </w:rPr>
        <w:t>资质等级：土地规划乙级</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bCs/>
          <w:color w:val="auto"/>
          <w:sz w:val="28"/>
          <w:szCs w:val="28"/>
          <w:lang w:val="en-US" w:eastAsia="zh-CN"/>
        </w:rPr>
      </w:pPr>
      <w:r>
        <w:rPr>
          <w:rFonts w:hint="eastAsia"/>
          <w:b/>
          <w:bCs/>
          <w:color w:val="auto"/>
          <w:sz w:val="28"/>
          <w:szCs w:val="28"/>
          <w:lang w:val="en-US" w:eastAsia="zh-CN"/>
        </w:rPr>
        <w:t>证书编号：201810</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项目负责人：   杨开福（工程师）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审    定：     陈志忠（高级规划师）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审    核：     覃荣旺（工程师）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校    对：     杨开福（工程师）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主要编制人员： 邹长慧（工程师）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750" w:firstLine="210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蒋积全（工程师）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750" w:firstLine="210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韦道虎（工程师）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750" w:firstLine="210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张  鹏（工程师）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bCs/>
          <w:color w:val="auto"/>
          <w:sz w:val="28"/>
          <w:szCs w:val="28"/>
          <w:lang w:val="en-US" w:eastAsia="zh-CN"/>
        </w:rPr>
      </w:pPr>
      <w:r>
        <w:rPr>
          <w:rFonts w:hint="eastAsia"/>
          <w:b/>
          <w:bCs/>
          <w:color w:val="auto"/>
          <w:sz w:val="28"/>
          <w:szCs w:val="28"/>
          <w:lang w:val="en-US" w:eastAsia="zh-CN"/>
        </w:rPr>
        <w:t>委托单位：钦州市钦北区自然资源局</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主要编制人员： 玉  益（工程师）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750" w:firstLine="210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潘沿晓（工程师）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750" w:firstLine="210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韦永姣（工程师）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val="0"/>
          <w:bCs w:val="0"/>
          <w:color w:val="auto"/>
          <w:sz w:val="28"/>
          <w:szCs w:val="28"/>
          <w:lang w:val="en-US" w:eastAsia="zh-CN"/>
        </w:rPr>
      </w:pPr>
      <w:r>
        <w:rPr>
          <w:rFonts w:hint="eastAsia"/>
          <w:b w:val="0"/>
          <w:bCs w:val="0"/>
          <w:color w:val="auto"/>
          <w:sz w:val="28"/>
          <w:szCs w:val="28"/>
          <w:lang w:val="en-US" w:eastAsia="zh-CN"/>
        </w:rPr>
        <w:t xml:space="preserve">               邓诗琴（助理工程师）</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val="0"/>
          <w:bCs w:val="0"/>
          <w:color w:val="auto"/>
          <w:sz w:val="28"/>
          <w:szCs w:val="28"/>
          <w:lang w:val="en-US" w:eastAsia="zh-CN"/>
        </w:rPr>
      </w:pP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hint="eastAsia"/>
          <w:b w:val="0"/>
          <w:bCs w:val="0"/>
          <w:color w:val="auto"/>
          <w:sz w:val="28"/>
          <w:szCs w:val="28"/>
          <w:lang w:val="en-US" w:eastAsia="zh-CN"/>
        </w:rPr>
      </w:pP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both"/>
        <w:textAlignment w:val="auto"/>
        <w:rPr>
          <w:rFonts w:ascii="仿宋" w:cs="仿宋" w:hAnsi="仿宋" w:hint="eastAsia"/>
          <w:color w:val="auto"/>
          <w:sz w:val="28"/>
          <w:szCs w:val="28"/>
          <w:lang w:val="en-US" w:eastAsia="zh-CN"/>
        </w:rPr>
      </w:pPr>
    </w:p>
    <w:p>
      <w:pPr>
        <w:pStyle w:val="32"/>
        <w:keepNext w:val="0"/>
        <w:keepLines w:val="0"/>
        <w:pageBreakBefore w:val="0"/>
        <w:widowControl w:val="0"/>
        <w:kinsoku/>
        <w:wordWrap/>
        <w:overflowPunct/>
        <w:topLinePunct w:val="0"/>
        <w:autoSpaceDE/>
        <w:autoSpaceDN/>
        <w:bidi w:val="0"/>
        <w:adjustRightInd w:val="0"/>
        <w:snapToGrid w:val="0"/>
        <w:spacing w:line="480" w:lineRule="auto"/>
        <w:jc w:val="left"/>
        <w:textAlignment w:val="auto"/>
        <w:rPr>
          <w:rFonts w:hint="eastAsia"/>
          <w:color w:val="auto"/>
        </w:rPr>
        <w:sectPr>
          <w:pgSz w:w="11906" w:h="16838"/>
          <w:pgMar w:top="1418" w:right="1701" w:bottom="1418" w:left="1587" w:header="851" w:footer="992" w:gutter="0"/>
          <w:pgNumType w:start="1"/>
          <w:docGrid w:linePitch="312" w:charSpace="0"/>
        </w:sectPr>
      </w:pP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left"/>
        <w:textAlignment w:val="auto"/>
        <w:rPr>
          <w:color w:val="auto"/>
        </w:rPr>
      </w:pPr>
      <w:bookmarkStart w:id="0" w:name="bookmark6"/>
      <w:bookmarkStart w:id="1" w:name="bookmark7"/>
      <w:bookmarkStart w:id="2" w:name="bookmark5"/>
      <w:r>
        <w:rPr>
          <w:rFonts w:ascii="黑体" w:eastAsia="黑体" w:hAnsi="宋体" w:hint="eastAsia"/>
          <w:color w:val="auto"/>
          <w:sz w:val="28"/>
          <w:szCs w:val="28"/>
          <w:highlight w:val="auto"/>
        </w:rPr>
        <w:drawing>
          <wp:anchor distT="0" distB="0" distL="114300" distR="114300" simplePos="0" relativeHeight="93" behindDoc="0" locked="0" layoutInCell="1" hidden="0" allowOverlap="1">
            <wp:simplePos x="0" y="0"/>
            <wp:positionH relativeFrom="column">
              <wp:posOffset>-2171700</wp:posOffset>
            </wp:positionH>
            <wp:positionV relativeFrom="paragraph">
              <wp:posOffset>1329690</wp:posOffset>
            </wp:positionV>
            <wp:extent cx="9362440" cy="6517005"/>
            <wp:effectExtent l="0" t="0" r="0" b="0"/>
            <wp:wrapNone/>
            <wp:docPr id="1" name="图片 1" descr="F:/5-详细规划项目/1-钦北区古道岭风电场一期工程独立地块控制性详细规划/营业执照20220411.jpg营业执照20220411"/>
            <wp:cNvGraphicFramePr>
              <a:graphicFrameLocks noChangeAspect="1"/>
            </wp:cNvGraphicFramePr>
            <a:graphic>
              <a:graphicData uri="http://schemas.openxmlformats.org/drawingml/2006/picture">
                <pic:pic>
                  <pic:nvPicPr>
                    <pic:cNvPr id="3" name="图片 1 3"/>
                    <pic:cNvPicPr/>
                  </pic:nvPicPr>
                  <pic:blipFill>
                    <a:blip r:embed="rId3"/>
                    <a:srcRect t="2103" b="2103"/>
                    <a:stretch>
                      <a:fillRect/>
                    </a:stretch>
                  </pic:blipFill>
                  <pic:spPr>
                    <a:xfrm rot="16200000">
                      <a:off x="0" y="0"/>
                      <a:ext cx="9362440" cy="6517005"/>
                    </a:xfrm>
                    <a:prstGeom prst="rect"/>
                    <a:noFill/>
                    <a:ln w="9525" cmpd="sng" cap="flat">
                      <a:noFill/>
                      <a:prstDash val="solid"/>
                      <a:round/>
                    </a:ln>
                  </pic:spPr>
                </pic:pic>
              </a:graphicData>
            </a:graphic>
          </wp:anchor>
        </w:drawing>
      </w:r>
      <w:bookmarkEnd w:id="0"/>
      <w:bookmarkEnd w:id="1"/>
      <w:bookmarkEnd w:id="2"/>
    </w:p>
    <w:p>
      <w:pPr>
        <w:widowControl/>
        <w:jc w:val="left"/>
        <w:rPr>
          <w:rFonts w:ascii="宋体" w:eastAsia="宋体" w:cs="宋体" w:hAnsi="宋体"/>
          <w:b/>
          <w:bCs/>
          <w:color w:val="auto"/>
          <w:kern w:val="0"/>
          <w:sz w:val="36"/>
          <w:szCs w:val="36"/>
        </w:rPr>
      </w:pPr>
    </w:p>
    <w:p>
      <w:pPr>
        <w:widowControl/>
        <w:jc w:val="center"/>
        <w:rPr>
          <w:rFonts w:ascii="宋体" w:eastAsia="宋体" w:cs="宋体" w:hAnsi="宋体"/>
          <w:b/>
          <w:bCs/>
          <w:color w:val="auto"/>
          <w:kern w:val="0"/>
          <w:sz w:val="36"/>
          <w:szCs w:val="36"/>
        </w:rPr>
      </w:pPr>
    </w:p>
    <w:p>
      <w:pPr>
        <w:widowControl/>
        <w:jc w:val="center"/>
        <w:rPr>
          <w:rFonts w:ascii="宋体" w:eastAsia="宋体" w:cs="宋体" w:hAnsi="宋体"/>
          <w:b/>
          <w:bCs/>
          <w:color w:val="auto"/>
          <w:kern w:val="0"/>
          <w:sz w:val="36"/>
          <w:szCs w:val="36"/>
        </w:rPr>
      </w:pPr>
    </w:p>
    <w:p>
      <w:pPr>
        <w:widowControl/>
        <w:jc w:val="center"/>
        <w:rPr>
          <w:rFonts w:ascii="宋体" w:eastAsia="宋体" w:cs="宋体" w:hAnsi="宋体"/>
          <w:b/>
          <w:bCs/>
          <w:color w:val="auto"/>
          <w:kern w:val="0"/>
          <w:sz w:val="36"/>
          <w:szCs w:val="36"/>
        </w:rPr>
      </w:pPr>
    </w:p>
    <w:p>
      <w:pPr>
        <w:widowControl/>
        <w:jc w:val="center"/>
        <w:rPr>
          <w:rFonts w:ascii="宋体" w:eastAsia="宋体" w:cs="宋体" w:hAnsi="宋体"/>
          <w:b/>
          <w:bCs/>
          <w:color w:val="auto"/>
          <w:kern w:val="0"/>
          <w:sz w:val="36"/>
          <w:szCs w:val="36"/>
        </w:rPr>
      </w:pPr>
    </w:p>
    <w:p>
      <w:pPr>
        <w:widowControl/>
        <w:jc w:val="center"/>
        <w:rPr>
          <w:rFonts w:ascii="宋体" w:eastAsia="宋体" w:cs="宋体" w:hAnsi="宋体"/>
          <w:b/>
          <w:bCs/>
          <w:color w:val="auto"/>
          <w:kern w:val="0"/>
          <w:sz w:val="36"/>
          <w:szCs w:val="36"/>
        </w:rPr>
      </w:pPr>
    </w:p>
    <w:p>
      <w:pPr>
        <w:rPr>
          <w:color w:val="auto"/>
        </w:rPr>
      </w:pPr>
      <w:r>
        <w:rPr>
          <w:color w:val="auto"/>
        </w:rPr>
        <w:br w:type="page"/>
      </w:r>
    </w:p>
    <w:p>
      <w:pPr>
        <w:pStyle w:val="23"/>
        <w:tabs>
          <w:tab w:val="right" w:leader="dot" w:pos="8306"/>
        </w:tabs>
        <w:spacing w:beforeLines="121" w:before="378" w:beforeAutospacing="0"/>
        <w:ind w:left="0"/>
        <w:jc w:val="left"/>
        <w:rPr>
          <w:color w:val="auto"/>
        </w:rPr>
      </w:pPr>
      <w:r>
        <w:rPr>
          <w:rFonts w:hint="eastAsia"/>
          <w:color w:val="auto"/>
          <w:highlight w:val="auto"/>
        </w:rPr>
        <w:drawing>
          <wp:anchor distT="0" distB="0" distL="114935" distR="114935" simplePos="0" relativeHeight="91" behindDoc="0" locked="0" layoutInCell="1" hidden="0" allowOverlap="1">
            <wp:simplePos x="0" y="0"/>
            <wp:positionH relativeFrom="column">
              <wp:posOffset>-1146175</wp:posOffset>
            </wp:positionH>
            <wp:positionV relativeFrom="paragraph">
              <wp:posOffset>1522730</wp:posOffset>
            </wp:positionV>
            <wp:extent cx="7879081" cy="5625465"/>
            <wp:effectExtent l="0" t="0" r="0" b="0"/>
            <wp:wrapNone/>
            <wp:docPr id="4" name="图片 2" descr="E:/00王麒麟项目/王麒麟钦北区古道岭风电场一期工程独立地块控规2025.02.08/钦北区古道岭风电场一期工程独立地块控规/众诚土地规划资质.jpg众诚土地规划资质"/>
            <wp:cNvGraphicFramePr>
              <a:graphicFrameLocks noChangeAspect="1"/>
            </wp:cNvGraphicFramePr>
            <a:graphic>
              <a:graphicData uri="http://schemas.openxmlformats.org/drawingml/2006/picture">
                <pic:pic>
                  <pic:nvPicPr>
                    <pic:cNvPr id="6" name="图片 2 6"/>
                    <pic:cNvPicPr/>
                  </pic:nvPicPr>
                  <pic:blipFill>
                    <a:blip r:embed="rId4"/>
                    <a:srcRect l="762" r="762"/>
                    <a:stretch>
                      <a:fillRect/>
                    </a:stretch>
                  </pic:blipFill>
                  <pic:spPr>
                    <a:xfrm rot="16200000">
                      <a:off x="0" y="0"/>
                      <a:ext cx="7879081" cy="5625465"/>
                    </a:xfrm>
                    <a:prstGeom prst="rect"/>
                    <a:noFill/>
                    <a:ln w="9525" cmpd="sng" cap="flat">
                      <a:noFill/>
                      <a:prstDash val="solid"/>
                      <a:round/>
                    </a:ln>
                  </pic:spPr>
                </pic:pic>
              </a:graphicData>
            </a:graphic>
          </wp:anchor>
        </w:drawing>
      </w: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pStyle w:val="23"/>
        <w:tabs>
          <w:tab w:val="right" w:leader="dot" w:pos="8306"/>
        </w:tabs>
        <w:spacing w:beforeLines="121" w:before="378" w:beforeAutospacing="0"/>
        <w:ind w:left="0"/>
        <w:jc w:val="center"/>
        <w:rPr>
          <w:color w:val="auto"/>
        </w:rPr>
      </w:pPr>
    </w:p>
    <w:p>
      <w:pPr>
        <w:rPr>
          <w:color w:val="auto"/>
        </w:rPr>
      </w:pPr>
    </w:p>
    <w:p>
      <w:pPr>
        <w:pStyle w:val="15"/>
        <w:rPr>
          <w:color w:val="auto"/>
        </w:rPr>
      </w:pP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center"/>
        <w:textAlignment w:val="auto"/>
        <w:rPr>
          <w:rFonts w:hint="eastAsia"/>
          <w:b/>
          <w:bCs/>
          <w:color w:val="auto"/>
          <w:sz w:val="36"/>
          <w:szCs w:val="32"/>
          <w:lang w:eastAsia="zh-CN"/>
        </w:rPr>
      </w:pPr>
      <w:r>
        <w:rPr>
          <w:rFonts w:hint="eastAsia"/>
          <w:b/>
          <w:bCs/>
          <w:color w:val="auto"/>
          <w:sz w:val="36"/>
          <w:szCs w:val="32"/>
          <w:lang w:eastAsia="zh-CN"/>
        </w:rPr>
        <w:t>钦北区古道岭风电场一期工程项目</w:t>
      </w:r>
    </w:p>
    <w:p>
      <w:pPr>
        <w:pStyle w:val="32"/>
        <w:keepNext w:val="0"/>
        <w:keepLines w:val="0"/>
        <w:pageBreakBefore w:val="0"/>
        <w:widowControl w:val="0"/>
        <w:kinsoku/>
        <w:wordWrap/>
        <w:overflowPunct/>
        <w:topLinePunct w:val="0"/>
        <w:autoSpaceDE/>
        <w:autoSpaceDN/>
        <w:bidi w:val="0"/>
        <w:adjustRightInd w:val="0"/>
        <w:snapToGrid w:val="0"/>
        <w:spacing w:line="480" w:lineRule="auto"/>
        <w:ind w:left="0" w:firstLineChars="0" w:firstLine="0"/>
        <w:jc w:val="center"/>
        <w:textAlignment w:val="auto"/>
        <w:rPr>
          <w:rFonts w:hint="eastAsia"/>
          <w:b/>
          <w:bCs/>
          <w:color w:val="auto"/>
          <w:sz w:val="36"/>
          <w:szCs w:val="32"/>
          <w:lang w:eastAsia="zh-CN"/>
        </w:rPr>
      </w:pPr>
      <w:r>
        <w:rPr>
          <w:rFonts w:hint="eastAsia"/>
          <w:b/>
          <w:bCs/>
          <w:color w:val="auto"/>
          <w:sz w:val="36"/>
          <w:szCs w:val="32"/>
          <w:lang w:eastAsia="zh-CN"/>
        </w:rPr>
        <w:t>独立地块控制性详细规划</w:t>
      </w:r>
    </w:p>
    <w:p>
      <w:pPr>
        <w:rPr>
          <w:color w:val="auto"/>
        </w:rPr>
      </w:pPr>
    </w:p>
    <w:p>
      <w:pPr>
        <w:pStyle w:val="18"/>
        <w:rPr>
          <w:color w:val="auto"/>
        </w:rPr>
      </w:pPr>
    </w:p>
    <w:p/>
    <w:p>
      <w:pPr>
        <w:pStyle w:val="23"/>
        <w:tabs>
          <w:tab w:val="right" w:leader="dot" w:pos="8306"/>
        </w:tabs>
        <w:spacing w:beforeLines="121" w:before="378" w:beforeAutospacing="0"/>
        <w:jc w:val="center"/>
        <w:rPr>
          <w:rFonts w:ascii="黑体" w:eastAsia="黑体" w:cs="黑体" w:hAnsi="黑体" w:hint="eastAsia"/>
          <w:b/>
          <w:bCs/>
          <w:color w:val="auto"/>
          <w:sz w:val="36"/>
          <w:szCs w:val="36"/>
          <w:lang w:eastAsia="zh-CN"/>
        </w:rPr>
      </w:pPr>
      <w:r>
        <w:rPr>
          <w:rFonts w:ascii="黑体" w:eastAsia="黑体" w:cs="黑体" w:hAnsi="黑体" w:hint="eastAsia"/>
          <w:b/>
          <w:bCs/>
          <w:color w:val="auto"/>
          <w:sz w:val="36"/>
          <w:szCs w:val="36"/>
          <w:lang w:val="en-US" w:eastAsia="zh-CN"/>
        </w:rPr>
        <w:t xml:space="preserve"> </w:t>
      </w:r>
      <w:r>
        <w:rPr>
          <w:rFonts w:ascii="黑体" w:eastAsia="黑体" w:cs="黑体" w:hAnsi="黑体" w:hint="eastAsia"/>
          <w:b/>
          <w:bCs/>
          <w:color w:val="auto"/>
          <w:sz w:val="36"/>
          <w:szCs w:val="36"/>
          <w:lang w:eastAsia="zh-CN"/>
        </w:rPr>
        <w:t>规划说明</w:t>
      </w:r>
    </w:p>
    <w:p>
      <w:pPr>
        <w:pStyle w:val="23"/>
        <w:tabs>
          <w:tab w:val="right" w:leader="dot" w:pos="8306"/>
        </w:tabs>
        <w:spacing w:beforeLines="121" w:before="378" w:beforeAutospacing="0"/>
        <w:ind w:left="0"/>
        <w:jc w:val="center"/>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rPr>
          <w:color w:val="auto"/>
        </w:rPr>
      </w:pPr>
    </w:p>
    <w:p>
      <w:pPr>
        <w:pStyle w:val="15"/>
        <w:rPr>
          <w:color w:val="auto"/>
        </w:rPr>
      </w:pPr>
    </w:p>
    <w:p>
      <w:pPr>
        <w:pStyle w:val="23"/>
        <w:tabs>
          <w:tab w:val="right" w:leader="dot" w:pos="8306"/>
        </w:tabs>
        <w:spacing w:beforeLines="121" w:before="378" w:beforeAutospacing="0"/>
        <w:ind w:left="0"/>
        <w:jc w:val="center"/>
        <w:rPr>
          <w:b/>
          <w:bCs/>
          <w:color w:val="auto"/>
          <w:sz w:val="36"/>
          <w:szCs w:val="36"/>
        </w:rPr>
      </w:pPr>
      <w:r>
        <w:rPr>
          <w:rFonts w:hint="eastAsia"/>
          <w:b/>
          <w:bCs/>
          <w:color w:val="auto"/>
          <w:sz w:val="36"/>
          <w:szCs w:val="36"/>
        </w:rPr>
        <w:t>目</w:t>
      </w:r>
      <w:r>
        <w:rPr>
          <w:rFonts w:hint="eastAsia"/>
          <w:b/>
          <w:bCs/>
          <w:color w:val="auto"/>
          <w:sz w:val="36"/>
          <w:szCs w:val="36"/>
          <w:lang w:val="en-US" w:eastAsia="zh-CN"/>
        </w:rPr>
        <w:t xml:space="preserve"> </w:t>
      </w:r>
      <w:r>
        <w:rPr>
          <w:rFonts w:hint="eastAsia"/>
          <w:b/>
          <w:bCs/>
          <w:color w:val="auto"/>
          <w:sz w:val="36"/>
          <w:szCs w:val="36"/>
        </w:rPr>
        <w:t>录</w:t>
      </w:r>
    </w:p>
    <w:p>
      <w:pPr>
        <w:pStyle w:val="23"/>
        <w:tabs>
          <w:tab w:val="right" w:leader="dot" w:pos="8306"/>
        </w:tabs>
      </w:pPr>
      <w:r>
        <w:rPr>
          <w:color w:val="auto"/>
          <w:sz w:val="28"/>
          <w:szCs w:val="28"/>
        </w:rPr>
        <w:fldChar w:fldCharType="begin"/>
      </w:r>
      <w:r>
        <w:rPr>
          <w:color w:val="auto"/>
          <w:sz w:val="28"/>
          <w:szCs w:val="28"/>
        </w:rPr>
        <w:instrText xml:space="preserve">TOC \o "1-2" \h \u </w:instrText>
      </w:r>
      <w:r>
        <w:rPr>
          <w:color w:val="auto"/>
          <w:sz w:val="28"/>
          <w:szCs w:val="28"/>
        </w:rPr>
        <w:fldChar w:fldCharType="separate"/>
      </w:r>
      <w:r>
        <w:rPr>
          <w:szCs w:val="28"/>
        </w:rPr>
        <w:fldChar w:fldCharType="begin"/>
      </w:r>
      <w:r>
        <w:rPr>
          <w:szCs w:val="28"/>
        </w:rPr>
        <w:instrText xml:space="preserve"> HYPERLINK \l _Toc20430 </w:instrText>
      </w:r>
      <w:r>
        <w:rPr>
          <w:szCs w:val="28"/>
        </w:rPr>
        <w:fldChar w:fldCharType="separate"/>
      </w:r>
      <w:r>
        <w:rPr>
          <w:rFonts w:ascii="宋体" w:eastAsia="宋体" w:cs="宋体" w:hAnsi="宋体" w:hint="eastAsia"/>
          <w:bCs/>
          <w:szCs w:val="32"/>
          <w:lang w:eastAsia="zh-CN"/>
        </w:rPr>
        <w:t>第一章 规划综述</w:t>
      </w:r>
      <w:r>
        <w:tab/>
      </w:r>
      <w:r>
        <w:fldChar w:fldCharType="begin"/>
      </w:r>
      <w:r>
        <w:instrText xml:space="preserve"> PAGEREF _Toc20430 \h </w:instrText>
      </w:r>
      <w:r>
        <w:fldChar w:fldCharType="separate"/>
      </w:r>
      <w:r>
        <w:t>1</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_Toc208 </w:instrText>
      </w:r>
      <w:r>
        <w:rPr>
          <w:szCs w:val="28"/>
        </w:rPr>
        <w:fldChar w:fldCharType="separate"/>
      </w:r>
      <w:r>
        <w:rPr>
          <w:rFonts w:ascii="宋体" w:eastAsia="宋体" w:cs="宋体" w:hAnsi="宋体" w:hint="eastAsia"/>
          <w:bCs/>
          <w:szCs w:val="32"/>
          <w:lang w:val="en-US" w:eastAsia="zh-CN"/>
        </w:rPr>
        <w:t>1.1</w:t>
      </w:r>
      <w:r>
        <w:rPr>
          <w:rFonts w:ascii="宋体" w:eastAsia="宋体" w:cs="宋体" w:hAnsi="宋体" w:hint="eastAsia"/>
          <w:bCs/>
          <w:szCs w:val="32"/>
          <w:lang w:eastAsia="zh-CN"/>
        </w:rPr>
        <w:t>规划背景</w:t>
      </w:r>
      <w:r>
        <w:tab/>
      </w:r>
      <w:r>
        <w:fldChar w:fldCharType="begin"/>
      </w:r>
      <w:r>
        <w:instrText xml:space="preserve"> PAGEREF _Toc208 \h </w:instrText>
      </w:r>
      <w:r>
        <w:fldChar w:fldCharType="separate"/>
      </w:r>
      <w:r>
        <w:t>1</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_Toc5808 </w:instrText>
      </w:r>
      <w:r>
        <w:rPr>
          <w:szCs w:val="28"/>
        </w:rPr>
        <w:fldChar w:fldCharType="separate"/>
      </w:r>
      <w:r>
        <w:rPr>
          <w:rFonts w:ascii="宋体" w:eastAsia="宋体" w:cs="宋体" w:hAnsi="宋体" w:hint="eastAsia"/>
          <w:bCs/>
          <w:szCs w:val="32"/>
          <w:lang w:val="en-US" w:eastAsia="zh-CN"/>
        </w:rPr>
        <w:t>1.2</w:t>
      </w:r>
      <w:r>
        <w:rPr>
          <w:rFonts w:ascii="宋体" w:eastAsia="宋体" w:cs="宋体" w:hAnsi="宋体" w:hint="eastAsia"/>
          <w:bCs/>
          <w:szCs w:val="32"/>
          <w:lang w:eastAsia="zh-CN"/>
        </w:rPr>
        <w:t>项目建设内容和规模</w:t>
      </w:r>
      <w:r>
        <w:tab/>
      </w:r>
      <w:r>
        <w:fldChar w:fldCharType="begin"/>
      </w:r>
      <w:r>
        <w:instrText xml:space="preserve"> PAGEREF _Toc5808 \h </w:instrText>
      </w:r>
      <w:r>
        <w:fldChar w:fldCharType="separate"/>
      </w:r>
      <w:r>
        <w:t>2</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_Toc6542 </w:instrText>
      </w:r>
      <w:r>
        <w:rPr>
          <w:szCs w:val="28"/>
        </w:rPr>
        <w:fldChar w:fldCharType="separate"/>
      </w:r>
      <w:r>
        <w:rPr>
          <w:rFonts w:ascii="宋体" w:eastAsia="宋体" w:cs="宋体" w:hAnsi="宋体" w:hint="eastAsia"/>
          <w:bCs/>
          <w:szCs w:val="32"/>
          <w:lang w:val="en-US" w:eastAsia="zh-CN"/>
        </w:rPr>
        <w:t>1.3</w:t>
      </w:r>
      <w:r>
        <w:rPr>
          <w:rFonts w:ascii="宋体" w:eastAsia="宋体" w:cs="宋体" w:hAnsi="宋体" w:hint="eastAsia"/>
          <w:bCs/>
          <w:szCs w:val="32"/>
          <w:lang w:eastAsia="zh-CN"/>
        </w:rPr>
        <w:t>规划范围</w:t>
      </w:r>
      <w:r>
        <w:tab/>
      </w:r>
      <w:r>
        <w:fldChar w:fldCharType="begin"/>
      </w:r>
      <w:r>
        <w:instrText xml:space="preserve"> PAGEREF _Toc6542 \h </w:instrText>
      </w:r>
      <w:r>
        <w:fldChar w:fldCharType="separate"/>
      </w:r>
      <w:r>
        <w:t>4</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_Toc17898 </w:instrText>
      </w:r>
      <w:r>
        <w:rPr>
          <w:szCs w:val="28"/>
        </w:rPr>
        <w:fldChar w:fldCharType="separate"/>
      </w:r>
      <w:r>
        <w:rPr>
          <w:rFonts w:ascii="宋体" w:eastAsia="宋体" w:cs="宋体" w:hAnsi="宋体" w:hint="eastAsia"/>
          <w:bCs/>
          <w:szCs w:val="32"/>
          <w:lang w:val="en-US" w:eastAsia="zh-CN"/>
        </w:rPr>
        <w:t>1.4</w:t>
      </w:r>
      <w:r>
        <w:rPr>
          <w:rFonts w:ascii="宋体" w:eastAsia="宋体" w:cs="宋体" w:hAnsi="宋体" w:hint="eastAsia"/>
          <w:bCs/>
          <w:szCs w:val="32"/>
          <w:lang w:eastAsia="zh-CN"/>
        </w:rPr>
        <w:t>数据基础</w:t>
      </w:r>
      <w:r>
        <w:tab/>
      </w:r>
      <w:r>
        <w:fldChar w:fldCharType="begin"/>
      </w:r>
      <w:r>
        <w:instrText xml:space="preserve"> PAGEREF _Toc17898 \h </w:instrText>
      </w:r>
      <w:r>
        <w:fldChar w:fldCharType="separate"/>
      </w:r>
      <w:r>
        <w:t>5</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_Toc23202 </w:instrText>
      </w:r>
      <w:r>
        <w:rPr>
          <w:szCs w:val="28"/>
        </w:rPr>
        <w:fldChar w:fldCharType="separate"/>
      </w:r>
      <w:r>
        <w:rPr>
          <w:rFonts w:ascii="宋体" w:eastAsia="宋体" w:cs="宋体" w:hAnsi="宋体" w:hint="eastAsia"/>
          <w:bCs/>
          <w:szCs w:val="32"/>
          <w:lang w:val="en-US" w:eastAsia="zh-CN"/>
        </w:rPr>
        <w:t>1.5</w:t>
      </w:r>
      <w:r>
        <w:rPr>
          <w:rFonts w:ascii="宋体" w:eastAsia="宋体" w:cs="宋体" w:hAnsi="宋体" w:hint="eastAsia"/>
          <w:bCs/>
          <w:szCs w:val="32"/>
          <w:lang w:eastAsia="zh-CN"/>
        </w:rPr>
        <w:t>规划依据</w:t>
      </w:r>
      <w:r>
        <w:tab/>
      </w:r>
      <w:r>
        <w:fldChar w:fldCharType="begin"/>
      </w:r>
      <w:r>
        <w:instrText xml:space="preserve"> PAGEREF _Toc23202 \h </w:instrText>
      </w:r>
      <w:r>
        <w:fldChar w:fldCharType="separate"/>
      </w:r>
      <w:r>
        <w:t>5</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_Toc25859 </w:instrText>
      </w:r>
      <w:r>
        <w:rPr>
          <w:szCs w:val="28"/>
        </w:rPr>
        <w:fldChar w:fldCharType="separate"/>
      </w:r>
      <w:r>
        <w:rPr>
          <w:rFonts w:ascii="宋体" w:eastAsia="宋体" w:cs="宋体" w:hAnsi="宋体" w:hint="eastAsia"/>
          <w:bCs/>
          <w:szCs w:val="32"/>
          <w:lang w:val="en-US" w:eastAsia="zh-CN"/>
        </w:rPr>
        <w:t>1.6</w:t>
      </w:r>
      <w:r>
        <w:rPr>
          <w:rFonts w:ascii="宋体" w:eastAsia="宋体" w:cs="宋体" w:hAnsi="宋体" w:hint="eastAsia"/>
          <w:bCs/>
          <w:szCs w:val="32"/>
          <w:lang w:eastAsia="zh-CN"/>
        </w:rPr>
        <w:t>项目</w:t>
      </w:r>
      <w:r>
        <w:rPr>
          <w:rFonts w:ascii="宋体" w:eastAsia="宋体" w:cs="宋体" w:hAnsi="宋体" w:hint="eastAsia"/>
          <w:bCs/>
          <w:szCs w:val="32"/>
          <w:lang w:val="en-US" w:eastAsia="zh-CN"/>
        </w:rPr>
        <w:t>建设的</w:t>
      </w:r>
      <w:r>
        <w:rPr>
          <w:rFonts w:ascii="宋体" w:eastAsia="宋体" w:cs="宋体" w:hAnsi="宋体" w:hint="eastAsia"/>
          <w:bCs/>
          <w:szCs w:val="32"/>
          <w:lang w:eastAsia="zh-CN"/>
        </w:rPr>
        <w:t>必要性</w:t>
      </w:r>
      <w:r>
        <w:tab/>
      </w:r>
      <w:r>
        <w:fldChar w:fldCharType="begin"/>
      </w:r>
      <w:r>
        <w:instrText xml:space="preserve"> PAGEREF _Toc25859 \h </w:instrText>
      </w:r>
      <w:r>
        <w:fldChar w:fldCharType="separate"/>
      </w:r>
      <w:r>
        <w:t>8</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_Toc27250 </w:instrText>
      </w:r>
      <w:r>
        <w:rPr>
          <w:szCs w:val="28"/>
        </w:rPr>
        <w:fldChar w:fldCharType="separate"/>
      </w:r>
      <w:r>
        <w:rPr>
          <w:rFonts w:ascii="宋体" w:eastAsia="宋体" w:cs="宋体" w:hAnsi="宋体" w:hint="eastAsia"/>
          <w:bCs/>
          <w:szCs w:val="32"/>
          <w:lang w:val="en-US" w:eastAsia="zh-CN"/>
        </w:rPr>
        <w:t>1.7上位</w:t>
      </w:r>
      <w:r>
        <w:rPr>
          <w:rFonts w:ascii="宋体" w:eastAsia="宋体" w:cs="宋体" w:hAnsi="宋体" w:hint="eastAsia"/>
          <w:bCs/>
          <w:szCs w:val="32"/>
          <w:lang w:eastAsia="zh-CN"/>
        </w:rPr>
        <w:t>规划及相关规划情况</w:t>
      </w:r>
      <w:r>
        <w:tab/>
      </w:r>
      <w:r>
        <w:fldChar w:fldCharType="begin"/>
      </w:r>
      <w:r>
        <w:instrText xml:space="preserve"> PAGEREF _Toc27250 \h </w:instrText>
      </w:r>
      <w:r>
        <w:fldChar w:fldCharType="separate"/>
      </w:r>
      <w:r>
        <w:t>10</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_Toc12767 </w:instrText>
      </w:r>
      <w:r>
        <w:rPr>
          <w:szCs w:val="28"/>
        </w:rPr>
        <w:fldChar w:fldCharType="separate"/>
      </w:r>
      <w:r>
        <w:rPr>
          <w:rFonts w:ascii="宋体" w:eastAsia="宋体" w:cs="宋体" w:hAnsi="宋体" w:hint="eastAsia"/>
          <w:bCs/>
          <w:szCs w:val="32"/>
          <w:lang w:eastAsia="zh-CN"/>
        </w:rPr>
        <w:t>第二章</w:t>
      </w:r>
      <w:r>
        <w:rPr>
          <w:rFonts w:ascii="宋体" w:eastAsia="宋体" w:cs="宋体" w:hAnsi="宋体" w:hint="eastAsia"/>
          <w:bCs/>
          <w:szCs w:val="32"/>
          <w:lang w:val="en-US" w:eastAsia="zh-CN"/>
        </w:rPr>
        <w:t xml:space="preserve"> </w:t>
      </w:r>
      <w:r>
        <w:rPr>
          <w:rFonts w:ascii="宋体" w:eastAsia="宋体" w:cs="宋体" w:hAnsi="宋体" w:hint="eastAsia"/>
          <w:bCs/>
          <w:szCs w:val="32"/>
          <w:lang w:eastAsia="zh-CN"/>
        </w:rPr>
        <w:t>现状</w:t>
      </w:r>
      <w:r>
        <w:rPr>
          <w:rFonts w:ascii="宋体" w:eastAsia="宋体" w:cs="宋体" w:hAnsi="宋体" w:hint="eastAsia"/>
          <w:bCs/>
          <w:szCs w:val="32"/>
        </w:rPr>
        <w:t>概况</w:t>
      </w:r>
      <w:r>
        <w:tab/>
      </w:r>
      <w:r>
        <w:fldChar w:fldCharType="begin"/>
      </w:r>
      <w:r>
        <w:instrText xml:space="preserve"> PAGEREF _Toc12767 \h </w:instrText>
      </w:r>
      <w:r>
        <w:fldChar w:fldCharType="separate"/>
      </w:r>
      <w:r>
        <w:t>12</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_Toc17439 </w:instrText>
      </w:r>
      <w:r>
        <w:rPr>
          <w:szCs w:val="28"/>
        </w:rPr>
        <w:fldChar w:fldCharType="separate"/>
      </w:r>
      <w:r>
        <w:rPr>
          <w:rFonts w:ascii="宋体" w:eastAsia="宋体" w:cs="宋体" w:hAnsi="宋体" w:hint="eastAsia"/>
          <w:bCs/>
          <w:szCs w:val="32"/>
          <w:lang w:val="en-US" w:eastAsia="zh-CN"/>
        </w:rPr>
        <w:t>2.1区位情况</w:t>
      </w:r>
      <w:r>
        <w:tab/>
      </w:r>
      <w:r>
        <w:fldChar w:fldCharType="begin"/>
      </w:r>
      <w:r>
        <w:instrText xml:space="preserve"> PAGEREF _Toc17439 \h </w:instrText>
      </w:r>
      <w:r>
        <w:fldChar w:fldCharType="separate"/>
      </w:r>
      <w:r>
        <w:t>12</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_Toc17592 </w:instrText>
      </w:r>
      <w:r>
        <w:rPr>
          <w:szCs w:val="28"/>
        </w:rPr>
        <w:fldChar w:fldCharType="separate"/>
      </w:r>
      <w:r>
        <w:rPr>
          <w:rFonts w:ascii="宋体" w:eastAsia="宋体" w:cs="宋体" w:hAnsi="宋体" w:hint="eastAsia"/>
          <w:bCs/>
          <w:szCs w:val="32"/>
          <w:lang w:val="en-US" w:eastAsia="zh-CN"/>
        </w:rPr>
        <w:t>2.2现状概况</w:t>
      </w:r>
      <w:r>
        <w:tab/>
      </w:r>
      <w:r>
        <w:fldChar w:fldCharType="begin"/>
      </w:r>
      <w:r>
        <w:instrText xml:space="preserve"> PAGEREF _Toc17592 \h </w:instrText>
      </w:r>
      <w:r>
        <w:fldChar w:fldCharType="separate"/>
      </w:r>
      <w:r>
        <w:t>13</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_Toc2576 </w:instrText>
      </w:r>
      <w:r>
        <w:rPr>
          <w:szCs w:val="28"/>
        </w:rPr>
        <w:fldChar w:fldCharType="separate"/>
      </w:r>
      <w:r>
        <w:rPr>
          <w:rFonts w:ascii="宋体" w:eastAsia="宋体" w:cs="宋体" w:hAnsi="宋体" w:hint="eastAsia"/>
          <w:bCs/>
          <w:szCs w:val="32"/>
          <w:lang w:val="en-US" w:eastAsia="zh-CN"/>
        </w:rPr>
        <w:t>2.3土地利用现状</w:t>
      </w:r>
      <w:r>
        <w:tab/>
      </w:r>
      <w:r>
        <w:fldChar w:fldCharType="begin"/>
      </w:r>
      <w:r>
        <w:instrText xml:space="preserve"> PAGEREF _Toc2576 \h </w:instrText>
      </w:r>
      <w:r>
        <w:fldChar w:fldCharType="separate"/>
      </w:r>
      <w:r>
        <w:t>16</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_Toc23824 </w:instrText>
      </w:r>
      <w:r>
        <w:rPr>
          <w:szCs w:val="28"/>
        </w:rPr>
        <w:fldChar w:fldCharType="separate"/>
      </w:r>
      <w:r>
        <w:rPr>
          <w:rFonts w:ascii="宋体" w:eastAsia="宋体" w:cs="宋体" w:hAnsi="宋体" w:hint="eastAsia"/>
          <w:bCs/>
          <w:szCs w:val="32"/>
          <w:lang w:val="en-US" w:eastAsia="zh-CN"/>
        </w:rPr>
        <w:t>2.4周边区域情况</w:t>
      </w:r>
      <w:r>
        <w:tab/>
      </w:r>
      <w:r>
        <w:fldChar w:fldCharType="begin"/>
      </w:r>
      <w:r>
        <w:instrText xml:space="preserve"> PAGEREF _Toc23824 \h </w:instrText>
      </w:r>
      <w:r>
        <w:fldChar w:fldCharType="separate"/>
      </w:r>
      <w:r>
        <w:t>19</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_Toc20910 </w:instrText>
      </w:r>
      <w:r>
        <w:rPr>
          <w:szCs w:val="28"/>
        </w:rPr>
        <w:fldChar w:fldCharType="separate"/>
      </w:r>
      <w:r>
        <w:rPr>
          <w:rFonts w:ascii="宋体" w:eastAsia="宋体" w:cs="宋体" w:hAnsi="宋体" w:hint="eastAsia"/>
          <w:bCs/>
          <w:szCs w:val="32"/>
          <w:lang w:eastAsia="zh-CN"/>
        </w:rPr>
        <w:t>第三章</w:t>
      </w:r>
      <w:r>
        <w:rPr>
          <w:rFonts w:ascii="宋体" w:eastAsia="宋体" w:cs="宋体" w:hAnsi="宋体" w:hint="eastAsia"/>
          <w:bCs/>
          <w:szCs w:val="32"/>
          <w:lang w:val="en-US" w:eastAsia="zh-CN"/>
        </w:rPr>
        <w:t xml:space="preserve"> </w:t>
      </w:r>
      <w:r>
        <w:rPr>
          <w:rFonts w:ascii="宋体" w:eastAsia="宋体" w:cs="宋体" w:hAnsi="宋体" w:hint="eastAsia"/>
          <w:bCs/>
          <w:szCs w:val="32"/>
        </w:rPr>
        <w:t>用地布局规划</w:t>
      </w:r>
      <w:r>
        <w:tab/>
      </w:r>
      <w:r>
        <w:fldChar w:fldCharType="begin"/>
      </w:r>
      <w:r>
        <w:instrText xml:space="preserve"> PAGEREF _Toc20910 \h </w:instrText>
      </w:r>
      <w:r>
        <w:fldChar w:fldCharType="separate"/>
      </w:r>
      <w:r>
        <w:t>21</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_Toc26344 </w:instrText>
      </w:r>
      <w:r>
        <w:rPr>
          <w:szCs w:val="28"/>
        </w:rPr>
        <w:fldChar w:fldCharType="separate"/>
      </w:r>
      <w:r>
        <w:rPr>
          <w:rFonts w:ascii="宋体" w:eastAsia="宋体" w:cs="宋体" w:hAnsi="宋体" w:hint="eastAsia"/>
          <w:bCs/>
          <w:szCs w:val="32"/>
          <w:lang w:val="en-US" w:eastAsia="zh-CN"/>
        </w:rPr>
        <w:t>3.1规划依据</w:t>
      </w:r>
      <w:r>
        <w:tab/>
      </w:r>
      <w:r>
        <w:fldChar w:fldCharType="begin"/>
      </w:r>
      <w:r>
        <w:instrText xml:space="preserve"> PAGEREF _Toc26344 \h </w:instrText>
      </w:r>
      <w:r>
        <w:fldChar w:fldCharType="separate"/>
      </w:r>
      <w:r>
        <w:t>21</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_Toc23081 </w:instrText>
      </w:r>
      <w:r>
        <w:rPr>
          <w:szCs w:val="28"/>
        </w:rPr>
        <w:fldChar w:fldCharType="separate"/>
      </w:r>
      <w:r>
        <w:rPr>
          <w:rFonts w:ascii="宋体" w:eastAsia="宋体" w:cs="宋体" w:hAnsi="宋体" w:hint="eastAsia"/>
          <w:bCs/>
          <w:szCs w:val="32"/>
          <w:lang w:val="en-US" w:eastAsia="zh-CN"/>
        </w:rPr>
        <w:t>3.2规划原则</w:t>
      </w:r>
      <w:r>
        <w:tab/>
      </w:r>
      <w:r>
        <w:fldChar w:fldCharType="begin"/>
      </w:r>
      <w:r>
        <w:instrText xml:space="preserve"> PAGEREF _Toc23081 \h </w:instrText>
      </w:r>
      <w:r>
        <w:fldChar w:fldCharType="separate"/>
      </w:r>
      <w:r>
        <w:t>21</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_Toc774 </w:instrText>
      </w:r>
      <w:r>
        <w:rPr>
          <w:szCs w:val="28"/>
        </w:rPr>
        <w:fldChar w:fldCharType="separate"/>
      </w:r>
      <w:r>
        <w:rPr>
          <w:rFonts w:ascii="宋体" w:eastAsia="宋体" w:cs="宋体" w:hAnsi="宋体" w:hint="eastAsia"/>
          <w:bCs/>
          <w:szCs w:val="32"/>
          <w:lang w:val="en-US" w:eastAsia="zh-CN"/>
        </w:rPr>
        <w:t>3.3土地利用规划</w:t>
      </w:r>
      <w:r>
        <w:tab/>
      </w:r>
      <w:r>
        <w:fldChar w:fldCharType="begin"/>
      </w:r>
      <w:r>
        <w:instrText xml:space="preserve"> PAGEREF _Toc774 \h </w:instrText>
      </w:r>
      <w:r>
        <w:fldChar w:fldCharType="separate"/>
      </w:r>
      <w:r>
        <w:t>22</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_Toc28224 </w:instrText>
      </w:r>
      <w:r>
        <w:rPr>
          <w:szCs w:val="28"/>
        </w:rPr>
        <w:fldChar w:fldCharType="separate"/>
      </w:r>
      <w:r>
        <w:rPr>
          <w:rFonts w:ascii="宋体" w:eastAsia="宋体" w:cs="宋体" w:hAnsi="宋体" w:hint="eastAsia"/>
          <w:bCs/>
          <w:szCs w:val="32"/>
          <w:lang w:val="en-US" w:eastAsia="zh-CN"/>
        </w:rPr>
        <w:t>3.4用地规划与相邻区域关系</w:t>
      </w:r>
      <w:r>
        <w:tab/>
      </w:r>
      <w:r>
        <w:fldChar w:fldCharType="begin"/>
      </w:r>
      <w:r>
        <w:instrText xml:space="preserve"> PAGEREF _Toc28224 \h </w:instrText>
      </w:r>
      <w:r>
        <w:fldChar w:fldCharType="separate"/>
      </w:r>
      <w:r>
        <w:t>27</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_Toc29199 </w:instrText>
      </w:r>
      <w:r>
        <w:rPr>
          <w:szCs w:val="28"/>
        </w:rPr>
        <w:fldChar w:fldCharType="separate"/>
      </w:r>
      <w:r>
        <w:rPr>
          <w:rFonts w:ascii="宋体" w:eastAsia="宋体" w:cs="宋体" w:hAnsi="宋体" w:hint="eastAsia"/>
          <w:bCs/>
          <w:szCs w:val="32"/>
          <w:lang w:eastAsia="zh-CN"/>
        </w:rPr>
        <w:t>第四章</w:t>
      </w:r>
      <w:r>
        <w:rPr>
          <w:rFonts w:ascii="宋体" w:eastAsia="宋体" w:cs="宋体" w:hAnsi="宋体" w:hint="eastAsia"/>
          <w:bCs/>
          <w:szCs w:val="32"/>
          <w:lang w:val="en-US" w:eastAsia="zh-CN"/>
        </w:rPr>
        <w:t xml:space="preserve"> </w:t>
      </w:r>
      <w:r>
        <w:rPr>
          <w:rFonts w:ascii="宋体" w:eastAsia="宋体" w:cs="宋体" w:hAnsi="宋体" w:hint="eastAsia"/>
          <w:bCs/>
          <w:szCs w:val="32"/>
        </w:rPr>
        <w:t>综合交通及竖向规划</w:t>
      </w:r>
      <w:r>
        <w:tab/>
      </w:r>
      <w:r>
        <w:fldChar w:fldCharType="begin"/>
      </w:r>
      <w:r>
        <w:instrText xml:space="preserve"> PAGEREF _Toc29199 \h </w:instrText>
      </w:r>
      <w:r>
        <w:fldChar w:fldCharType="separate"/>
      </w:r>
      <w:r>
        <w:t>29</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_Toc29021 </w:instrText>
      </w:r>
      <w:r>
        <w:rPr>
          <w:szCs w:val="28"/>
        </w:rPr>
        <w:fldChar w:fldCharType="separate"/>
      </w:r>
      <w:r>
        <w:rPr>
          <w:rFonts w:ascii="宋体" w:eastAsia="宋体" w:cs="宋体" w:hAnsi="宋体" w:hint="eastAsia"/>
          <w:bCs/>
          <w:szCs w:val="32"/>
          <w:lang w:val="en-US" w:eastAsia="zh-CN"/>
        </w:rPr>
        <w:t>4.1综合交通规划</w:t>
      </w:r>
      <w:r>
        <w:tab/>
      </w:r>
      <w:r>
        <w:fldChar w:fldCharType="begin"/>
      </w:r>
      <w:r>
        <w:instrText xml:space="preserve"> PAGEREF _Toc29021 \h </w:instrText>
      </w:r>
      <w:r>
        <w:fldChar w:fldCharType="separate"/>
      </w:r>
      <w:r>
        <w:t>29</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_Toc440 </w:instrText>
      </w:r>
      <w:r>
        <w:rPr>
          <w:szCs w:val="28"/>
        </w:rPr>
        <w:fldChar w:fldCharType="separate"/>
      </w:r>
      <w:r>
        <w:rPr>
          <w:rFonts w:ascii="宋体" w:eastAsia="宋体" w:cs="宋体" w:hAnsi="宋体" w:hint="eastAsia"/>
          <w:bCs/>
          <w:szCs w:val="32"/>
          <w:lang w:val="en-US" w:eastAsia="zh-CN"/>
        </w:rPr>
        <w:t>4.2竖向规划</w:t>
      </w:r>
      <w:r>
        <w:tab/>
      </w:r>
      <w:r>
        <w:fldChar w:fldCharType="begin"/>
      </w:r>
      <w:r>
        <w:instrText xml:space="preserve"> PAGEREF _Toc440 \h </w:instrText>
      </w:r>
      <w:r>
        <w:fldChar w:fldCharType="separate"/>
      </w:r>
      <w:r>
        <w:t>31</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_Toc23174 </w:instrText>
      </w:r>
      <w:r>
        <w:rPr>
          <w:szCs w:val="28"/>
        </w:rPr>
        <w:fldChar w:fldCharType="separate"/>
      </w:r>
      <w:r>
        <w:rPr>
          <w:rFonts w:ascii="宋体" w:eastAsia="宋体" w:cs="宋体" w:hAnsi="宋体" w:hint="eastAsia"/>
          <w:bCs/>
          <w:szCs w:val="32"/>
          <w:lang w:eastAsia="zh-CN"/>
        </w:rPr>
        <w:t>第五章</w:t>
      </w:r>
      <w:r>
        <w:rPr>
          <w:rFonts w:ascii="宋体" w:eastAsia="宋体" w:cs="宋体" w:hAnsi="宋体" w:hint="eastAsia"/>
          <w:bCs/>
          <w:szCs w:val="32"/>
          <w:lang w:val="en-US" w:eastAsia="zh-CN"/>
        </w:rPr>
        <w:t xml:space="preserve"> </w:t>
      </w:r>
      <w:r>
        <w:rPr>
          <w:rFonts w:ascii="宋体" w:eastAsia="宋体" w:cs="宋体" w:hAnsi="宋体" w:hint="eastAsia"/>
          <w:bCs/>
          <w:szCs w:val="32"/>
        </w:rPr>
        <w:t>市政工程规划</w:t>
      </w:r>
      <w:r>
        <w:tab/>
      </w:r>
      <w:r>
        <w:fldChar w:fldCharType="begin"/>
      </w:r>
      <w:r>
        <w:instrText xml:space="preserve"> PAGEREF _Toc23174 \h </w:instrText>
      </w:r>
      <w:r>
        <w:fldChar w:fldCharType="separate"/>
      </w:r>
      <w:r>
        <w:t>32</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_Toc21612 </w:instrText>
      </w:r>
      <w:r>
        <w:rPr>
          <w:szCs w:val="28"/>
        </w:rPr>
        <w:fldChar w:fldCharType="separate"/>
      </w:r>
      <w:r>
        <w:rPr>
          <w:rFonts w:ascii="宋体" w:eastAsia="宋体" w:cs="宋体" w:hAnsi="宋体" w:hint="eastAsia"/>
          <w:bCs/>
          <w:szCs w:val="32"/>
          <w:lang w:val="en-US" w:eastAsia="zh-CN"/>
        </w:rPr>
        <w:t>5.1给水工程规划</w:t>
      </w:r>
      <w:r>
        <w:tab/>
      </w:r>
      <w:r>
        <w:fldChar w:fldCharType="begin"/>
      </w:r>
      <w:r>
        <w:instrText xml:space="preserve"> PAGEREF _Toc21612 \h </w:instrText>
      </w:r>
      <w:r>
        <w:fldChar w:fldCharType="separate"/>
      </w:r>
      <w:r>
        <w:t>32</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_Toc13305 </w:instrText>
      </w:r>
      <w:r>
        <w:rPr>
          <w:szCs w:val="28"/>
        </w:rPr>
        <w:fldChar w:fldCharType="separate"/>
      </w:r>
      <w:r>
        <w:rPr>
          <w:rFonts w:ascii="宋体" w:eastAsia="宋体" w:cs="宋体" w:hAnsi="宋体" w:hint="eastAsia"/>
          <w:bCs/>
          <w:szCs w:val="32"/>
          <w:lang w:val="en-US" w:eastAsia="zh-CN"/>
        </w:rPr>
        <w:t>5.2排水工程规划</w:t>
      </w:r>
      <w:r>
        <w:tab/>
      </w:r>
      <w:r>
        <w:fldChar w:fldCharType="begin"/>
      </w:r>
      <w:r>
        <w:instrText xml:space="preserve"> PAGEREF _Toc13305 \h </w:instrText>
      </w:r>
      <w:r>
        <w:fldChar w:fldCharType="separate"/>
      </w:r>
      <w:r>
        <w:t>33</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_Toc24329 </w:instrText>
      </w:r>
      <w:r>
        <w:rPr>
          <w:szCs w:val="28"/>
        </w:rPr>
        <w:fldChar w:fldCharType="separate"/>
      </w:r>
      <w:r>
        <w:rPr>
          <w:rFonts w:ascii="宋体" w:eastAsia="宋体" w:cs="宋体" w:hAnsi="宋体" w:hint="eastAsia"/>
          <w:bCs/>
          <w:szCs w:val="32"/>
          <w:lang w:val="en-US" w:eastAsia="zh-CN"/>
        </w:rPr>
        <w:t xml:space="preserve">5.3 </w:t>
      </w:r>
      <w:r>
        <w:rPr>
          <w:rFonts w:ascii="宋体" w:eastAsia="宋体" w:cs="宋体" w:hAnsi="宋体" w:hint="eastAsia"/>
          <w:bCs/>
          <w:szCs w:val="32"/>
        </w:rPr>
        <w:t>电力工程规划</w:t>
      </w:r>
      <w:r>
        <w:tab/>
      </w:r>
      <w:r>
        <w:fldChar w:fldCharType="begin"/>
      </w:r>
      <w:r>
        <w:instrText xml:space="preserve"> PAGEREF _Toc24329 \h </w:instrText>
      </w:r>
      <w:r>
        <w:fldChar w:fldCharType="separate"/>
      </w:r>
      <w:r>
        <w:t>36</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_Toc11362 </w:instrText>
      </w:r>
      <w:r>
        <w:rPr>
          <w:szCs w:val="28"/>
        </w:rPr>
        <w:fldChar w:fldCharType="separate"/>
      </w:r>
      <w:r>
        <w:rPr>
          <w:rFonts w:ascii="宋体" w:eastAsia="宋体" w:cs="宋体" w:hAnsi="宋体" w:hint="eastAsia"/>
          <w:bCs/>
          <w:szCs w:val="32"/>
          <w:lang w:val="en-US" w:eastAsia="zh-CN"/>
        </w:rPr>
        <w:t>5.4通信工程规划</w:t>
      </w:r>
      <w:r>
        <w:tab/>
      </w:r>
      <w:r>
        <w:fldChar w:fldCharType="begin"/>
      </w:r>
      <w:r>
        <w:instrText xml:space="preserve"> PAGEREF _Toc11362 \h </w:instrText>
      </w:r>
      <w:r>
        <w:fldChar w:fldCharType="separate"/>
      </w:r>
      <w:r>
        <w:t>38</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_Toc5546 </w:instrText>
      </w:r>
      <w:r>
        <w:rPr>
          <w:szCs w:val="28"/>
        </w:rPr>
        <w:fldChar w:fldCharType="separate"/>
      </w:r>
      <w:r>
        <w:rPr>
          <w:rFonts w:ascii="宋体" w:eastAsia="宋体" w:cs="宋体" w:hAnsi="宋体" w:hint="eastAsia"/>
          <w:bCs/>
          <w:szCs w:val="32"/>
          <w:lang w:val="en-US" w:eastAsia="zh-CN"/>
        </w:rPr>
        <w:t>5.5环卫设施规划</w:t>
      </w:r>
      <w:r>
        <w:tab/>
      </w:r>
      <w:r>
        <w:fldChar w:fldCharType="begin"/>
      </w:r>
      <w:r>
        <w:instrText xml:space="preserve"> PAGEREF _Toc5546 \h </w:instrText>
      </w:r>
      <w:r>
        <w:fldChar w:fldCharType="separate"/>
      </w:r>
      <w:r>
        <w:t>39</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_Toc28432 </w:instrText>
      </w:r>
      <w:r>
        <w:rPr>
          <w:szCs w:val="28"/>
        </w:rPr>
        <w:fldChar w:fldCharType="separate"/>
      </w:r>
      <w:r>
        <w:rPr>
          <w:rFonts w:ascii="宋体" w:eastAsia="宋体" w:cs="宋体" w:hAnsi="宋体" w:hint="eastAsia"/>
          <w:bCs/>
          <w:szCs w:val="32"/>
          <w:lang w:eastAsia="zh-CN"/>
        </w:rPr>
        <w:t>第六章</w:t>
      </w:r>
      <w:r>
        <w:rPr>
          <w:rFonts w:ascii="宋体" w:eastAsia="宋体" w:cs="宋体" w:hAnsi="宋体" w:hint="eastAsia"/>
          <w:bCs/>
          <w:szCs w:val="32"/>
          <w:lang w:val="en-US" w:eastAsia="zh-CN"/>
        </w:rPr>
        <w:t xml:space="preserve"> </w:t>
      </w:r>
      <w:r>
        <w:rPr>
          <w:rFonts w:ascii="宋体" w:eastAsia="宋体" w:cs="宋体" w:hAnsi="宋体" w:hint="eastAsia"/>
          <w:bCs/>
          <w:szCs w:val="32"/>
        </w:rPr>
        <w:t>综合防灾规划</w:t>
      </w:r>
      <w:r>
        <w:tab/>
      </w:r>
      <w:r>
        <w:fldChar w:fldCharType="begin"/>
      </w:r>
      <w:r>
        <w:instrText xml:space="preserve"> PAGEREF _Toc28432 \h </w:instrText>
      </w:r>
      <w:r>
        <w:fldChar w:fldCharType="separate"/>
      </w:r>
      <w:r>
        <w:t>40</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_Toc18323 </w:instrText>
      </w:r>
      <w:r>
        <w:rPr>
          <w:szCs w:val="28"/>
        </w:rPr>
        <w:fldChar w:fldCharType="separate"/>
      </w:r>
      <w:r>
        <w:rPr>
          <w:rFonts w:ascii="宋体" w:eastAsia="宋体" w:cs="宋体" w:hAnsi="宋体" w:hint="eastAsia"/>
          <w:bCs/>
          <w:szCs w:val="32"/>
          <w:lang w:val="en-US" w:eastAsia="zh-CN"/>
        </w:rPr>
        <w:t>6.1消防规划</w:t>
      </w:r>
      <w:r>
        <w:tab/>
      </w:r>
      <w:r>
        <w:fldChar w:fldCharType="begin"/>
      </w:r>
      <w:r>
        <w:instrText xml:space="preserve"> PAGEREF _Toc18323 \h </w:instrText>
      </w:r>
      <w:r>
        <w:fldChar w:fldCharType="separate"/>
      </w:r>
      <w:r>
        <w:t>40</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_Toc25243 </w:instrText>
      </w:r>
      <w:r>
        <w:rPr>
          <w:szCs w:val="28"/>
        </w:rPr>
        <w:fldChar w:fldCharType="separate"/>
      </w:r>
      <w:r>
        <w:rPr>
          <w:rFonts w:ascii="宋体" w:eastAsia="宋体" w:cs="宋体" w:hAnsi="宋体" w:hint="eastAsia"/>
          <w:bCs/>
          <w:szCs w:val="32"/>
          <w:lang w:val="en-US" w:eastAsia="zh-CN"/>
        </w:rPr>
        <w:t>6.2抗震防灾规划</w:t>
      </w:r>
      <w:r>
        <w:tab/>
      </w:r>
      <w:r>
        <w:fldChar w:fldCharType="begin"/>
      </w:r>
      <w:r>
        <w:instrText xml:space="preserve"> PAGEREF _Toc25243 \h </w:instrText>
      </w:r>
      <w:r>
        <w:fldChar w:fldCharType="separate"/>
      </w:r>
      <w:r>
        <w:t>45</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_Toc27583 </w:instrText>
      </w:r>
      <w:r>
        <w:rPr>
          <w:szCs w:val="28"/>
        </w:rPr>
        <w:fldChar w:fldCharType="separate"/>
      </w:r>
      <w:r>
        <w:rPr>
          <w:rFonts w:ascii="宋体" w:eastAsia="宋体" w:cs="宋体" w:hAnsi="宋体" w:hint="eastAsia"/>
          <w:bCs/>
          <w:szCs w:val="32"/>
          <w:lang w:val="en-US" w:eastAsia="zh-CN"/>
        </w:rPr>
        <w:t>6.3防洪排涝</w:t>
      </w:r>
      <w:r>
        <w:tab/>
      </w:r>
      <w:r>
        <w:fldChar w:fldCharType="begin"/>
      </w:r>
      <w:r>
        <w:instrText xml:space="preserve"> PAGEREF _Toc27583 \h </w:instrText>
      </w:r>
      <w:r>
        <w:fldChar w:fldCharType="separate"/>
      </w:r>
      <w:r>
        <w:t>47</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_Toc10701 </w:instrText>
      </w:r>
      <w:r>
        <w:rPr>
          <w:szCs w:val="28"/>
        </w:rPr>
        <w:fldChar w:fldCharType="separate"/>
      </w:r>
      <w:r>
        <w:rPr>
          <w:rFonts w:ascii="宋体" w:eastAsia="宋体" w:cs="宋体" w:hAnsi="宋体" w:hint="eastAsia"/>
          <w:bCs/>
          <w:szCs w:val="32"/>
          <w:lang w:val="en-US" w:eastAsia="zh-CN"/>
        </w:rPr>
        <w:t>6.4地质灾害防治规划</w:t>
      </w:r>
      <w:r>
        <w:tab/>
      </w:r>
      <w:r>
        <w:fldChar w:fldCharType="begin"/>
      </w:r>
      <w:r>
        <w:instrText xml:space="preserve"> PAGEREF _Toc10701 \h </w:instrText>
      </w:r>
      <w:r>
        <w:fldChar w:fldCharType="separate"/>
      </w:r>
      <w:r>
        <w:t>50</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_Toc27299 </w:instrText>
      </w:r>
      <w:r>
        <w:rPr>
          <w:szCs w:val="28"/>
        </w:rPr>
        <w:fldChar w:fldCharType="separate"/>
      </w:r>
      <w:r>
        <w:rPr>
          <w:rFonts w:ascii="宋体" w:eastAsia="宋体" w:cs="宋体" w:hAnsi="宋体" w:hint="eastAsia"/>
          <w:bCs/>
          <w:szCs w:val="32"/>
          <w:lang w:eastAsia="zh-CN"/>
        </w:rPr>
        <w:t>第七章</w:t>
      </w:r>
      <w:r>
        <w:rPr>
          <w:rFonts w:ascii="宋体" w:eastAsia="宋体" w:cs="宋体" w:hAnsi="宋体" w:hint="eastAsia"/>
          <w:bCs/>
          <w:szCs w:val="32"/>
          <w:lang w:val="en-US" w:eastAsia="zh-CN"/>
        </w:rPr>
        <w:t xml:space="preserve"> </w:t>
      </w:r>
      <w:r>
        <w:rPr>
          <w:rFonts w:ascii="宋体" w:eastAsia="宋体" w:cs="宋体" w:hAnsi="宋体" w:hint="eastAsia"/>
          <w:bCs/>
          <w:szCs w:val="32"/>
          <w:lang w:eastAsia="zh-CN"/>
        </w:rPr>
        <w:t>地块管控</w:t>
      </w:r>
      <w:r>
        <w:rPr>
          <w:rFonts w:ascii="宋体" w:eastAsia="宋体" w:cs="宋体" w:hAnsi="宋体" w:hint="eastAsia"/>
          <w:bCs/>
          <w:szCs w:val="32"/>
        </w:rPr>
        <w:t>规划</w:t>
      </w:r>
      <w:r>
        <w:tab/>
      </w:r>
      <w:r>
        <w:fldChar w:fldCharType="begin"/>
      </w:r>
      <w:r>
        <w:instrText xml:space="preserve"> PAGEREF _Toc27299 \h </w:instrText>
      </w:r>
      <w:r>
        <w:fldChar w:fldCharType="separate"/>
      </w:r>
      <w:r>
        <w:t>51</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_Toc24788 </w:instrText>
      </w:r>
      <w:r>
        <w:rPr>
          <w:szCs w:val="28"/>
        </w:rPr>
        <w:fldChar w:fldCharType="separate"/>
      </w:r>
      <w:r>
        <w:rPr>
          <w:rFonts w:ascii="宋体" w:eastAsia="宋体" w:cs="宋体" w:hAnsi="宋体" w:hint="eastAsia"/>
          <w:bCs/>
          <w:szCs w:val="32"/>
          <w:lang w:val="en-US" w:eastAsia="zh-CN"/>
        </w:rPr>
        <w:t>7.1地块控制内容</w:t>
      </w:r>
      <w:r>
        <w:tab/>
      </w:r>
      <w:r>
        <w:fldChar w:fldCharType="begin"/>
      </w:r>
      <w:r>
        <w:instrText xml:space="preserve"> PAGEREF _Toc24788 \h </w:instrText>
      </w:r>
      <w:r>
        <w:fldChar w:fldCharType="separate"/>
      </w:r>
      <w:r>
        <w:t>51</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_Toc5909 </w:instrText>
      </w:r>
      <w:r>
        <w:rPr>
          <w:szCs w:val="28"/>
        </w:rPr>
        <w:fldChar w:fldCharType="separate"/>
      </w:r>
      <w:r>
        <w:rPr>
          <w:rFonts w:ascii="宋体" w:eastAsia="宋体" w:cs="宋体" w:hAnsi="宋体" w:hint="eastAsia"/>
          <w:bCs/>
          <w:szCs w:val="32"/>
          <w:lang w:val="en-US" w:eastAsia="zh-CN"/>
        </w:rPr>
        <w:t>7.2地块控制指标表</w:t>
      </w:r>
      <w:r>
        <w:tab/>
      </w:r>
      <w:r>
        <w:fldChar w:fldCharType="begin"/>
      </w:r>
      <w:r>
        <w:instrText xml:space="preserve"> PAGEREF _Toc5909 \h </w:instrText>
      </w:r>
      <w:r>
        <w:fldChar w:fldCharType="separate"/>
      </w:r>
      <w:r>
        <w:t>58</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_Toc8455 </w:instrText>
      </w:r>
      <w:r>
        <w:rPr>
          <w:szCs w:val="28"/>
        </w:rPr>
        <w:fldChar w:fldCharType="separate"/>
      </w:r>
      <w:r>
        <w:rPr>
          <w:rFonts w:ascii="宋体" w:eastAsia="宋体" w:cs="宋体" w:hAnsi="宋体" w:hint="eastAsia"/>
          <w:bCs/>
          <w:szCs w:val="32"/>
          <w:lang w:eastAsia="zh-CN"/>
        </w:rPr>
        <w:t>第八章</w:t>
      </w:r>
      <w:r>
        <w:rPr>
          <w:rFonts w:ascii="宋体" w:eastAsia="宋体" w:cs="宋体" w:hAnsi="宋体" w:hint="eastAsia"/>
          <w:bCs/>
          <w:szCs w:val="32"/>
          <w:lang w:val="en-US" w:eastAsia="zh-CN"/>
        </w:rPr>
        <w:t xml:space="preserve"> </w:t>
      </w:r>
      <w:r>
        <w:rPr>
          <w:rFonts w:ascii="宋体" w:eastAsia="宋体" w:cs="宋体" w:hAnsi="宋体" w:hint="eastAsia"/>
          <w:bCs/>
          <w:szCs w:val="32"/>
          <w:lang w:eastAsia="zh-CN"/>
        </w:rPr>
        <w:t>环境保护</w:t>
      </w:r>
      <w:r>
        <w:rPr>
          <w:rFonts w:ascii="宋体" w:eastAsia="宋体" w:cs="宋体" w:hAnsi="宋体" w:hint="eastAsia"/>
          <w:bCs/>
          <w:szCs w:val="32"/>
        </w:rPr>
        <w:t>规划</w:t>
      </w:r>
      <w:r>
        <w:tab/>
      </w:r>
      <w:r>
        <w:fldChar w:fldCharType="begin"/>
      </w:r>
      <w:r>
        <w:instrText xml:space="preserve"> PAGEREF _Toc8455 \h </w:instrText>
      </w:r>
      <w:r>
        <w:fldChar w:fldCharType="separate"/>
      </w:r>
      <w:r>
        <w:t>62</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_Toc22404 </w:instrText>
      </w:r>
      <w:r>
        <w:rPr>
          <w:szCs w:val="28"/>
        </w:rPr>
        <w:fldChar w:fldCharType="separate"/>
      </w:r>
      <w:r>
        <w:rPr>
          <w:rFonts w:ascii="宋体" w:eastAsia="宋体" w:cs="宋体" w:hAnsi="宋体" w:hint="eastAsia"/>
          <w:bCs/>
          <w:szCs w:val="32"/>
          <w:lang w:val="en-US" w:eastAsia="zh-CN"/>
        </w:rPr>
        <w:t>8.1规划依据</w:t>
      </w:r>
      <w:r>
        <w:tab/>
      </w:r>
      <w:r>
        <w:fldChar w:fldCharType="begin"/>
      </w:r>
      <w:r>
        <w:instrText xml:space="preserve"> PAGEREF _Toc22404 \h </w:instrText>
      </w:r>
      <w:r>
        <w:fldChar w:fldCharType="separate"/>
      </w:r>
      <w:r>
        <w:t>62</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_Toc26559 </w:instrText>
      </w:r>
      <w:r>
        <w:rPr>
          <w:szCs w:val="28"/>
        </w:rPr>
        <w:fldChar w:fldCharType="separate"/>
      </w:r>
      <w:r>
        <w:rPr>
          <w:rFonts w:ascii="宋体" w:eastAsia="宋体" w:cs="宋体" w:hAnsi="宋体" w:hint="eastAsia"/>
          <w:bCs/>
          <w:szCs w:val="32"/>
          <w:lang w:val="en-US" w:eastAsia="zh-CN"/>
        </w:rPr>
        <w:t>8.2环境保护措施</w:t>
      </w:r>
      <w:r>
        <w:tab/>
      </w:r>
      <w:r>
        <w:fldChar w:fldCharType="begin"/>
      </w:r>
      <w:r>
        <w:instrText xml:space="preserve"> PAGEREF _Toc26559 \h </w:instrText>
      </w:r>
      <w:r>
        <w:fldChar w:fldCharType="separate"/>
      </w:r>
      <w:r>
        <w:t>62</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_Toc18919 </w:instrText>
      </w:r>
      <w:r>
        <w:rPr>
          <w:szCs w:val="28"/>
        </w:rPr>
        <w:fldChar w:fldCharType="separate"/>
      </w:r>
      <w:r>
        <w:rPr>
          <w:rFonts w:ascii="宋体" w:eastAsia="宋体" w:cs="宋体" w:hAnsi="宋体" w:hint="eastAsia"/>
          <w:bCs/>
          <w:szCs w:val="32"/>
          <w:lang w:eastAsia="zh-CN"/>
        </w:rPr>
        <w:t>第九章</w:t>
      </w:r>
      <w:r>
        <w:rPr>
          <w:rFonts w:ascii="宋体" w:eastAsia="宋体" w:cs="宋体" w:hAnsi="宋体" w:hint="eastAsia"/>
          <w:bCs/>
          <w:szCs w:val="32"/>
          <w:lang w:val="en-US" w:eastAsia="zh-CN"/>
        </w:rPr>
        <w:t xml:space="preserve"> </w:t>
      </w:r>
      <w:r>
        <w:rPr>
          <w:rFonts w:ascii="宋体" w:eastAsia="宋体" w:cs="宋体" w:hAnsi="宋体" w:hint="eastAsia"/>
          <w:bCs/>
          <w:szCs w:val="32"/>
          <w:lang w:eastAsia="zh-CN"/>
        </w:rPr>
        <w:t>附则</w:t>
      </w:r>
      <w:r>
        <w:tab/>
      </w:r>
      <w:r>
        <w:fldChar w:fldCharType="begin"/>
      </w:r>
      <w:r>
        <w:instrText xml:space="preserve"> PAGEREF _Toc18919 \h </w:instrText>
      </w:r>
      <w:r>
        <w:fldChar w:fldCharType="separate"/>
      </w:r>
      <w:r>
        <w:t>70</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_Toc8470 </w:instrText>
      </w:r>
      <w:r>
        <w:rPr>
          <w:szCs w:val="28"/>
        </w:rPr>
        <w:fldChar w:fldCharType="separate"/>
      </w:r>
      <w:r>
        <w:rPr>
          <w:rFonts w:ascii="宋体" w:eastAsia="宋体" w:cs="宋体" w:hAnsi="宋体" w:hint="eastAsia"/>
          <w:bCs/>
          <w:szCs w:val="32"/>
          <w:lang w:val="en-US" w:eastAsia="zh-CN"/>
        </w:rPr>
        <w:t>9.1规划成果构成</w:t>
      </w:r>
      <w:r>
        <w:tab/>
      </w:r>
      <w:r>
        <w:fldChar w:fldCharType="begin"/>
      </w:r>
      <w:r>
        <w:instrText xml:space="preserve"> PAGEREF _Toc8470 \h </w:instrText>
      </w:r>
      <w:r>
        <w:fldChar w:fldCharType="separate"/>
      </w:r>
      <w:r>
        <w:t>70</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_Toc16385 </w:instrText>
      </w:r>
      <w:r>
        <w:rPr>
          <w:szCs w:val="28"/>
        </w:rPr>
        <w:fldChar w:fldCharType="separate"/>
      </w:r>
      <w:r>
        <w:rPr>
          <w:rFonts w:ascii="宋体" w:eastAsia="宋体" w:cs="宋体" w:hAnsi="宋体" w:hint="eastAsia"/>
          <w:bCs/>
          <w:szCs w:val="32"/>
          <w:lang w:val="en-US" w:eastAsia="zh-CN"/>
        </w:rPr>
        <w:t>9.2规划控制指标</w:t>
      </w:r>
      <w:r>
        <w:tab/>
      </w:r>
      <w:r>
        <w:fldChar w:fldCharType="begin"/>
      </w:r>
      <w:r>
        <w:instrText xml:space="preserve"> PAGEREF _Toc16385 \h </w:instrText>
      </w:r>
      <w:r>
        <w:fldChar w:fldCharType="separate"/>
      </w:r>
      <w:r>
        <w:t>71</w:t>
      </w:r>
      <w:r>
        <w:fldChar w:fldCharType="end"/>
      </w:r>
      <w:r>
        <w:rPr>
          <w:color w:val="auto"/>
          <w:szCs w:val="28"/>
        </w:rPr>
        <w:fldChar w:fldCharType="end"/>
      </w:r>
    </w:p>
    <w:p>
      <w:pPr>
        <w:pStyle w:val="23"/>
        <w:tabs>
          <w:tab w:val="right" w:leader="dot" w:pos="8306"/>
        </w:tabs>
      </w:pPr>
      <w:r>
        <w:rPr>
          <w:szCs w:val="28"/>
        </w:rPr>
        <w:fldChar w:fldCharType="begin"/>
      </w:r>
      <w:r>
        <w:rPr>
          <w:szCs w:val="28"/>
        </w:rPr>
        <w:instrText xml:space="preserve"> HYPERLINK \l _Toc23950 </w:instrText>
      </w:r>
      <w:r>
        <w:rPr>
          <w:szCs w:val="28"/>
        </w:rPr>
        <w:fldChar w:fldCharType="separate"/>
      </w:r>
      <w:r>
        <w:rPr>
          <w:rFonts w:ascii="宋体" w:eastAsia="宋体" w:cs="宋体" w:hAnsi="宋体" w:hint="eastAsia"/>
          <w:bCs/>
          <w:szCs w:val="32"/>
          <w:lang w:val="en-US" w:eastAsia="zh-CN"/>
        </w:rPr>
        <w:t>9.3规划实施保障措施</w:t>
      </w:r>
      <w:r>
        <w:tab/>
      </w:r>
      <w:r>
        <w:fldChar w:fldCharType="begin"/>
      </w:r>
      <w:r>
        <w:instrText xml:space="preserve"> PAGEREF _Toc23950 \h </w:instrText>
      </w:r>
      <w:r>
        <w:fldChar w:fldCharType="separate"/>
      </w:r>
      <w:r>
        <w:t>71</w:t>
      </w:r>
      <w:r>
        <w:fldChar w:fldCharType="end"/>
      </w:r>
      <w:r>
        <w:rPr>
          <w:color w:val="auto"/>
          <w:szCs w:val="28"/>
        </w:rPr>
        <w:fldChar w:fldCharType="end"/>
      </w:r>
    </w:p>
    <w:p>
      <w:pPr>
        <w:spacing w:line="440" w:lineRule="exact"/>
        <w:rPr>
          <w:b/>
          <w:bCs/>
          <w:color w:val="auto"/>
          <w:sz w:val="30"/>
          <w:szCs w:val="30"/>
        </w:rPr>
        <w:sectPr>
          <w:footerReference w:type="default" r:id="rId2"/>
          <w:pgSz w:w="11906" w:h="16838"/>
          <w:pgMar w:top="1440" w:right="1800" w:bottom="1440" w:left="1800" w:header="851" w:footer="992" w:gutter="0"/>
          <w:docGrid w:type="lines" w:linePitch="312" w:charSpace="0"/>
        </w:sectPr>
      </w:pPr>
      <w:r>
        <w:rPr>
          <w:color w:val="auto"/>
          <w:szCs w:val="28"/>
        </w:rPr>
        <w:fldChar w:fldCharType="end"/>
      </w:r>
      <w:bookmarkStart w:id="3" w:name="_Toc28413"/>
      <w:bookmarkStart w:id="4" w:name="_Toc18067"/>
    </w:p>
    <w:p>
      <w:pPr>
        <w:pStyle w:val="1"/>
        <w:numPr>
          <w:ilvl w:val="0"/>
          <w:numId w:val="1"/>
        </w:numPr>
        <w:spacing w:before="260" w:line="360" w:lineRule="auto"/>
        <w:ind w:left="420"/>
        <w:jc w:val="center"/>
        <w:rPr>
          <w:rFonts w:ascii="宋体" w:eastAsia="宋体" w:cs="宋体" w:hAnsi="宋体" w:hint="eastAsia"/>
          <w:bCs/>
          <w:color w:val="auto"/>
          <w:sz w:val="32"/>
          <w:szCs w:val="32"/>
          <w:lang w:eastAsia="zh-CN"/>
        </w:rPr>
      </w:pPr>
      <w:bookmarkStart w:id="5" w:name="_Toc20430"/>
      <w:bookmarkStart w:id="6" w:name="_Toc20049"/>
      <w:bookmarkStart w:id="7" w:name="_Toc307"/>
      <w:bookmarkStart w:id="8" w:name="_Toc12534"/>
      <w:bookmarkStart w:id="9" w:name="_Toc20414"/>
      <w:bookmarkStart w:id="10" w:name="_Toc9811"/>
      <w:bookmarkStart w:id="11" w:name="_Toc7237"/>
      <w:bookmarkStart w:id="12" w:name="_Toc27536"/>
      <w:bookmarkStart w:id="13" w:name="_Toc23810"/>
      <w:bookmarkStart w:id="14" w:name="_Toc6350"/>
      <w:bookmarkEnd w:id="3"/>
      <w:bookmarkEnd w:id="4"/>
      <w:r>
        <w:rPr>
          <w:rFonts w:ascii="宋体" w:eastAsia="宋体" w:cs="宋体" w:hAnsi="宋体" w:hint="eastAsia"/>
          <w:bCs/>
          <w:color w:val="auto"/>
          <w:sz w:val="32"/>
          <w:szCs w:val="32"/>
          <w:lang w:eastAsia="zh-CN"/>
        </w:rPr>
        <w:t>规划综述</w:t>
      </w:r>
      <w:bookmarkEnd w:id="5"/>
    </w:p>
    <w:p>
      <w:pPr>
        <w:pStyle w:val="1"/>
        <w:numPr>
          <w:ilvl w:val="0"/>
          <w:numId w:val="0"/>
        </w:numPr>
        <w:spacing w:before="260" w:line="360" w:lineRule="auto"/>
        <w:ind w:left="420"/>
        <w:rPr>
          <w:rFonts w:ascii="宋体" w:eastAsia="宋体" w:cs="宋体" w:hAnsi="宋体"/>
          <w:bCs/>
          <w:color w:val="auto"/>
          <w:sz w:val="32"/>
          <w:szCs w:val="32"/>
        </w:rPr>
      </w:pPr>
      <w:bookmarkStart w:id="15" w:name="_Toc208"/>
      <w:r>
        <w:rPr>
          <w:rFonts w:ascii="宋体" w:eastAsia="宋体" w:cs="宋体" w:hAnsi="宋体" w:hint="eastAsia"/>
          <w:bCs/>
          <w:color w:val="auto"/>
          <w:sz w:val="32"/>
          <w:szCs w:val="32"/>
          <w:lang w:val="en-US" w:eastAsia="zh-CN"/>
        </w:rPr>
        <w:t>1.1</w:t>
      </w:r>
      <w:r>
        <w:rPr>
          <w:rFonts w:ascii="宋体" w:eastAsia="宋体" w:cs="宋体" w:hAnsi="宋体" w:hint="eastAsia"/>
          <w:bCs/>
          <w:color w:val="auto"/>
          <w:sz w:val="32"/>
          <w:szCs w:val="32"/>
          <w:lang w:eastAsia="zh-CN"/>
        </w:rPr>
        <w:t>规划背景</w:t>
      </w:r>
      <w:bookmarkEnd w:id="15"/>
    </w:p>
    <w:p>
      <w:pPr>
        <w:rPr>
          <w:color w:val="auto"/>
        </w:rPr>
      </w:pP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随着经济的快速发展，人类正以前所未有的速度消耗着地球上极为有限的化石能源资源。为减少对一次能源的依赖，保护人类的生存环境，我国研究、制定和执行经济、社会和资源相互协调的21 世纪可持续发展战略。根据“十四五”规划和2035年远景目标纲要，风能作为清洁、绿色、低碳的能源，将在构建新型电力系统中发挥不可或缺的作用</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广西属能源缺乏省份之一，在一次能源中，广西煤、气、油等资源匮乏，然而，钦州市风能资源丰富，主要分布在海拔相对较高的山脊、丘陵区域，开发风电场符合我国能源产业发展战略和方向</w:t>
      </w:r>
      <w:r>
        <w:rPr>
          <w:rFonts w:ascii="宋体" w:eastAsia="宋体" w:cs="宋体" w:hAnsi="宋体" w:hint="eastAsia"/>
          <w:color w:val="auto"/>
          <w:kern w:val="0"/>
          <w:sz w:val="28"/>
          <w:szCs w:val="28"/>
          <w:lang w:eastAsia="zh-CN"/>
        </w:rPr>
        <w:t>。钦北区古道岭风电场一期工程项目属自治区核准项目，为了</w:t>
      </w:r>
      <w:r>
        <w:rPr>
          <w:rFonts w:ascii="宋体" w:eastAsia="宋体" w:cs="宋体" w:hAnsi="宋体" w:hint="eastAsia"/>
          <w:color w:val="auto"/>
          <w:kern w:val="0"/>
          <w:sz w:val="28"/>
          <w:szCs w:val="28"/>
        </w:rPr>
        <w:t>加快自治区</w:t>
      </w:r>
      <w:r>
        <w:rPr>
          <w:rFonts w:ascii="宋体" w:eastAsia="宋体" w:cs="宋体" w:hAnsi="宋体" w:hint="eastAsia"/>
          <w:color w:val="auto"/>
          <w:kern w:val="0"/>
          <w:sz w:val="28"/>
          <w:szCs w:val="28"/>
          <w:lang w:eastAsia="zh-CN"/>
        </w:rPr>
        <w:t>及钦州</w:t>
      </w:r>
      <w:r>
        <w:rPr>
          <w:rFonts w:ascii="宋体" w:eastAsia="宋体" w:cs="宋体" w:hAnsi="宋体" w:hint="eastAsia"/>
          <w:color w:val="auto"/>
          <w:kern w:val="0"/>
          <w:sz w:val="28"/>
          <w:szCs w:val="28"/>
        </w:rPr>
        <w:t>风能资源的开发</w:t>
      </w:r>
      <w:r>
        <w:rPr>
          <w:rFonts w:ascii="宋体" w:eastAsia="宋体" w:cs="宋体" w:hAnsi="宋体" w:hint="eastAsia"/>
          <w:color w:val="auto"/>
          <w:kern w:val="0"/>
          <w:sz w:val="28"/>
          <w:szCs w:val="28"/>
          <w:lang w:eastAsia="zh-CN"/>
        </w:rPr>
        <w:t>，钦州古道岭风能有限公司作为投资建设主体向规划主管部门提出该项目规划建设用地申请。目前已经取得自治区能源局、</w:t>
      </w:r>
      <w:r>
        <w:rPr>
          <w:rFonts w:ascii="宋体" w:eastAsia="宋体" w:cs="宋体" w:hAnsi="宋体"/>
          <w:color w:val="auto"/>
          <w:kern w:val="0"/>
          <w:sz w:val="28"/>
          <w:szCs w:val="28"/>
          <w:lang w:eastAsia="zh-CN"/>
        </w:rPr>
        <w:t>自治</w:t>
      </w:r>
      <w:r>
        <w:rPr>
          <w:rFonts w:ascii="宋体" w:eastAsia="宋体" w:cs="宋体" w:hAnsi="宋体" w:hint="eastAsia"/>
          <w:color w:val="auto"/>
          <w:kern w:val="0"/>
          <w:sz w:val="28"/>
          <w:szCs w:val="28"/>
          <w:lang w:eastAsia="zh-CN"/>
        </w:rPr>
        <w:t>区</w:t>
      </w:r>
      <w:r>
        <w:rPr>
          <w:rFonts w:ascii="宋体" w:eastAsia="宋体" w:cs="宋体" w:hAnsi="宋体"/>
          <w:color w:val="auto"/>
          <w:kern w:val="0"/>
          <w:sz w:val="28"/>
          <w:szCs w:val="28"/>
          <w:lang w:eastAsia="zh-CN"/>
        </w:rPr>
        <w:t>发展改革委</w:t>
      </w:r>
      <w:r>
        <w:rPr>
          <w:rFonts w:ascii="宋体" w:eastAsia="宋体" w:cs="宋体" w:hAnsi="宋体" w:hint="eastAsia"/>
          <w:color w:val="auto"/>
          <w:kern w:val="0"/>
          <w:sz w:val="28"/>
          <w:szCs w:val="28"/>
          <w:lang w:eastAsia="zh-CN"/>
        </w:rPr>
        <w:t>项目核准、</w:t>
      </w:r>
      <w:r>
        <w:rPr>
          <w:rFonts w:ascii="宋体" w:eastAsia="宋体" w:cs="宋体" w:hAnsi="宋体"/>
          <w:color w:val="auto"/>
          <w:kern w:val="0"/>
          <w:sz w:val="28"/>
          <w:szCs w:val="28"/>
          <w:lang w:eastAsia="zh-CN"/>
        </w:rPr>
        <w:t>自治</w:t>
      </w:r>
      <w:r>
        <w:rPr>
          <w:rFonts w:ascii="宋体" w:eastAsia="宋体" w:cs="宋体" w:hAnsi="宋体" w:hint="eastAsia"/>
          <w:color w:val="auto"/>
          <w:kern w:val="0"/>
          <w:sz w:val="28"/>
          <w:szCs w:val="28"/>
          <w:lang w:eastAsia="zh-CN"/>
        </w:rPr>
        <w:t>区自然资源厅用地预审和</w:t>
      </w:r>
      <w:r>
        <w:rPr>
          <w:rFonts w:ascii="宋体" w:eastAsia="宋体" w:cs="宋体" w:hAnsi="宋体"/>
          <w:color w:val="auto"/>
          <w:kern w:val="0"/>
          <w:sz w:val="28"/>
          <w:szCs w:val="28"/>
          <w:lang w:eastAsia="zh-CN"/>
        </w:rPr>
        <w:t>钦北</w:t>
      </w:r>
      <w:r>
        <w:rPr>
          <w:rFonts w:ascii="宋体" w:eastAsia="宋体" w:cs="宋体" w:hAnsi="宋体" w:hint="eastAsia"/>
          <w:color w:val="auto"/>
          <w:kern w:val="0"/>
          <w:sz w:val="28"/>
          <w:szCs w:val="28"/>
          <w:lang w:eastAsia="zh-CN"/>
        </w:rPr>
        <w:t>区</w:t>
      </w:r>
      <w:r>
        <w:rPr>
          <w:rFonts w:ascii="宋体" w:eastAsia="宋体" w:cs="宋体" w:hAnsi="宋体"/>
          <w:color w:val="auto"/>
          <w:kern w:val="0"/>
          <w:sz w:val="28"/>
          <w:szCs w:val="28"/>
          <w:lang w:eastAsia="zh-CN"/>
        </w:rPr>
        <w:t>人民</w:t>
      </w:r>
      <w:r>
        <w:rPr>
          <w:rFonts w:ascii="宋体" w:eastAsia="宋体" w:cs="宋体" w:hAnsi="宋体" w:hint="eastAsia"/>
          <w:color w:val="auto"/>
          <w:kern w:val="0"/>
          <w:sz w:val="28"/>
          <w:szCs w:val="28"/>
          <w:lang w:eastAsia="zh-CN"/>
        </w:rPr>
        <w:t>政府建设用地等方面的批复。</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color w:val="auto"/>
          <w:kern w:val="0"/>
          <w:sz w:val="28"/>
          <w:szCs w:val="28"/>
        </w:rPr>
        <w:t>2024年10月，</w:t>
      </w:r>
      <w:r>
        <w:rPr>
          <w:rFonts w:ascii="宋体" w:eastAsia="宋体" w:cs="宋体" w:hAnsi="宋体" w:hint="eastAsia"/>
          <w:color w:val="auto"/>
          <w:kern w:val="0"/>
          <w:sz w:val="28"/>
          <w:szCs w:val="28"/>
        </w:rPr>
        <w:t>自治区自然资源厅印发《广西壮族自治区独立地块详细规划编制要点（试行）》的通知（桂自然资办〔</w:t>
      </w:r>
      <w:r>
        <w:rPr>
          <w:rFonts w:ascii="宋体" w:eastAsia="宋体" w:cs="宋体" w:hAnsi="宋体"/>
          <w:color w:val="auto"/>
          <w:kern w:val="0"/>
          <w:sz w:val="28"/>
          <w:szCs w:val="28"/>
        </w:rPr>
        <w:t>2024〕197号</w:t>
      </w:r>
      <w:r>
        <w:rPr>
          <w:rFonts w:ascii="宋体" w:eastAsia="宋体" w:cs="宋体" w:hAnsi="宋体" w:hint="eastAsia"/>
          <w:color w:val="auto"/>
          <w:kern w:val="0"/>
          <w:sz w:val="28"/>
          <w:szCs w:val="28"/>
        </w:rPr>
        <w:t>），提出独立地块可以编制独立地块详细规划作为简易型的国土空间详细规划。</w:t>
      </w:r>
    </w:p>
    <w:p>
      <w:pPr>
        <w:widowControl/>
        <w:spacing w:before="4"/>
        <w:ind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目前，</w:t>
      </w:r>
      <w:r>
        <w:rPr>
          <w:rFonts w:ascii="宋体" w:eastAsia="宋体" w:cs="宋体" w:hAnsi="宋体" w:hint="eastAsia"/>
          <w:color w:val="auto"/>
          <w:kern w:val="0"/>
          <w:sz w:val="28"/>
          <w:szCs w:val="28"/>
        </w:rPr>
        <w:t>钦北区</w:t>
      </w:r>
      <w:r>
        <w:rPr>
          <w:rFonts w:ascii="宋体" w:eastAsia="宋体" w:cs="宋体" w:hAnsi="宋体" w:hint="eastAsia"/>
          <w:color w:val="auto"/>
          <w:kern w:val="0"/>
          <w:sz w:val="28"/>
          <w:szCs w:val="28"/>
          <w:lang w:eastAsia="zh-CN"/>
        </w:rPr>
        <w:t>各乡镇</w:t>
      </w:r>
      <w:r>
        <w:rPr>
          <w:rFonts w:ascii="宋体" w:eastAsia="宋体" w:cs="宋体" w:hAnsi="宋体" w:hint="eastAsia"/>
          <w:color w:val="auto"/>
          <w:kern w:val="0"/>
          <w:sz w:val="28"/>
          <w:szCs w:val="28"/>
        </w:rPr>
        <w:t>国土空间规划</w:t>
      </w:r>
      <w:r>
        <w:rPr>
          <w:rFonts w:ascii="宋体" w:eastAsia="宋体" w:cs="宋体" w:hAnsi="宋体" w:hint="eastAsia"/>
          <w:color w:val="auto"/>
          <w:kern w:val="0"/>
          <w:sz w:val="28"/>
          <w:szCs w:val="28"/>
          <w:lang w:eastAsia="zh-CN"/>
        </w:rPr>
        <w:t>还在编制阶段</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项目场址位于钦北区小董镇、平吉镇及大垌镇交界区域。用地位置在城镇开发边界外</w:t>
      </w:r>
      <w:r>
        <w:rPr>
          <w:rFonts w:hint="eastAsia"/>
          <w:color w:val="auto"/>
          <w:kern w:val="0"/>
          <w:sz w:val="28"/>
          <w:szCs w:val="28"/>
          <w:lang w:val="en-US" w:eastAsia="zh-CN"/>
        </w:rPr>
        <w:t>，</w:t>
      </w:r>
      <w:r>
        <w:rPr>
          <w:rFonts w:ascii="宋体" w:eastAsia="宋体" w:cs="宋体" w:hAnsi="宋体" w:hint="eastAsia"/>
          <w:color w:val="auto"/>
          <w:kern w:val="0"/>
          <w:sz w:val="28"/>
          <w:szCs w:val="28"/>
          <w:lang w:eastAsia="zh-CN"/>
        </w:rPr>
        <w:t>适用于</w:t>
      </w:r>
      <w:r>
        <w:rPr>
          <w:rFonts w:ascii="宋体" w:eastAsia="宋体" w:cs="宋体" w:hAnsi="宋体" w:hint="eastAsia"/>
          <w:color w:val="auto"/>
          <w:kern w:val="0"/>
          <w:sz w:val="28"/>
          <w:szCs w:val="28"/>
        </w:rPr>
        <w:t>《广西壮族自治区独立地块详细规划编制要点（试行）》</w:t>
      </w:r>
      <w:r>
        <w:rPr>
          <w:rFonts w:ascii="宋体" w:eastAsia="宋体" w:cs="宋体" w:hAnsi="宋体" w:hint="eastAsia"/>
          <w:color w:val="auto"/>
          <w:kern w:val="0"/>
          <w:sz w:val="28"/>
          <w:szCs w:val="28"/>
          <w:lang w:eastAsia="zh-CN"/>
        </w:rPr>
        <w:t>“符合单独选址条件、有地上建筑物且根据用途管制要求需编制详细规划的项目用地”的范围内。</w:t>
      </w:r>
      <w:r>
        <w:rPr>
          <w:rFonts w:ascii="宋体" w:eastAsia="宋体" w:cs="宋体" w:hAnsi="宋体" w:hint="eastAsia"/>
          <w:color w:val="auto"/>
          <w:kern w:val="0"/>
          <w:sz w:val="28"/>
          <w:szCs w:val="28"/>
        </w:rPr>
        <w:t>因此，为</w:t>
      </w:r>
      <w:r>
        <w:rPr>
          <w:rFonts w:ascii="宋体" w:eastAsia="宋体" w:cs="宋体" w:hAnsi="宋体" w:hint="eastAsia"/>
          <w:color w:val="auto"/>
          <w:kern w:val="0"/>
          <w:sz w:val="28"/>
          <w:szCs w:val="28"/>
          <w:lang w:eastAsia="zh-CN"/>
        </w:rPr>
        <w:t>高效地推进钦州市的风电事业发展</w:t>
      </w:r>
      <w:r>
        <w:rPr>
          <w:rFonts w:ascii="宋体" w:eastAsia="宋体" w:cs="宋体" w:hAnsi="宋体" w:hint="eastAsia"/>
          <w:color w:val="auto"/>
          <w:kern w:val="0"/>
          <w:sz w:val="28"/>
          <w:szCs w:val="28"/>
        </w:rPr>
        <w:t>，科学地出具规划设计条件</w:t>
      </w:r>
      <w:r>
        <w:rPr>
          <w:rFonts w:ascii="宋体" w:eastAsia="宋体" w:cs="宋体" w:hAnsi="宋体" w:hint="eastAsia"/>
          <w:color w:val="auto"/>
          <w:kern w:val="0"/>
          <w:sz w:val="28"/>
          <w:szCs w:val="28"/>
          <w:lang w:eastAsia="zh-CN"/>
        </w:rPr>
        <w:t>并</w:t>
      </w:r>
      <w:r>
        <w:rPr>
          <w:rFonts w:ascii="宋体" w:eastAsia="宋体" w:cs="宋体" w:hAnsi="宋体" w:hint="eastAsia"/>
          <w:color w:val="auto"/>
          <w:kern w:val="0"/>
          <w:sz w:val="28"/>
          <w:szCs w:val="28"/>
        </w:rPr>
        <w:t>更好地推进项目落地，编制</w:t>
      </w:r>
      <w:r>
        <w:rPr>
          <w:rFonts w:ascii="宋体" w:eastAsia="宋体" w:cs="宋体" w:hAnsi="宋体" w:hint="eastAsia"/>
          <w:color w:val="auto"/>
          <w:kern w:val="0"/>
          <w:sz w:val="28"/>
          <w:szCs w:val="28"/>
          <w:lang w:eastAsia="zh-CN"/>
        </w:rPr>
        <w:t>钦北区古道岭风电场一期工程</w:t>
      </w:r>
      <w:r>
        <w:rPr>
          <w:rFonts w:ascii="宋体" w:eastAsia="宋体" w:cs="宋体" w:hAnsi="宋体" w:hint="eastAsia"/>
          <w:color w:val="auto"/>
          <w:kern w:val="0"/>
          <w:sz w:val="28"/>
          <w:szCs w:val="28"/>
        </w:rPr>
        <w:t>项目独立地块</w:t>
      </w:r>
      <w:r>
        <w:rPr>
          <w:rFonts w:ascii="宋体" w:eastAsia="宋体" w:cs="宋体" w:hAnsi="宋体" w:hint="eastAsia"/>
          <w:color w:val="auto"/>
          <w:kern w:val="0"/>
          <w:sz w:val="28"/>
          <w:szCs w:val="28"/>
          <w:lang w:eastAsia="zh-CN"/>
        </w:rPr>
        <w:t>控制性</w:t>
      </w:r>
      <w:r>
        <w:rPr>
          <w:rFonts w:ascii="宋体" w:eastAsia="宋体" w:cs="宋体" w:hAnsi="宋体" w:hint="eastAsia"/>
          <w:color w:val="auto"/>
          <w:kern w:val="0"/>
          <w:sz w:val="28"/>
          <w:szCs w:val="28"/>
        </w:rPr>
        <w:t>详细规划</w:t>
      </w:r>
      <w:r>
        <w:rPr>
          <w:rFonts w:ascii="宋体" w:eastAsia="宋体" w:cs="宋体" w:hAnsi="宋体" w:hint="eastAsia"/>
          <w:color w:val="auto"/>
          <w:kern w:val="0"/>
          <w:sz w:val="28"/>
          <w:szCs w:val="28"/>
          <w:lang w:eastAsia="zh-CN"/>
        </w:rPr>
        <w:t>。</w:t>
      </w:r>
    </w:p>
    <w:p>
      <w:pPr>
        <w:pStyle w:val="1"/>
        <w:numPr>
          <w:ilvl w:val="0"/>
          <w:numId w:val="0"/>
        </w:numPr>
        <w:spacing w:before="260" w:line="360" w:lineRule="auto"/>
        <w:ind w:left="420"/>
        <w:rPr>
          <w:rFonts w:ascii="宋体" w:eastAsia="宋体" w:cs="宋体" w:hAnsi="宋体"/>
          <w:bCs/>
          <w:color w:val="auto"/>
          <w:sz w:val="32"/>
          <w:szCs w:val="32"/>
        </w:rPr>
      </w:pPr>
      <w:bookmarkStart w:id="16" w:name="_Toc26526"/>
      <w:bookmarkStart w:id="17" w:name="_Toc5808"/>
      <w:r>
        <w:rPr>
          <w:rFonts w:ascii="宋体" w:eastAsia="宋体" w:cs="宋体" w:hAnsi="宋体" w:hint="eastAsia"/>
          <w:bCs/>
          <w:color w:val="auto"/>
          <w:sz w:val="32"/>
          <w:szCs w:val="32"/>
          <w:lang w:val="en-US" w:eastAsia="zh-CN"/>
        </w:rPr>
        <w:t>1.2</w:t>
      </w:r>
      <w:r>
        <w:rPr>
          <w:rFonts w:ascii="宋体" w:eastAsia="宋体" w:cs="宋体" w:hAnsi="宋体" w:hint="eastAsia"/>
          <w:bCs/>
          <w:color w:val="auto"/>
          <w:sz w:val="32"/>
          <w:szCs w:val="32"/>
          <w:lang w:eastAsia="zh-CN"/>
        </w:rPr>
        <w:t>项目建设内容和规模</w:t>
      </w:r>
      <w:bookmarkEnd w:id="16"/>
      <w:bookmarkEnd w:id="17"/>
    </w:p>
    <w:p>
      <w:pPr>
        <w:rPr>
          <w:color w:val="auto"/>
        </w:rPr>
      </w:pPr>
    </w:p>
    <w:p>
      <w:pPr>
        <w:widowControl/>
        <w:spacing w:before="4"/>
        <w:ind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钦北区古道岭风电场一期</w:t>
      </w:r>
      <w:r>
        <w:rPr>
          <w:rFonts w:ascii="宋体" w:eastAsia="宋体" w:cs="宋体" w:hAnsi="宋体" w:hint="eastAsia"/>
          <w:color w:val="auto"/>
          <w:kern w:val="0"/>
          <w:sz w:val="28"/>
          <w:szCs w:val="28"/>
        </w:rPr>
        <w:t>工程</w:t>
      </w:r>
      <w:r>
        <w:rPr>
          <w:rFonts w:ascii="宋体" w:eastAsia="宋体" w:cs="宋体" w:hAnsi="宋体" w:hint="eastAsia"/>
          <w:color w:val="auto"/>
          <w:kern w:val="0"/>
          <w:sz w:val="28"/>
          <w:szCs w:val="28"/>
          <w:lang w:eastAsia="zh-CN"/>
        </w:rPr>
        <w:t>共计</w:t>
      </w:r>
      <w:r>
        <w:rPr>
          <w:rFonts w:ascii="宋体" w:eastAsia="宋体" w:cs="宋体" w:hAnsi="宋体" w:hint="eastAsia"/>
          <w:color w:val="auto"/>
          <w:kern w:val="0"/>
          <w:sz w:val="28"/>
          <w:szCs w:val="28"/>
        </w:rPr>
        <w:t>划安装</w:t>
      </w:r>
      <w:r>
        <w:rPr>
          <w:rFonts w:ascii="宋体" w:eastAsia="宋体" w:cs="宋体" w:hAnsi="宋体" w:hint="eastAsia"/>
          <w:color w:val="auto"/>
          <w:kern w:val="0"/>
          <w:sz w:val="28"/>
          <w:szCs w:val="28"/>
          <w:lang w:val="en-US" w:eastAsia="zh-CN"/>
        </w:rPr>
        <w:t>16</w:t>
      </w:r>
      <w:r>
        <w:rPr>
          <w:rFonts w:ascii="宋体" w:eastAsia="宋体" w:cs="宋体" w:hAnsi="宋体" w:hint="eastAsia"/>
          <w:color w:val="auto"/>
          <w:kern w:val="0"/>
          <w:sz w:val="28"/>
          <w:szCs w:val="28"/>
          <w:lang w:eastAsia="zh-CN"/>
        </w:rPr>
        <w:t>组</w:t>
      </w:r>
      <w:r>
        <w:rPr>
          <w:rFonts w:ascii="宋体" w:eastAsia="宋体" w:cs="宋体" w:hAnsi="宋体" w:hint="eastAsia"/>
          <w:color w:val="auto"/>
          <w:kern w:val="0"/>
          <w:sz w:val="28"/>
          <w:szCs w:val="28"/>
        </w:rPr>
        <w:t>单机容量为3000kW风电机组（其中</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组</w:t>
      </w:r>
      <w:r>
        <w:rPr>
          <w:rFonts w:ascii="宋体" w:eastAsia="宋体" w:cs="宋体" w:hAnsi="宋体" w:hint="eastAsia"/>
          <w:color w:val="auto"/>
          <w:kern w:val="0"/>
          <w:sz w:val="28"/>
          <w:szCs w:val="28"/>
        </w:rPr>
        <w:t>限发</w:t>
      </w:r>
      <w:r>
        <w:rPr>
          <w:rFonts w:ascii="宋体" w:eastAsia="宋体" w:cs="宋体" w:hAnsi="宋体" w:hint="eastAsia"/>
          <w:color w:val="auto"/>
          <w:kern w:val="0"/>
          <w:sz w:val="28"/>
          <w:szCs w:val="28"/>
          <w:lang w:val="en-US" w:eastAsia="zh-CN"/>
        </w:rPr>
        <w:t>40</w:t>
      </w:r>
      <w:r>
        <w:rPr>
          <w:rFonts w:ascii="宋体" w:eastAsia="宋体" w:cs="宋体" w:hAnsi="宋体" w:hint="eastAsia"/>
          <w:color w:val="auto"/>
          <w:kern w:val="0"/>
          <w:sz w:val="28"/>
          <w:szCs w:val="28"/>
        </w:rPr>
        <w:t>00kW），</w:t>
      </w:r>
      <w:r>
        <w:rPr>
          <w:rFonts w:ascii="宋体" w:eastAsia="宋体" w:cs="宋体" w:hAnsi="宋体" w:hint="eastAsia"/>
          <w:color w:val="auto"/>
          <w:kern w:val="0"/>
          <w:sz w:val="28"/>
          <w:szCs w:val="28"/>
          <w:lang w:eastAsia="zh-CN"/>
        </w:rPr>
        <w:t>总</w:t>
      </w:r>
      <w:r>
        <w:rPr>
          <w:rFonts w:ascii="宋体" w:eastAsia="宋体" w:cs="宋体" w:hAnsi="宋体" w:hint="eastAsia"/>
          <w:color w:val="auto"/>
          <w:kern w:val="0"/>
          <w:sz w:val="28"/>
          <w:szCs w:val="28"/>
        </w:rPr>
        <w:t>装机容量为</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rPr>
        <w:t>0MW，</w:t>
      </w:r>
      <w:r>
        <w:rPr>
          <w:rFonts w:ascii="宋体" w:eastAsia="宋体" w:cs="宋体" w:hAnsi="宋体" w:hint="eastAsia"/>
          <w:color w:val="auto"/>
          <w:kern w:val="0"/>
          <w:sz w:val="28"/>
          <w:szCs w:val="28"/>
          <w:lang w:eastAsia="zh-CN"/>
        </w:rPr>
        <w:t>同时</w:t>
      </w:r>
      <w:r>
        <w:rPr>
          <w:rFonts w:ascii="宋体" w:eastAsia="宋体" w:cs="宋体" w:hAnsi="宋体" w:hint="eastAsia"/>
          <w:color w:val="auto"/>
          <w:kern w:val="0"/>
          <w:sz w:val="28"/>
          <w:szCs w:val="28"/>
        </w:rPr>
        <w:t>在场址范围内</w:t>
      </w:r>
      <w:r>
        <w:rPr>
          <w:rFonts w:ascii="宋体" w:eastAsia="宋体" w:cs="宋体" w:hAnsi="宋体" w:hint="eastAsia"/>
          <w:color w:val="auto"/>
          <w:kern w:val="0"/>
          <w:sz w:val="28"/>
          <w:szCs w:val="28"/>
          <w:lang w:eastAsia="zh-CN"/>
        </w:rPr>
        <w:t>配套建设</w:t>
      </w:r>
      <w:r>
        <w:rPr>
          <w:rFonts w:ascii="宋体" w:eastAsia="宋体" w:cs="宋体" w:hAnsi="宋体" w:hint="eastAsia"/>
          <w:color w:val="auto"/>
          <w:kern w:val="0"/>
          <w:sz w:val="28"/>
          <w:szCs w:val="28"/>
        </w:rPr>
        <w:t>一座</w:t>
      </w:r>
      <w:r>
        <w:rPr>
          <w:rFonts w:ascii="宋体" w:eastAsia="宋体" w:cs="宋体" w:hAnsi="宋体" w:hint="eastAsia"/>
          <w:color w:val="auto"/>
          <w:kern w:val="0"/>
          <w:sz w:val="28"/>
          <w:szCs w:val="28"/>
          <w:lang w:val="en-US" w:eastAsia="zh-CN"/>
        </w:rPr>
        <w:t>110kV</w:t>
      </w:r>
      <w:r>
        <w:rPr>
          <w:rFonts w:ascii="宋体" w:eastAsia="宋体" w:cs="宋体" w:hAnsi="宋体" w:hint="eastAsia"/>
          <w:color w:val="auto"/>
          <w:kern w:val="0"/>
          <w:sz w:val="28"/>
          <w:szCs w:val="28"/>
          <w:lang w:eastAsia="zh-CN"/>
        </w:rPr>
        <w:t>升压</w:t>
      </w:r>
      <w:r>
        <w:rPr>
          <w:rFonts w:ascii="宋体" w:eastAsia="宋体" w:cs="宋体" w:hAnsi="宋体" w:hint="eastAsia"/>
          <w:color w:val="auto"/>
          <w:kern w:val="0"/>
          <w:sz w:val="28"/>
          <w:szCs w:val="28"/>
        </w:rPr>
        <w:t>站</w:t>
      </w:r>
      <w:r>
        <w:rPr>
          <w:rFonts w:ascii="宋体" w:eastAsia="宋体" w:cs="宋体" w:hAnsi="宋体" w:hint="eastAsia"/>
          <w:color w:val="auto"/>
          <w:kern w:val="0"/>
          <w:sz w:val="28"/>
          <w:szCs w:val="28"/>
          <w:lang w:eastAsia="zh-CN"/>
        </w:rPr>
        <w:t>、场内道路以及集电线路等设施。</w:t>
      </w:r>
    </w:p>
    <w:p>
      <w:pPr>
        <w:widowControl/>
        <w:spacing w:before="4"/>
        <w:ind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val="en-US" w:eastAsia="zh-CN"/>
        </w:rPr>
        <w:t>每组风电机组</w:t>
      </w:r>
      <w:r>
        <w:rPr>
          <w:rFonts w:ascii="宋体" w:eastAsia="宋体" w:cs="宋体" w:hAnsi="宋体" w:hint="eastAsia"/>
          <w:color w:val="auto"/>
          <w:kern w:val="0"/>
          <w:sz w:val="28"/>
          <w:szCs w:val="28"/>
          <w:lang w:eastAsia="zh-CN"/>
        </w:rPr>
        <w:t>地块内主要布置</w:t>
      </w:r>
      <w:r>
        <w:rPr>
          <w:rFonts w:ascii="宋体" w:eastAsia="宋体" w:cs="宋体" w:hAnsi="宋体" w:hint="eastAsia"/>
          <w:color w:val="auto"/>
          <w:kern w:val="0"/>
          <w:sz w:val="28"/>
          <w:szCs w:val="28"/>
          <w:lang w:val="en-US" w:eastAsia="zh-CN"/>
        </w:rPr>
        <w:t>1个</w:t>
      </w:r>
      <w:r>
        <w:rPr>
          <w:rFonts w:ascii="宋体" w:eastAsia="宋体" w:cs="宋体" w:hAnsi="宋体" w:hint="eastAsia"/>
          <w:color w:val="auto"/>
          <w:kern w:val="0"/>
          <w:sz w:val="28"/>
          <w:szCs w:val="28"/>
          <w:lang w:eastAsia="zh-CN"/>
        </w:rPr>
        <w:t>风机和</w:t>
      </w:r>
      <w:r>
        <w:rPr>
          <w:rFonts w:ascii="宋体" w:eastAsia="宋体" w:cs="宋体" w:hAnsi="宋体" w:hint="eastAsia"/>
          <w:color w:val="auto"/>
          <w:kern w:val="0"/>
          <w:sz w:val="28"/>
          <w:szCs w:val="28"/>
          <w:lang w:val="en-US" w:eastAsia="zh-CN"/>
        </w:rPr>
        <w:t>1个</w:t>
      </w:r>
      <w:r>
        <w:rPr>
          <w:rFonts w:ascii="宋体" w:eastAsia="宋体" w:cs="宋体" w:hAnsi="宋体" w:hint="eastAsia"/>
          <w:color w:val="auto"/>
          <w:kern w:val="0"/>
          <w:sz w:val="28"/>
          <w:szCs w:val="28"/>
          <w:lang w:eastAsia="zh-CN"/>
        </w:rPr>
        <w:t>箱变设备。升压</w:t>
      </w:r>
      <w:r>
        <w:rPr>
          <w:rFonts w:ascii="宋体" w:eastAsia="宋体" w:cs="宋体" w:hAnsi="宋体" w:hint="eastAsia"/>
          <w:color w:val="auto"/>
          <w:kern w:val="0"/>
          <w:sz w:val="28"/>
          <w:szCs w:val="28"/>
        </w:rPr>
        <w:t>站是整个风电场的控制中心，</w:t>
      </w:r>
      <w:r>
        <w:rPr>
          <w:rFonts w:ascii="宋体" w:eastAsia="宋体" w:cs="宋体" w:hAnsi="宋体" w:hint="eastAsia"/>
          <w:color w:val="auto"/>
          <w:kern w:val="0"/>
          <w:sz w:val="28"/>
          <w:szCs w:val="28"/>
          <w:lang w:eastAsia="zh-CN"/>
        </w:rPr>
        <w:t>为本次规划主要研究的独立地块之一，</w:t>
      </w:r>
      <w:r>
        <w:rPr>
          <w:rFonts w:ascii="宋体" w:eastAsia="宋体" w:cs="宋体" w:hAnsi="宋体" w:hint="eastAsia"/>
          <w:color w:val="auto"/>
          <w:kern w:val="0"/>
          <w:sz w:val="28"/>
          <w:szCs w:val="28"/>
          <w:lang w:val="en-US" w:eastAsia="zh-CN"/>
        </w:rPr>
        <w:t>站内主要建设变电生产用房、运营管理用房及其他配套设施等。各地块用地位置布局及</w:t>
      </w:r>
      <w:r>
        <w:rPr>
          <w:rFonts w:ascii="宋体" w:eastAsia="宋体" w:cs="宋体" w:hAnsi="宋体" w:hint="eastAsia"/>
          <w:color w:val="auto"/>
          <w:kern w:val="0"/>
          <w:sz w:val="28"/>
          <w:szCs w:val="28"/>
          <w:lang w:eastAsia="zh-CN"/>
        </w:rPr>
        <w:t>风能资源利用区域</w:t>
      </w:r>
      <w:r>
        <w:rPr>
          <w:rFonts w:ascii="宋体" w:eastAsia="宋体" w:cs="宋体" w:hAnsi="宋体" w:hint="eastAsia"/>
          <w:color w:val="auto"/>
          <w:kern w:val="0"/>
          <w:sz w:val="28"/>
          <w:szCs w:val="28"/>
        </w:rPr>
        <w:t>范围</w:t>
      </w:r>
      <w:r>
        <w:rPr>
          <w:rFonts w:hint="eastAsia"/>
          <w:color w:val="auto"/>
          <w:sz w:val="28"/>
          <w:szCs w:val="28"/>
          <w:lang w:val="en-US" w:eastAsia="zh-CN"/>
        </w:rPr>
        <w:t>详见以下“</w:t>
      </w:r>
      <w:r>
        <w:rPr>
          <w:rFonts w:ascii="宋体" w:eastAsia="宋体" w:cs="宋体" w:hAnsi="宋体" w:hint="eastAsia"/>
          <w:color w:val="auto"/>
          <w:kern w:val="0"/>
          <w:sz w:val="28"/>
          <w:szCs w:val="28"/>
          <w:lang w:eastAsia="zh-CN"/>
        </w:rPr>
        <w:t>钦北区古道岭风电场一期</w:t>
      </w:r>
      <w:r>
        <w:rPr>
          <w:rFonts w:hint="eastAsia"/>
          <w:color w:val="auto"/>
          <w:sz w:val="28"/>
          <w:szCs w:val="28"/>
          <w:lang w:val="en-US" w:eastAsia="zh-CN"/>
        </w:rPr>
        <w:t>工程项目用地规划平面布局示意图”；升压站各功能用房布置详见“升压站平面布局示意图”</w:t>
      </w:r>
      <w:r>
        <w:rPr>
          <w:rFonts w:ascii="宋体" w:eastAsia="宋体" w:cs="宋体" w:hAnsi="宋体" w:hint="eastAsia"/>
          <w:color w:val="auto"/>
          <w:kern w:val="0"/>
          <w:sz w:val="28"/>
          <w:szCs w:val="28"/>
        </w:rPr>
        <w:t>。</w:t>
      </w:r>
    </w:p>
    <w:p>
      <w:pPr>
        <w:pStyle w:val="18"/>
        <w:rPr>
          <w:rFonts w:hint="eastAsia"/>
          <w:color w:val="auto"/>
          <w:lang w:eastAsia="zh-CN"/>
        </w:rPr>
      </w:pPr>
      <w:r>
        <w:rPr>
          <w:rFonts w:hint="eastAsia"/>
          <w:color w:val="auto"/>
          <w:lang w:eastAsia="zh-CN"/>
        </w:rPr>
        <w:drawing>
          <wp:inline distT="0" distB="0" distL="114300" distR="114300">
            <wp:extent cx="5782945" cy="4705985"/>
            <wp:effectExtent l="0" t="0" r="25" b="40"/>
            <wp:docPr id="10" name="图片 26" descr="C:/Users/Administrator/Desktop/红线图（简化）调整压覆矿范围-Model.png红线图（简化）调整压覆矿范围-Model"/>
            <wp:cNvGraphicFramePr>
              <a:graphicFrameLocks noChangeAspect="1"/>
            </wp:cNvGraphicFramePr>
            <a:graphic>
              <a:graphicData uri="http://schemas.openxmlformats.org/drawingml/2006/picture">
                <pic:pic>
                  <pic:nvPicPr>
                    <pic:cNvPr id="12" name="图片 26 12"/>
                    <pic:cNvPicPr/>
                  </pic:nvPicPr>
                  <pic:blipFill>
                    <a:blip r:embed="rId6"/>
                    <a:srcRect l="189" r="189"/>
                    <a:stretch>
                      <a:fillRect/>
                    </a:stretch>
                  </pic:blipFill>
                  <pic:spPr>
                    <a:xfrm rot="0">
                      <a:off x="0" y="0"/>
                      <a:ext cx="5782945" cy="4705985"/>
                    </a:xfrm>
                    <a:prstGeom prst="rect"/>
                    <a:noFill/>
                    <a:ln w="9525" cmpd="sng" cap="flat">
                      <a:noFill/>
                      <a:prstDash val="solid"/>
                      <a:miter/>
                    </a:ln>
                  </pic:spPr>
                </pic:pic>
              </a:graphicData>
            </a:graphic>
          </wp:inline>
        </w:drawing>
      </w:r>
    </w:p>
    <w:p>
      <w:pPr>
        <w:widowControl/>
        <w:spacing w:before="4" w:line="360" w:lineRule="auto"/>
        <w:ind w:right="351"/>
        <w:jc w:val="center"/>
        <w:rPr>
          <w:rFonts w:hint="eastAsia"/>
          <w:color w:val="auto"/>
          <w:lang w:eastAsia="zh-CN"/>
        </w:rPr>
      </w:pPr>
      <w:r>
        <w:rPr>
          <w:rFonts w:hint="eastAsia"/>
          <w:b/>
          <w:bCs/>
          <w:color w:val="auto"/>
          <w:sz w:val="24"/>
          <w:lang w:eastAsia="zh-CN"/>
        </w:rPr>
        <w:t>钦北区古道岭风电场一期工程项目用地规划平面布局示意图</w:t>
      </w:r>
    </w:p>
    <w:p>
      <w:pPr>
        <w:widowControl/>
        <w:spacing w:before="4" w:line="360" w:lineRule="auto"/>
        <w:ind w:right="351"/>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drawing>
          <wp:inline distT="0" distB="0" distL="114300" distR="114300">
            <wp:extent cx="5269865" cy="4523740"/>
            <wp:effectExtent l="0" t="0" r="47" b="6"/>
            <wp:docPr id="13" name="图片 32" descr="00古道岭升压站总平图蓝图_t3-Model"/>
            <wp:cNvGraphicFramePr>
              <a:graphicFrameLocks noChangeAspect="1"/>
            </wp:cNvGraphicFramePr>
            <a:graphic>
              <a:graphicData uri="http://schemas.openxmlformats.org/drawingml/2006/picture">
                <pic:pic>
                  <pic:nvPicPr>
                    <pic:cNvPr id="15" name="图片 32 15"/>
                    <pic:cNvPicPr/>
                  </pic:nvPicPr>
                  <pic:blipFill>
                    <a:blip r:embed="rId7"/>
                    <a:stretch>
                      <a:fillRect/>
                    </a:stretch>
                  </pic:blipFill>
                  <pic:spPr>
                    <a:xfrm rot="0">
                      <a:off x="0" y="0"/>
                      <a:ext cx="5269865" cy="4523740"/>
                    </a:xfrm>
                    <a:prstGeom prst="rect"/>
                    <a:noFill/>
                    <a:ln w="9525" cmpd="sng" cap="flat">
                      <a:noFill/>
                      <a:prstDash val="solid"/>
                      <a:miter/>
                    </a:ln>
                  </pic:spPr>
                </pic:pic>
              </a:graphicData>
            </a:graphic>
          </wp:inline>
        </w:drawing>
      </w:r>
    </w:p>
    <w:p>
      <w:pPr>
        <w:widowControl/>
        <w:spacing w:before="4" w:line="360" w:lineRule="auto"/>
        <w:ind w:right="351"/>
        <w:jc w:val="center"/>
        <w:rPr>
          <w:rFonts w:ascii="宋体" w:eastAsia="宋体" w:cs="宋体" w:hAnsi="宋体" w:hint="eastAsia"/>
          <w:color w:val="auto"/>
          <w:kern w:val="0"/>
          <w:sz w:val="28"/>
          <w:szCs w:val="28"/>
          <w:lang w:val="en-US" w:eastAsia="zh-CN"/>
        </w:rPr>
      </w:pPr>
      <w:r>
        <w:rPr>
          <w:rFonts w:hint="eastAsia"/>
          <w:b/>
          <w:bCs/>
          <w:color w:val="auto"/>
          <w:sz w:val="24"/>
          <w:lang w:eastAsia="zh-CN"/>
        </w:rPr>
        <w:t>升压站平面布局示意图</w:t>
      </w:r>
    </w:p>
    <w:p>
      <w:pPr>
        <w:pStyle w:val="15"/>
      </w:pPr>
    </w:p>
    <w:p>
      <w:pPr>
        <w:pStyle w:val="1"/>
        <w:numPr>
          <w:ilvl w:val="0"/>
          <w:numId w:val="0"/>
        </w:numPr>
        <w:spacing w:before="260" w:line="360" w:lineRule="auto"/>
        <w:ind w:left="420"/>
        <w:rPr>
          <w:rFonts w:ascii="宋体" w:eastAsia="宋体" w:cs="宋体" w:hAnsi="宋体"/>
          <w:bCs/>
          <w:color w:val="auto"/>
          <w:sz w:val="32"/>
          <w:szCs w:val="32"/>
        </w:rPr>
      </w:pPr>
      <w:bookmarkStart w:id="18" w:name="_Toc6542"/>
      <w:r>
        <w:rPr>
          <w:rFonts w:ascii="宋体" w:eastAsia="宋体" w:cs="宋体" w:hAnsi="宋体" w:hint="eastAsia"/>
          <w:bCs/>
          <w:color w:val="auto"/>
          <w:sz w:val="32"/>
          <w:szCs w:val="32"/>
          <w:lang w:val="en-US" w:eastAsia="zh-CN"/>
        </w:rPr>
        <w:t>1.3</w:t>
      </w:r>
      <w:r>
        <w:rPr>
          <w:rFonts w:ascii="宋体" w:eastAsia="宋体" w:cs="宋体" w:hAnsi="宋体" w:hint="eastAsia"/>
          <w:bCs/>
          <w:color w:val="auto"/>
          <w:sz w:val="32"/>
          <w:szCs w:val="32"/>
          <w:lang w:eastAsia="zh-CN"/>
        </w:rPr>
        <w:t>规划范围</w:t>
      </w:r>
      <w:bookmarkEnd w:id="18"/>
    </w:p>
    <w:p>
      <w:pPr>
        <w:rPr>
          <w:color w:val="auto"/>
        </w:rPr>
      </w:pPr>
    </w:p>
    <w:p>
      <w:pPr>
        <w:ind w:left="0" w:firstLineChars="200" w:firstLine="560"/>
        <w:rPr>
          <w:rFonts w:hint="eastAsia"/>
          <w:color w:val="auto"/>
          <w:sz w:val="28"/>
          <w:szCs w:val="28"/>
          <w:lang w:val="en-US" w:eastAsia="zh-CN"/>
        </w:rPr>
      </w:pPr>
      <w:r>
        <w:rPr>
          <w:rFonts w:ascii="宋体" w:eastAsia="宋体" w:cs="宋体" w:hAnsi="宋体" w:hint="eastAsia"/>
          <w:color w:val="auto"/>
          <w:kern w:val="0"/>
          <w:sz w:val="28"/>
          <w:szCs w:val="28"/>
          <w:lang w:eastAsia="zh-CN"/>
        </w:rPr>
        <w:t>本项目场址</w:t>
      </w:r>
      <w:r>
        <w:rPr>
          <w:rFonts w:ascii="宋体" w:eastAsia="宋体" w:cs="宋体" w:hAnsi="宋体" w:hint="eastAsia"/>
          <w:color w:val="auto"/>
          <w:kern w:val="0"/>
          <w:sz w:val="28"/>
          <w:szCs w:val="28"/>
        </w:rPr>
        <w:t>涉及</w:t>
      </w:r>
      <w:r>
        <w:rPr>
          <w:rFonts w:ascii="宋体" w:eastAsia="宋体" w:cs="宋体" w:hAnsi="宋体" w:hint="eastAsia"/>
          <w:color w:val="auto"/>
          <w:kern w:val="0"/>
          <w:sz w:val="28"/>
          <w:szCs w:val="28"/>
          <w:lang w:eastAsia="zh-CN"/>
        </w:rPr>
        <w:t>的区域</w:t>
      </w:r>
      <w:r>
        <w:rPr>
          <w:rFonts w:ascii="宋体" w:eastAsia="宋体" w:cs="宋体" w:hAnsi="宋体" w:hint="eastAsia"/>
          <w:color w:val="auto"/>
          <w:kern w:val="0"/>
          <w:sz w:val="28"/>
          <w:szCs w:val="28"/>
        </w:rPr>
        <w:t>范围</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东西</w:t>
      </w:r>
      <w:r>
        <w:rPr>
          <w:rFonts w:ascii="宋体" w:eastAsia="宋体" w:cs="宋体" w:hAnsi="宋体" w:hint="eastAsia"/>
          <w:color w:val="auto"/>
          <w:kern w:val="0"/>
          <w:sz w:val="28"/>
          <w:szCs w:val="28"/>
          <w:lang w:eastAsia="zh-CN"/>
        </w:rPr>
        <w:t>跨度</w:t>
      </w:r>
      <w:r>
        <w:rPr>
          <w:rFonts w:ascii="宋体" w:eastAsia="宋体" w:cs="宋体" w:hAnsi="宋体" w:hint="eastAsia"/>
          <w:color w:val="auto"/>
          <w:kern w:val="0"/>
          <w:sz w:val="28"/>
          <w:szCs w:val="28"/>
        </w:rPr>
        <w:t>约</w:t>
      </w:r>
      <w:r>
        <w:rPr>
          <w:rFonts w:ascii="宋体" w:eastAsia="宋体" w:cs="宋体" w:hAnsi="宋体" w:hint="eastAsia"/>
          <w:color w:val="auto"/>
          <w:kern w:val="0"/>
          <w:sz w:val="28"/>
          <w:szCs w:val="28"/>
          <w:lang w:val="en-US" w:eastAsia="zh-CN"/>
        </w:rPr>
        <w:t>6</w:t>
      </w:r>
      <w:r>
        <w:rPr>
          <w:rFonts w:ascii="宋体" w:eastAsia="宋体" w:cs="宋体" w:hAnsi="宋体" w:hint="eastAsia"/>
          <w:color w:val="auto"/>
          <w:kern w:val="0"/>
          <w:sz w:val="28"/>
          <w:szCs w:val="28"/>
        </w:rPr>
        <w:t>km</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南北</w:t>
      </w:r>
      <w:r>
        <w:rPr>
          <w:rFonts w:ascii="宋体" w:eastAsia="宋体" w:cs="宋体" w:hAnsi="宋体" w:hint="eastAsia"/>
          <w:color w:val="auto"/>
          <w:kern w:val="0"/>
          <w:sz w:val="28"/>
          <w:szCs w:val="28"/>
          <w:lang w:eastAsia="zh-CN"/>
        </w:rPr>
        <w:t>跨度</w:t>
      </w:r>
      <w:r>
        <w:rPr>
          <w:rFonts w:ascii="宋体" w:eastAsia="宋体" w:cs="宋体" w:hAnsi="宋体" w:hint="eastAsia"/>
          <w:color w:val="auto"/>
          <w:kern w:val="0"/>
          <w:sz w:val="28"/>
          <w:szCs w:val="28"/>
        </w:rPr>
        <w:t>约</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rPr>
        <w:t>km</w:t>
      </w:r>
      <w:r>
        <w:rPr>
          <w:rFonts w:ascii="宋体" w:eastAsia="宋体" w:cs="宋体" w:hAnsi="宋体" w:hint="eastAsia"/>
          <w:color w:val="auto"/>
          <w:kern w:val="0"/>
          <w:sz w:val="28"/>
          <w:szCs w:val="28"/>
          <w:lang w:eastAsia="zh-CN"/>
        </w:rPr>
        <w:t>。场址内</w:t>
      </w:r>
      <w:r>
        <w:rPr>
          <w:rFonts w:ascii="宋体" w:eastAsia="宋体" w:cs="宋体" w:hAnsi="宋体" w:hint="eastAsia"/>
          <w:color w:val="auto"/>
          <w:kern w:val="0"/>
          <w:sz w:val="28"/>
          <w:szCs w:val="28"/>
          <w:lang w:val="en-US" w:eastAsia="zh-CN"/>
        </w:rPr>
        <w:t>共</w:t>
      </w:r>
      <w:r>
        <w:rPr>
          <w:rFonts w:ascii="宋体" w:eastAsia="宋体" w:cs="宋体" w:hAnsi="宋体" w:hint="eastAsia"/>
          <w:color w:val="auto"/>
          <w:kern w:val="0"/>
          <w:sz w:val="28"/>
          <w:szCs w:val="28"/>
          <w:lang w:eastAsia="zh-CN"/>
        </w:rPr>
        <w:t>规划</w:t>
      </w:r>
      <w:r>
        <w:rPr>
          <w:rFonts w:ascii="宋体" w:eastAsia="宋体" w:cs="宋体" w:hAnsi="宋体" w:hint="eastAsia"/>
          <w:color w:val="auto"/>
          <w:kern w:val="0"/>
          <w:sz w:val="28"/>
          <w:szCs w:val="28"/>
          <w:lang w:val="en-US" w:eastAsia="zh-CN"/>
        </w:rPr>
        <w:t>33个永久占地的独立地块，即16个风机地块、16个箱变地块和1个升压站地块，</w:t>
      </w:r>
      <w:r>
        <w:rPr>
          <w:rFonts w:ascii="宋体" w:eastAsia="宋体" w:cs="宋体" w:hAnsi="宋体" w:hint="eastAsia"/>
          <w:color w:val="auto"/>
          <w:kern w:val="0"/>
          <w:sz w:val="28"/>
          <w:szCs w:val="28"/>
          <w:lang w:eastAsia="zh-CN"/>
        </w:rPr>
        <w:t>总用地面积合计</w:t>
      </w:r>
      <w:r>
        <w:rPr>
          <w:rFonts w:ascii="宋体" w:eastAsia="宋体" w:cs="宋体" w:hAnsi="宋体" w:hint="eastAsia"/>
          <w:color w:val="auto"/>
          <w:kern w:val="0"/>
          <w:sz w:val="28"/>
          <w:szCs w:val="28"/>
          <w:lang w:val="en-US" w:eastAsia="zh-CN"/>
        </w:rPr>
        <w:t>1.09047公顷（10904.7平方米）。16个风机地块占地面积共4471.26平方米，</w:t>
      </w:r>
      <w:r>
        <w:rPr>
          <w:rFonts w:ascii="宋体" w:eastAsia="宋体" w:cs="宋体" w:hAnsi="宋体" w:hint="eastAsia"/>
          <w:color w:val="auto"/>
          <w:kern w:val="0"/>
          <w:sz w:val="28"/>
          <w:szCs w:val="28"/>
          <w:lang w:eastAsia="zh-CN"/>
        </w:rPr>
        <w:t>其中</w:t>
      </w:r>
      <w:r>
        <w:rPr>
          <w:rFonts w:ascii="宋体" w:eastAsia="宋体" w:cs="宋体" w:hAnsi="宋体" w:hint="eastAsia"/>
          <w:color w:val="auto"/>
          <w:kern w:val="0"/>
          <w:sz w:val="28"/>
          <w:szCs w:val="28"/>
          <w:lang w:val="en-US" w:eastAsia="zh-CN"/>
        </w:rPr>
        <w:t>14个风机占地276.45㎡/个，2个风机占地300.48㎡/个，形状均呈圆形；16个</w:t>
      </w:r>
      <w:r>
        <w:rPr>
          <w:rFonts w:ascii="宋体" w:eastAsia="宋体" w:cs="宋体" w:hAnsi="宋体" w:hint="eastAsia"/>
          <w:color w:val="auto"/>
          <w:kern w:val="0"/>
          <w:sz w:val="28"/>
          <w:szCs w:val="28"/>
          <w:lang w:eastAsia="zh-CN"/>
        </w:rPr>
        <w:t>箱变地块</w:t>
      </w:r>
      <w:r>
        <w:rPr>
          <w:rFonts w:ascii="宋体" w:eastAsia="宋体" w:cs="宋体" w:hAnsi="宋体" w:hint="eastAsia"/>
          <w:color w:val="auto"/>
          <w:kern w:val="0"/>
          <w:sz w:val="28"/>
          <w:szCs w:val="28"/>
          <w:lang w:val="en-US" w:eastAsia="zh-CN"/>
        </w:rPr>
        <w:t>占地面积共416平方米，每个</w:t>
      </w:r>
      <w:r>
        <w:rPr>
          <w:rFonts w:ascii="宋体" w:eastAsia="宋体" w:cs="宋体" w:hAnsi="宋体" w:hint="eastAsia"/>
          <w:color w:val="auto"/>
          <w:kern w:val="0"/>
          <w:sz w:val="28"/>
          <w:szCs w:val="28"/>
          <w:lang w:eastAsia="zh-CN"/>
        </w:rPr>
        <w:t>均为</w:t>
      </w:r>
      <w:r>
        <w:rPr>
          <w:rFonts w:ascii="宋体" w:eastAsia="宋体" w:cs="宋体" w:hAnsi="宋体" w:hint="eastAsia"/>
          <w:color w:val="auto"/>
          <w:kern w:val="0"/>
          <w:sz w:val="28"/>
          <w:szCs w:val="28"/>
          <w:lang w:val="en-US" w:eastAsia="zh-CN"/>
        </w:rPr>
        <w:t>26平方米，形状呈方形；</w:t>
      </w:r>
      <w:r>
        <w:rPr>
          <w:rFonts w:ascii="宋体" w:eastAsia="宋体" w:cs="宋体" w:hAnsi="宋体" w:hint="eastAsia"/>
          <w:color w:val="auto"/>
          <w:kern w:val="0"/>
          <w:sz w:val="28"/>
          <w:szCs w:val="28"/>
          <w:lang w:eastAsia="zh-CN"/>
        </w:rPr>
        <w:t>升压站位于场址内东北部、小董镇那道村母鸡顶北侧，南北偏东朝向，规划用地面积为</w:t>
      </w:r>
      <w:r>
        <w:rPr>
          <w:rFonts w:ascii="宋体" w:eastAsia="宋体" w:cs="宋体" w:hAnsi="宋体" w:hint="eastAsia"/>
          <w:color w:val="auto"/>
          <w:kern w:val="0"/>
          <w:sz w:val="28"/>
          <w:szCs w:val="28"/>
          <w:lang w:val="en-US" w:eastAsia="zh-CN"/>
        </w:rPr>
        <w:t>6017.44平方米，其中东面的209.44平方米长条形用地为升压站的站前进站道路用地，站内</w:t>
      </w:r>
      <w:r>
        <w:rPr>
          <w:rFonts w:ascii="宋体" w:eastAsia="宋体" w:cs="宋体" w:hAnsi="宋体" w:hint="eastAsia"/>
          <w:color w:val="auto"/>
          <w:kern w:val="0"/>
          <w:sz w:val="28"/>
          <w:szCs w:val="28"/>
          <w:lang w:eastAsia="zh-CN"/>
        </w:rPr>
        <w:t>地块南北长约</w:t>
      </w:r>
      <w:r>
        <w:rPr>
          <w:rFonts w:ascii="宋体" w:eastAsia="宋体" w:cs="宋体" w:hAnsi="宋体" w:hint="eastAsia"/>
          <w:color w:val="auto"/>
          <w:kern w:val="0"/>
          <w:sz w:val="28"/>
          <w:szCs w:val="28"/>
          <w:lang w:val="en-US" w:eastAsia="zh-CN"/>
        </w:rPr>
        <w:t>88米，东西长约66米，用地</w:t>
      </w:r>
      <w:r>
        <w:rPr>
          <w:rFonts w:ascii="宋体" w:eastAsia="宋体" w:cs="宋体" w:hAnsi="宋体" w:hint="eastAsia"/>
          <w:color w:val="auto"/>
          <w:kern w:val="0"/>
          <w:sz w:val="28"/>
          <w:szCs w:val="28"/>
          <w:lang w:eastAsia="zh-CN"/>
        </w:rPr>
        <w:t>形状大体呈矩形。</w:t>
      </w:r>
    </w:p>
    <w:p>
      <w:pPr>
        <w:pStyle w:val="1"/>
        <w:numPr>
          <w:ilvl w:val="0"/>
          <w:numId w:val="0"/>
        </w:numPr>
        <w:spacing w:before="260" w:line="360" w:lineRule="auto"/>
        <w:ind w:left="420"/>
        <w:rPr>
          <w:rFonts w:ascii="宋体" w:eastAsia="宋体" w:cs="宋体" w:hAnsi="宋体"/>
          <w:bCs/>
          <w:color w:val="auto"/>
          <w:sz w:val="32"/>
          <w:szCs w:val="32"/>
        </w:rPr>
      </w:pPr>
      <w:bookmarkStart w:id="19" w:name="_Toc17898"/>
      <w:r>
        <w:rPr>
          <w:rFonts w:ascii="宋体" w:eastAsia="宋体" w:cs="宋体" w:hAnsi="宋体" w:hint="eastAsia"/>
          <w:bCs/>
          <w:color w:val="auto"/>
          <w:sz w:val="32"/>
          <w:szCs w:val="32"/>
          <w:lang w:val="en-US" w:eastAsia="zh-CN"/>
        </w:rPr>
        <w:t>1.4</w:t>
      </w:r>
      <w:r>
        <w:rPr>
          <w:rFonts w:ascii="宋体" w:eastAsia="宋体" w:cs="宋体" w:hAnsi="宋体" w:hint="eastAsia"/>
          <w:bCs/>
          <w:color w:val="auto"/>
          <w:sz w:val="32"/>
          <w:szCs w:val="32"/>
          <w:lang w:eastAsia="zh-CN"/>
        </w:rPr>
        <w:t>数据基础</w:t>
      </w:r>
      <w:bookmarkEnd w:id="19"/>
    </w:p>
    <w:p>
      <w:pPr>
        <w:rPr>
          <w:color w:val="auto"/>
        </w:rPr>
      </w:pPr>
    </w:p>
    <w:p>
      <w:pPr>
        <w:ind w:left="0" w:firstLineChars="200" w:firstLine="560"/>
        <w:rPr>
          <w:rFonts w:ascii="宋体" w:eastAsia="宋体" w:cs="宋体" w:hAnsi="宋体"/>
          <w:color w:val="auto"/>
          <w:kern w:val="0"/>
          <w:sz w:val="28"/>
          <w:szCs w:val="28"/>
          <w:lang w:val="en-US" w:eastAsia="zh-CN"/>
        </w:rPr>
      </w:pPr>
      <w:r>
        <w:rPr>
          <w:rFonts w:ascii="宋体" w:eastAsia="宋体" w:cs="宋体" w:hAnsi="宋体" w:hint="eastAsia"/>
          <w:color w:val="auto"/>
          <w:kern w:val="0"/>
          <w:sz w:val="28"/>
          <w:szCs w:val="28"/>
          <w:lang w:eastAsia="zh-CN"/>
        </w:rPr>
        <w:t>采用“三调”及基期年</w:t>
      </w:r>
      <w:r>
        <w:rPr>
          <w:rFonts w:ascii="宋体" w:eastAsia="宋体" w:cs="宋体" w:hAnsi="宋体" w:hint="eastAsia"/>
          <w:color w:val="auto"/>
          <w:kern w:val="0"/>
          <w:sz w:val="28"/>
          <w:szCs w:val="28"/>
          <w:lang w:val="en-US" w:eastAsia="zh-CN"/>
        </w:rPr>
        <w:t>2023</w:t>
      </w:r>
      <w:r>
        <w:rPr>
          <w:rFonts w:ascii="宋体" w:eastAsia="宋体" w:cs="宋体" w:hAnsi="宋体" w:hint="eastAsia"/>
          <w:color w:val="auto"/>
          <w:kern w:val="0"/>
          <w:sz w:val="28"/>
          <w:szCs w:val="28"/>
          <w:lang w:eastAsia="zh-CN"/>
        </w:rPr>
        <w:t>年度变更调查成果的村域行政区边界、土地利用现状等为底图基础</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平面坐标系统采用</w:t>
      </w:r>
      <w:r>
        <w:rPr>
          <w:rFonts w:ascii="宋体" w:eastAsia="宋体" w:cs="宋体" w:hAnsi="宋体" w:hint="eastAsia"/>
          <w:color w:val="auto"/>
          <w:kern w:val="0"/>
          <w:sz w:val="28"/>
          <w:szCs w:val="28"/>
          <w:lang w:val="en-US" w:eastAsia="zh-CN"/>
        </w:rPr>
        <w:t>2000国家大地坐标系；高程系统采用1985国家高程基准；投影方式采用高斯——克吕格投影，按3°分带。</w:t>
      </w:r>
    </w:p>
    <w:p>
      <w:pPr>
        <w:pStyle w:val="1"/>
        <w:numPr>
          <w:ilvl w:val="0"/>
          <w:numId w:val="0"/>
        </w:numPr>
        <w:spacing w:before="260" w:line="360" w:lineRule="auto"/>
        <w:ind w:left="420"/>
        <w:rPr>
          <w:rFonts w:ascii="宋体" w:eastAsia="宋体" w:cs="宋体" w:hAnsi="宋体"/>
          <w:bCs/>
          <w:color w:val="auto"/>
          <w:sz w:val="32"/>
          <w:szCs w:val="32"/>
        </w:rPr>
      </w:pPr>
      <w:bookmarkStart w:id="20" w:name="_Toc23202"/>
      <w:r>
        <w:rPr>
          <w:rFonts w:ascii="宋体" w:eastAsia="宋体" w:cs="宋体" w:hAnsi="宋体" w:hint="eastAsia"/>
          <w:bCs/>
          <w:color w:val="auto"/>
          <w:sz w:val="32"/>
          <w:szCs w:val="32"/>
          <w:lang w:val="en-US" w:eastAsia="zh-CN"/>
        </w:rPr>
        <w:t>1.5</w:t>
      </w:r>
      <w:r>
        <w:rPr>
          <w:rFonts w:ascii="宋体" w:eastAsia="宋体" w:cs="宋体" w:hAnsi="宋体" w:hint="eastAsia"/>
          <w:bCs/>
          <w:color w:val="auto"/>
          <w:sz w:val="32"/>
          <w:szCs w:val="32"/>
          <w:lang w:eastAsia="zh-CN"/>
        </w:rPr>
        <w:t>规划依据</w:t>
      </w:r>
      <w:bookmarkEnd w:id="20"/>
    </w:p>
    <w:p>
      <w:pPr>
        <w:rPr>
          <w:color w:val="auto"/>
        </w:rPr>
      </w:pPr>
    </w:p>
    <w:p>
      <w:pPr>
        <w:pStyle w:val="18"/>
        <w:widowControl/>
        <w:autoSpaceDE w:val="0"/>
        <w:autoSpaceDN w:val="0"/>
        <w:spacing w:before="4" w:line="420" w:lineRule="auto"/>
        <w:ind w:left="118" w:right="351" w:firstLineChars="200" w:firstLine="560"/>
        <w:jc w:val="left"/>
        <w:rPr>
          <w:rFonts w:ascii="宋体" w:eastAsia="宋体" w:cs="宋体" w:hAnsi="宋体"/>
          <w:color w:val="auto"/>
          <w:sz w:val="30"/>
          <w:szCs w:val="30"/>
        </w:rPr>
      </w:pPr>
      <w:r>
        <w:rPr>
          <w:rFonts w:hint="eastAsia"/>
          <w:b/>
          <w:bCs/>
          <w:color w:val="auto"/>
          <w:sz w:val="28"/>
          <w:szCs w:val="28"/>
          <w:lang w:val="en-US" w:eastAsia="zh-CN"/>
        </w:rPr>
        <w:t>1.5.1 法规条例</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《中华人民共和国城乡规划法（2019年修正）》）；</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《中华人民共和国土地管理法》（2019年修订）；</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《中华人民共和国公路法》（2017年修正）；</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《中华人民共和国消防法》（2019年修订）；</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《中华人民共和国环境保护法》（2015年）；</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《中华人民共和国自然保护区条例》（2017年修订）；</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《中华人民共和国气象法（2016年修正）》）；</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《中华人民共和国矿产资源法（2009年修正）》）；</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《中华人民共和国安全生产法》（2002年）；</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《中华人民共和国土地管理法实施条例》（2021年修订）；</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《基本农田保护条例》（2019年修订）；</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《土地复垦条例》（2011年颁布）；</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《城市规划编制办法》2006；</w:t>
      </w:r>
    </w:p>
    <w:p>
      <w:pPr>
        <w:pStyle w:val="25"/>
        <w:pBdr>
          <w:top w:val="none" w:sz="0" w:space="0" w:color="auto"/>
          <w:left w:val="none" w:sz="0" w:space="0" w:color="auto"/>
          <w:bottom w:val="none" w:sz="0" w:space="0" w:color="auto"/>
          <w:right w:val="none" w:sz="0" w:space="0" w:color="auto"/>
        </w:pBdr>
        <w:bidi w:val="0"/>
        <w:spacing w:before="0" w:beforeAutospacing="0" w:after="0" w:afterAutospacing="0" w:line="359" w:lineRule="atLeast"/>
        <w:ind w:left="119" w:right="344" w:firstLine="554"/>
        <w:rPr>
          <w:vanish w:val="0"/>
        </w:rPr>
      </w:pPr>
      <w:r>
        <w:rPr>
          <w:rFonts w:ascii="宋体" w:eastAsia="宋体" w:hint="eastAsia"/>
          <w:vanish w:val="0"/>
          <w:color w:val="auto"/>
          <w:sz w:val="29"/>
          <w:szCs w:val="29"/>
          <w:vertAlign w:val="baseline"/>
        </w:rPr>
        <w:t>《广西壮族自治区实施&lt;中华人民共和国城乡规划法&gt;办法》；</w:t>
      </w:r>
    </w:p>
    <w:p>
      <w:pPr>
        <w:pStyle w:val="25"/>
        <w:spacing w:before="0" w:beforeAutospacing="0" w:after="0" w:afterAutospacing="0" w:line="359" w:lineRule="atLeast"/>
        <w:ind w:left="119" w:right="344" w:firstLine="554"/>
      </w:pPr>
      <w:r>
        <w:rPr>
          <w:rFonts w:ascii="宋体" w:eastAsia="宋体" w:hint="eastAsia"/>
          <w:vanish w:val="0"/>
          <w:color w:val="auto"/>
          <w:sz w:val="29"/>
          <w:szCs w:val="29"/>
          <w:vertAlign w:val="baseline"/>
        </w:rPr>
        <w:t>其他国家有关土地、水、矿产资源利用、保护与管理的法律法规及地方法规。</w:t>
      </w:r>
      <w:r>
        <w:rPr>
          <w:vanish w:val="0"/>
        </w:rPr>
        <w:br/>
      </w:r>
      <w:r>
        <w:rPr>
          <w:rFonts w:hint="eastAsia"/>
          <w:b/>
          <w:bCs/>
          <w:color w:val="auto"/>
          <w:sz w:val="28"/>
          <w:szCs w:val="28"/>
          <w:lang w:val="en-US" w:eastAsia="zh-CN"/>
        </w:rPr>
        <w:t>1.5.2 相关文件</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广西壮族自治区能源局下发关于印发《2015年广西风电储备项目计划》的通知；</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广西壮族自治区能源局下发《广西壮族自治区能源局关于印发广西无补贴平价风电开发建设方案的通知》（桂能新能〔2020〕8 号）；</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钦州市自然资源局关于钦北区古道岭</w:t>
      </w:r>
      <w:r>
        <w:rPr>
          <w:rFonts w:ascii="宋体" w:eastAsia="宋体" w:cs="宋体" w:hAnsi="宋体" w:hint="eastAsia"/>
          <w:color w:val="auto"/>
          <w:kern w:val="0"/>
          <w:sz w:val="28"/>
          <w:szCs w:val="28"/>
          <w:lang w:val="en-US" w:eastAsia="zh-CN"/>
        </w:rPr>
        <w:t>50MW平价风电建设项目用地预审的复函</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2019</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1425号</w:t>
      </w:r>
      <w:r>
        <w:rPr>
          <w:rFonts w:ascii="宋体" w:eastAsia="宋体" w:cs="宋体" w:hAnsi="宋体" w:hint="eastAsia"/>
          <w:color w:val="auto"/>
          <w:kern w:val="0"/>
          <w:sz w:val="28"/>
          <w:szCs w:val="28"/>
          <w:lang w:eastAsia="zh-CN"/>
        </w:rPr>
        <w:t>；</w:t>
      </w:r>
    </w:p>
    <w:p>
      <w:pPr>
        <w:pStyle w:val="18"/>
        <w:ind w:firstLineChars="200" w:firstLine="560"/>
        <w:rPr>
          <w:rFonts w:hint="eastAsia"/>
          <w:color w:val="auto"/>
          <w:lang w:eastAsia="zh-CN"/>
        </w:rPr>
      </w:pPr>
      <w:r>
        <w:rPr>
          <w:rFonts w:cs="宋体" w:hint="eastAsia"/>
          <w:color w:val="auto"/>
          <w:kern w:val="0"/>
          <w:sz w:val="28"/>
          <w:szCs w:val="28"/>
          <w:lang w:eastAsia="zh-CN"/>
        </w:rPr>
        <w:t>广西壮族自治区发展和改革委员会关于钦北区古道岭风电场一期工程项目核准的批复</w:t>
      </w:r>
      <w:r>
        <w:rPr>
          <w:rFonts w:ascii="宋体" w:eastAsia="宋体" w:cs="宋体" w:hAnsi="宋体" w:hint="eastAsia"/>
          <w:color w:val="auto"/>
          <w:kern w:val="0"/>
          <w:sz w:val="28"/>
          <w:szCs w:val="28"/>
        </w:rPr>
        <w:t>（桂</w:t>
      </w:r>
      <w:r>
        <w:rPr>
          <w:rFonts w:cs="宋体" w:hint="eastAsia"/>
          <w:color w:val="auto"/>
          <w:kern w:val="0"/>
          <w:sz w:val="28"/>
          <w:szCs w:val="28"/>
          <w:lang w:eastAsia="zh-CN"/>
        </w:rPr>
        <w:t>发改新能</w:t>
      </w:r>
      <w:r>
        <w:rPr>
          <w:rFonts w:ascii="宋体" w:eastAsia="宋体" w:cs="宋体" w:hAnsi="宋体" w:hint="eastAsia"/>
          <w:color w:val="auto"/>
          <w:kern w:val="0"/>
          <w:sz w:val="28"/>
          <w:szCs w:val="28"/>
        </w:rPr>
        <w:t>〔202</w:t>
      </w:r>
      <w:r>
        <w:rPr>
          <w:rFonts w:cs="宋体" w:hint="eastAsia"/>
          <w:color w:val="auto"/>
          <w:kern w:val="0"/>
          <w:sz w:val="28"/>
          <w:szCs w:val="28"/>
          <w:lang w:val="en-US" w:eastAsia="zh-CN"/>
        </w:rPr>
        <w:t>0</w:t>
      </w:r>
      <w:r>
        <w:rPr>
          <w:rFonts w:ascii="宋体" w:eastAsia="宋体" w:cs="宋体" w:hAnsi="宋体" w:hint="eastAsia"/>
          <w:color w:val="auto"/>
          <w:kern w:val="0"/>
          <w:sz w:val="28"/>
          <w:szCs w:val="28"/>
        </w:rPr>
        <w:t>〕</w:t>
      </w:r>
      <w:r>
        <w:rPr>
          <w:rFonts w:cs="宋体" w:hint="eastAsia"/>
          <w:color w:val="auto"/>
          <w:kern w:val="0"/>
          <w:sz w:val="28"/>
          <w:szCs w:val="28"/>
          <w:lang w:val="en-US" w:eastAsia="zh-CN"/>
        </w:rPr>
        <w:t>735</w:t>
      </w:r>
      <w:r>
        <w:rPr>
          <w:rFonts w:ascii="宋体" w:eastAsia="宋体" w:cs="宋体" w:hAnsi="宋体" w:hint="eastAsia"/>
          <w:color w:val="auto"/>
          <w:kern w:val="0"/>
          <w:sz w:val="28"/>
          <w:szCs w:val="28"/>
        </w:rPr>
        <w:t>号）</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广西壮族自治区人民政府关于钦北区古道岭100MW风电场平价试点项目（一期50MW）建设用地的批复（桂政土批函〔2024〕227号）</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钦州市钦北区自然资源局关于查询钦北区古道岭100MW风电场平价试点项目(一期50MW)建设项目压覆矿产资源情况的意见函</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钦北自然资函</w:t>
      </w:r>
      <w:r>
        <w:rPr>
          <w:rFonts w:ascii="宋体" w:eastAsia="宋体" w:cs="宋体" w:hAnsi="宋体" w:hint="eastAsia"/>
          <w:color w:val="auto"/>
          <w:kern w:val="0"/>
          <w:sz w:val="28"/>
          <w:szCs w:val="28"/>
        </w:rPr>
        <w:t>〔202</w:t>
      </w: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135</w:t>
      </w:r>
      <w:r>
        <w:rPr>
          <w:rFonts w:ascii="宋体" w:eastAsia="宋体" w:cs="宋体" w:hAnsi="宋体" w:hint="eastAsia"/>
          <w:color w:val="auto"/>
          <w:kern w:val="0"/>
          <w:sz w:val="28"/>
          <w:szCs w:val="28"/>
        </w:rPr>
        <w:t>号）</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广西壮族自治区自然资源厅办公室关于印发《广西壮族自治区独立地块详细规划编制要点（试行）》的通知（桂</w:t>
      </w:r>
      <w:r>
        <w:rPr>
          <w:rFonts w:ascii="宋体" w:eastAsia="宋体" w:cs="宋体" w:hAnsi="宋体" w:hint="eastAsia"/>
          <w:color w:val="auto"/>
          <w:kern w:val="0"/>
          <w:sz w:val="28"/>
          <w:szCs w:val="28"/>
          <w:lang w:eastAsia="zh-CN"/>
        </w:rPr>
        <w:t>自然资办</w:t>
      </w:r>
      <w:r>
        <w:rPr>
          <w:rFonts w:ascii="宋体" w:eastAsia="宋体" w:cs="宋体" w:hAnsi="宋体" w:hint="eastAsia"/>
          <w:color w:val="auto"/>
          <w:kern w:val="0"/>
          <w:sz w:val="28"/>
          <w:szCs w:val="28"/>
        </w:rPr>
        <w:t>〔202</w:t>
      </w: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197</w:t>
      </w:r>
      <w:r>
        <w:rPr>
          <w:rFonts w:ascii="宋体" w:eastAsia="宋体" w:cs="宋体" w:hAnsi="宋体" w:hint="eastAsia"/>
          <w:color w:val="auto"/>
          <w:kern w:val="0"/>
          <w:sz w:val="28"/>
          <w:szCs w:val="28"/>
        </w:rPr>
        <w:t>号）</w:t>
      </w:r>
      <w:r>
        <w:rPr>
          <w:rFonts w:ascii="宋体" w:eastAsia="宋体" w:cs="宋体" w:hAnsi="宋体" w:hint="eastAsia"/>
          <w:color w:val="auto"/>
          <w:kern w:val="0"/>
          <w:sz w:val="28"/>
          <w:szCs w:val="28"/>
          <w:lang w:eastAsia="zh-CN"/>
        </w:rPr>
        <w:t>。</w:t>
      </w:r>
    </w:p>
    <w:p>
      <w:pPr>
        <w:pStyle w:val="18"/>
        <w:widowControl/>
        <w:autoSpaceDE w:val="0"/>
        <w:autoSpaceDN w:val="0"/>
        <w:spacing w:before="4" w:line="420" w:lineRule="auto"/>
        <w:ind w:left="118" w:right="351" w:firstLineChars="200" w:firstLine="560"/>
        <w:jc w:val="left"/>
        <w:rPr>
          <w:rFonts w:hint="eastAsia"/>
          <w:color w:val="auto"/>
          <w:lang w:eastAsia="zh-CN"/>
        </w:rPr>
      </w:pPr>
      <w:r>
        <w:rPr>
          <w:rFonts w:hint="eastAsia"/>
          <w:b/>
          <w:bCs/>
          <w:color w:val="auto"/>
          <w:sz w:val="28"/>
          <w:szCs w:val="28"/>
          <w:lang w:val="en-US" w:eastAsia="zh-CN"/>
        </w:rPr>
        <w:t>1.5.3 规范标准</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电力工程项目建设用地指标(风电场)</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建标(2011)209号</w:t>
      </w:r>
      <w:r>
        <w:rPr>
          <w:rFonts w:ascii="宋体" w:eastAsia="宋体" w:cs="宋体" w:hAnsi="宋体" w:hint="eastAsia"/>
          <w:color w:val="auto"/>
          <w:kern w:val="0"/>
          <w:sz w:val="28"/>
          <w:szCs w:val="28"/>
          <w:lang w:eastAsia="zh-CN"/>
        </w:rPr>
        <w:t>；</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《风电场工程设计导则</w:t>
      </w:r>
      <w:r>
        <w:rPr>
          <w:rFonts w:ascii="宋体" w:eastAsia="宋体" w:cs="宋体" w:hAnsi="宋体" w:hint="eastAsia"/>
          <w:color w:val="auto"/>
          <w:kern w:val="0"/>
          <w:sz w:val="28"/>
          <w:szCs w:val="28"/>
          <w:lang w:eastAsia="zh-CN"/>
        </w:rPr>
        <w:t>（试行）</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《风</w:t>
      </w:r>
      <w:r>
        <w:rPr>
          <w:rFonts w:ascii="宋体" w:eastAsia="宋体" w:cs="宋体" w:hAnsi="宋体" w:hint="eastAsia"/>
          <w:color w:val="auto"/>
          <w:kern w:val="0"/>
          <w:sz w:val="28"/>
          <w:szCs w:val="28"/>
          <w:lang w:val="en-US" w:eastAsia="zh-CN"/>
        </w:rPr>
        <w:t>力发电场设计规范</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w:t>
      </w:r>
      <w:r>
        <w:rPr>
          <w:rFonts w:ascii="宋体" w:eastAsia="宋体" w:cs="宋体" w:hAnsi="宋体"/>
          <w:color w:val="auto"/>
          <w:kern w:val="0"/>
          <w:sz w:val="28"/>
          <w:szCs w:val="28"/>
        </w:rPr>
        <w:t>GB</w:t>
      </w:r>
      <w:r>
        <w:rPr>
          <w:rFonts w:ascii="宋体" w:eastAsia="宋体" w:cs="宋体" w:hAnsi="宋体" w:hint="eastAsia"/>
          <w:color w:val="auto"/>
          <w:kern w:val="0"/>
          <w:sz w:val="28"/>
          <w:szCs w:val="28"/>
          <w:lang w:eastAsia="zh-CN"/>
        </w:rPr>
        <w:t>5</w:t>
      </w:r>
      <w:r>
        <w:rPr>
          <w:rFonts w:ascii="宋体" w:eastAsia="宋体" w:cs="宋体" w:hAnsi="宋体" w:hint="eastAsia"/>
          <w:color w:val="auto"/>
          <w:kern w:val="0"/>
          <w:sz w:val="28"/>
          <w:szCs w:val="28"/>
          <w:lang w:val="en-US" w:eastAsia="zh-CN"/>
        </w:rPr>
        <w:t>1096</w:t>
      </w:r>
      <w:r>
        <w:rPr>
          <w:rFonts w:ascii="宋体" w:eastAsia="宋体" w:cs="宋体" w:hAnsi="宋体"/>
          <w:color w:val="auto"/>
          <w:kern w:val="0"/>
          <w:sz w:val="28"/>
          <w:szCs w:val="28"/>
        </w:rPr>
        <w:t>-201</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lang w:eastAsia="zh-CN"/>
        </w:rPr>
        <w:t>）；</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《电力工程电缆设计</w:t>
      </w:r>
      <w:r>
        <w:rPr>
          <w:rFonts w:ascii="宋体" w:eastAsia="宋体" w:cs="宋体" w:hAnsi="宋体" w:hint="eastAsia"/>
          <w:color w:val="auto"/>
          <w:kern w:val="0"/>
          <w:sz w:val="28"/>
          <w:szCs w:val="28"/>
          <w:lang w:eastAsia="zh-CN"/>
        </w:rPr>
        <w:t>标准</w:t>
      </w:r>
      <w:r>
        <w:rPr>
          <w:rFonts w:ascii="宋体" w:eastAsia="宋体" w:cs="宋体" w:hAnsi="宋体" w:hint="eastAsia"/>
          <w:color w:val="auto"/>
          <w:kern w:val="0"/>
          <w:sz w:val="28"/>
          <w:szCs w:val="28"/>
        </w:rPr>
        <w:t>》GB50217-2018</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《建筑设计防火规范》（</w:t>
      </w:r>
      <w:r>
        <w:rPr>
          <w:rFonts w:ascii="宋体" w:eastAsia="宋体" w:cs="宋体" w:hAnsi="宋体"/>
          <w:color w:val="auto"/>
          <w:kern w:val="0"/>
          <w:sz w:val="28"/>
          <w:szCs w:val="28"/>
        </w:rPr>
        <w:t>GB50016-2014）（2018版）</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Times New Roman"/>
          <w:color w:val="auto"/>
          <w:kern w:val="0"/>
          <w:sz w:val="24"/>
          <w:szCs w:val="24"/>
        </w:rPr>
      </w:pPr>
      <w:r>
        <w:rPr>
          <w:rFonts w:ascii="宋体" w:eastAsia="宋体" w:cs="宋体" w:hAnsi="宋体" w:hint="eastAsia"/>
          <w:color w:val="auto"/>
          <w:kern w:val="0"/>
          <w:sz w:val="28"/>
          <w:szCs w:val="28"/>
        </w:rPr>
        <w:t>《建筑防火通用规范》</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GB55037-2022</w:t>
      </w:r>
      <w:r>
        <w:rPr>
          <w:rFonts w:ascii="宋体" w:eastAsia="宋体" w:cs="宋体" w:hAnsi="宋体" w:hint="eastAsia"/>
          <w:color w:val="auto"/>
          <w:kern w:val="0"/>
          <w:sz w:val="28"/>
          <w:szCs w:val="28"/>
          <w:lang w:eastAsia="zh-CN"/>
        </w:rPr>
        <w:t>）</w:t>
      </w:r>
      <w:r>
        <w:rPr>
          <w:rFonts w:ascii="宋体" w:eastAsia="宋体" w:cs="宋体" w:hAnsi="宋体"/>
          <w:color w:val="auto"/>
          <w:kern w:val="0"/>
          <w:sz w:val="28"/>
          <w:szCs w:val="28"/>
        </w:rPr>
        <w:t>；</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《钦州市城市规划技术标准与准则》（</w:t>
      </w:r>
      <w:r>
        <w:rPr>
          <w:rFonts w:ascii="宋体" w:eastAsia="宋体" w:cs="宋体" w:hAnsi="宋体"/>
          <w:color w:val="auto"/>
          <w:kern w:val="0"/>
          <w:sz w:val="28"/>
          <w:szCs w:val="28"/>
        </w:rPr>
        <w:t>2015</w:t>
      </w:r>
      <w:r>
        <w:rPr>
          <w:rFonts w:ascii="宋体" w:eastAsia="宋体" w:cs="宋体" w:hAnsi="宋体" w:hint="eastAsia"/>
          <w:color w:val="auto"/>
          <w:kern w:val="0"/>
          <w:sz w:val="28"/>
          <w:szCs w:val="28"/>
        </w:rPr>
        <w:t>年版）；</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《国土空间调查、规划、用途管制用地用海分类指南》</w:t>
      </w:r>
      <w:r>
        <w:rPr>
          <w:rFonts w:ascii="宋体" w:eastAsia="宋体" w:cs="宋体" w:hAnsi="宋体"/>
          <w:color w:val="auto"/>
          <w:kern w:val="0"/>
          <w:sz w:val="28"/>
          <w:szCs w:val="28"/>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《第三次全国国土调查技术规程》（TD/T 1055—2019）；</w:t>
      </w:r>
    </w:p>
    <w:p>
      <w:pPr>
        <w:ind w:left="0" w:firstLineChars="200" w:firstLine="560"/>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其他国家</w:t>
      </w:r>
      <w:r>
        <w:rPr>
          <w:rFonts w:ascii="宋体" w:eastAsia="宋体" w:cs="宋体" w:hAnsi="宋体" w:hint="eastAsia"/>
          <w:color w:val="auto"/>
          <w:kern w:val="0"/>
          <w:sz w:val="28"/>
          <w:szCs w:val="28"/>
          <w:lang w:eastAsia="zh-CN"/>
        </w:rPr>
        <w:t>相关技术</w:t>
      </w:r>
      <w:r>
        <w:rPr>
          <w:rFonts w:ascii="宋体" w:eastAsia="宋体" w:cs="宋体" w:hAnsi="宋体" w:hint="eastAsia"/>
          <w:color w:val="auto"/>
          <w:kern w:val="0"/>
          <w:sz w:val="28"/>
          <w:szCs w:val="28"/>
        </w:rPr>
        <w:t>规范</w:t>
      </w:r>
      <w:r>
        <w:rPr>
          <w:rFonts w:ascii="宋体" w:eastAsia="宋体" w:cs="宋体" w:hAnsi="宋体" w:hint="eastAsia"/>
          <w:color w:val="auto"/>
          <w:kern w:val="0"/>
          <w:sz w:val="28"/>
          <w:szCs w:val="28"/>
          <w:lang w:eastAsia="zh-CN"/>
        </w:rPr>
        <w:t>和标准。</w:t>
      </w:r>
    </w:p>
    <w:p>
      <w:pPr>
        <w:pStyle w:val="18"/>
        <w:widowControl/>
        <w:autoSpaceDE w:val="0"/>
        <w:autoSpaceDN w:val="0"/>
        <w:spacing w:before="4" w:line="420" w:lineRule="auto"/>
        <w:ind w:left="118" w:right="351" w:firstLineChars="200" w:firstLine="560"/>
        <w:jc w:val="left"/>
        <w:rPr>
          <w:rFonts w:ascii="宋体" w:eastAsia="宋体" w:cs="宋体" w:hAnsi="宋体"/>
          <w:color w:val="auto"/>
          <w:sz w:val="30"/>
          <w:szCs w:val="30"/>
        </w:rPr>
      </w:pPr>
      <w:r>
        <w:rPr>
          <w:rFonts w:hint="eastAsia"/>
          <w:b/>
          <w:bCs/>
          <w:color w:val="auto"/>
          <w:sz w:val="28"/>
          <w:szCs w:val="28"/>
          <w:lang w:val="en-US" w:eastAsia="zh-CN"/>
        </w:rPr>
        <w:t>1.5.4 相关规划</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《广西壮族自治区国民经济和社会发展第十四个五年规划和2035年远景目标纲要》；</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《钦州市国民经济和社会发展第十四个五年规划和2035年远景目标纲要》；</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《钦北区国民经济和社会发展第十四个五年规划和2035 年远景目标纲要》；</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《钦州市国土空间总体规划（2021-2035年）》；</w:t>
      </w:r>
    </w:p>
    <w:p>
      <w:pPr>
        <w:widowControl/>
        <w:spacing w:before="4" w:line="360" w:lineRule="auto"/>
        <w:ind w:left="118" w:right="351" w:firstLineChars="200" w:firstLine="560"/>
        <w:jc w:val="left"/>
        <w:rPr>
          <w:rFonts w:hint="eastAsia"/>
          <w:color w:val="auto"/>
          <w:lang w:eastAsia="zh-CN"/>
        </w:rPr>
      </w:pPr>
      <w:r>
        <w:rPr>
          <w:rFonts w:ascii="宋体" w:eastAsia="宋体" w:cs="宋体" w:hAnsi="宋体" w:hint="eastAsia"/>
          <w:color w:val="auto"/>
          <w:kern w:val="0"/>
          <w:sz w:val="28"/>
          <w:szCs w:val="28"/>
        </w:rPr>
        <w:t>《广西陆上风电场建设规划修编》</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hint="eastAsia"/>
          <w:color w:val="auto"/>
          <w:lang w:eastAsia="zh-CN"/>
        </w:rPr>
      </w:pPr>
      <w:r>
        <w:rPr>
          <w:rFonts w:ascii="宋体" w:eastAsia="宋体" w:cs="宋体" w:hAnsi="宋体" w:hint="eastAsia"/>
          <w:color w:val="auto"/>
          <w:kern w:val="0"/>
          <w:sz w:val="28"/>
          <w:szCs w:val="28"/>
          <w:lang w:eastAsia="zh-CN"/>
        </w:rPr>
        <w:t>《广西陆上风电中长期发展规划》(桂发改新能〔202</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 816 号）；</w:t>
      </w:r>
    </w:p>
    <w:p>
      <w:pPr>
        <w:ind w:left="0" w:firstLineChars="200" w:firstLine="560"/>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其他</w:t>
      </w:r>
      <w:r>
        <w:rPr>
          <w:rFonts w:ascii="宋体" w:eastAsia="宋体" w:cs="宋体" w:hAnsi="宋体" w:hint="eastAsia"/>
          <w:color w:val="auto"/>
          <w:kern w:val="0"/>
          <w:sz w:val="28"/>
          <w:szCs w:val="28"/>
          <w:lang w:eastAsia="zh-CN"/>
        </w:rPr>
        <w:t>相关专项规划和城镇规划。</w:t>
      </w:r>
    </w:p>
    <w:p>
      <w:pPr>
        <w:pStyle w:val="1"/>
        <w:numPr>
          <w:ilvl w:val="0"/>
          <w:numId w:val="0"/>
        </w:numPr>
        <w:spacing w:before="260" w:line="360" w:lineRule="auto"/>
        <w:ind w:left="420"/>
        <w:rPr>
          <w:rFonts w:ascii="宋体" w:eastAsia="宋体" w:cs="宋体" w:hAnsi="宋体"/>
          <w:bCs/>
          <w:color w:val="auto"/>
          <w:sz w:val="32"/>
          <w:szCs w:val="32"/>
        </w:rPr>
      </w:pPr>
      <w:bookmarkStart w:id="21" w:name="_Toc25859"/>
      <w:r>
        <w:rPr>
          <w:rFonts w:ascii="宋体" w:eastAsia="宋体" w:cs="宋体" w:hAnsi="宋体" w:hint="eastAsia"/>
          <w:bCs/>
          <w:color w:val="auto"/>
          <w:sz w:val="32"/>
          <w:szCs w:val="32"/>
          <w:lang w:val="en-US" w:eastAsia="zh-CN"/>
        </w:rPr>
        <w:t>1.6</w:t>
      </w:r>
      <w:r>
        <w:rPr>
          <w:rFonts w:ascii="宋体" w:eastAsia="宋体" w:cs="宋体" w:hAnsi="宋体" w:hint="eastAsia"/>
          <w:bCs/>
          <w:color w:val="auto"/>
          <w:sz w:val="32"/>
          <w:szCs w:val="32"/>
          <w:lang w:eastAsia="zh-CN"/>
        </w:rPr>
        <w:t>项目</w:t>
      </w:r>
      <w:r>
        <w:rPr>
          <w:rFonts w:ascii="宋体" w:eastAsia="宋体" w:cs="宋体" w:hAnsi="宋体" w:hint="eastAsia"/>
          <w:bCs/>
          <w:color w:val="auto"/>
          <w:sz w:val="32"/>
          <w:szCs w:val="32"/>
          <w:lang w:val="en-US" w:eastAsia="zh-CN"/>
        </w:rPr>
        <w:t>建设的</w:t>
      </w:r>
      <w:r>
        <w:rPr>
          <w:rFonts w:ascii="宋体" w:eastAsia="宋体" w:cs="宋体" w:hAnsi="宋体" w:hint="eastAsia"/>
          <w:bCs/>
          <w:color w:val="auto"/>
          <w:sz w:val="32"/>
          <w:szCs w:val="32"/>
          <w:lang w:eastAsia="zh-CN"/>
        </w:rPr>
        <w:t>必要性</w:t>
      </w:r>
      <w:bookmarkEnd w:id="21"/>
    </w:p>
    <w:p>
      <w:pPr>
        <w:rPr>
          <w:color w:val="auto"/>
        </w:rPr>
      </w:pPr>
    </w:p>
    <w:p>
      <w:pPr>
        <w:pStyle w:val="18"/>
        <w:widowControl/>
        <w:autoSpaceDE w:val="0"/>
        <w:autoSpaceDN w:val="0"/>
        <w:spacing w:before="4" w:line="420" w:lineRule="auto"/>
        <w:ind w:left="118" w:right="351" w:firstLineChars="200" w:firstLine="560"/>
        <w:jc w:val="left"/>
        <w:rPr>
          <w:rFonts w:ascii="宋体" w:eastAsia="宋体" w:cs="宋体" w:hAnsi="宋体"/>
          <w:color w:val="auto"/>
          <w:sz w:val="30"/>
          <w:szCs w:val="30"/>
        </w:rPr>
      </w:pPr>
      <w:bookmarkStart w:id="22" w:name="_Toc22960"/>
      <w:bookmarkStart w:id="23" w:name="_Toc18293"/>
      <w:bookmarkStart w:id="24" w:name="_Toc23970"/>
      <w:bookmarkStart w:id="25" w:name="_Toc5027"/>
      <w:r>
        <w:rPr>
          <w:rFonts w:hint="eastAsia"/>
          <w:b/>
          <w:bCs/>
          <w:color w:val="auto"/>
          <w:sz w:val="28"/>
          <w:szCs w:val="28"/>
          <w:lang w:val="en-US" w:eastAsia="zh-CN"/>
        </w:rPr>
        <w:t>1.6.1 符合我国能源产业发展战略和方向</w:t>
      </w:r>
      <w:bookmarkEnd w:id="22"/>
      <w:bookmarkEnd w:id="23"/>
      <w:bookmarkEnd w:id="24"/>
      <w:bookmarkEnd w:id="25"/>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随着经济的快速发展，人类正以前所未有的速度消耗着地球上极为有限的化石能源资源。然而，有限的一次能源储量，以及利用一次能源所带来的环境方面的问题，直接影响世界经济的可持续发展和人类的生存环境。为减少对一次能源的依赖，保护人类的生存环境，我国政府已向世界庄严承诺，21 世纪走可持续发展的道路，明确经济的发展不应以牺牲后代生存环境、经济资源为代价，并研究、制定和开始执行经济、社会和资源相互协调的21 世纪可持续发展战略。研究地块建设场址位于广西钦州市钦北区，年上网电量约14569 万kW·h，有利于当地能源消费结构的调整，有利于广西能源发展规划目标的实现。</w:t>
      </w:r>
    </w:p>
    <w:p>
      <w:pPr>
        <w:pStyle w:val="18"/>
        <w:widowControl/>
        <w:autoSpaceDE w:val="0"/>
        <w:autoSpaceDN w:val="0"/>
        <w:spacing w:before="4" w:line="420" w:lineRule="auto"/>
        <w:ind w:left="118" w:right="351" w:firstLineChars="200" w:firstLine="560"/>
        <w:jc w:val="left"/>
        <w:rPr>
          <w:rFonts w:hint="eastAsia"/>
          <w:b/>
          <w:bCs/>
          <w:color w:val="auto"/>
          <w:sz w:val="28"/>
          <w:szCs w:val="28"/>
          <w:lang w:val="en-US" w:eastAsia="zh-CN"/>
        </w:rPr>
      </w:pPr>
      <w:r>
        <w:rPr>
          <w:rFonts w:hint="eastAsia"/>
          <w:b/>
          <w:bCs/>
          <w:color w:val="auto"/>
          <w:sz w:val="28"/>
          <w:szCs w:val="28"/>
          <w:lang w:val="en-US" w:eastAsia="zh-CN"/>
        </w:rPr>
        <w:t>1.6.2 是能源消耗的有益补充</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在一次能源中，广西煤、气、油等资源匮乏，从长远看，广西属能源缺乏省份之一。为了满足广西经济和社会发展对能源的需求，保证能源安全，广西能源长远发展必须实施能源形式多元化战略，推进能源多元清洁发展，转变能源生产和利用方式，优化能源结构，构建清洁能源示范区。深度开发水电，因地制宜发展中小型水电，合理布局抽水蓄能电站。优化发展火电，优先建设“上大压小”煤电、热电联产综合利用等项目，鼓励发展清洁高效、大容量燃煤机组，推进传统能源清洁利用。积极发展生物质能、风能、太阳能、地热能、潮汐能等可再生能源。稳步推进沿海液化天然气利用、非粮乙醇、生物柴油、生物质成型燃料、生物质气化等项目建设，开展分布式能源和太阳能城市试点。因此，用地规划建设是广西能源长期发展战略的需要</w:t>
      </w:r>
      <w:r>
        <w:rPr>
          <w:rFonts w:ascii="宋体" w:eastAsia="宋体" w:cs="宋体" w:hAnsi="宋体" w:hint="eastAsia"/>
          <w:color w:val="auto"/>
          <w:kern w:val="0"/>
          <w:sz w:val="28"/>
          <w:szCs w:val="28"/>
          <w:lang w:eastAsia="zh-CN"/>
        </w:rPr>
        <w:t>。</w:t>
      </w:r>
    </w:p>
    <w:p>
      <w:pPr>
        <w:pStyle w:val="18"/>
        <w:widowControl/>
        <w:autoSpaceDE w:val="0"/>
        <w:autoSpaceDN w:val="0"/>
        <w:spacing w:before="4" w:line="420" w:lineRule="auto"/>
        <w:ind w:left="118" w:right="351" w:firstLineChars="200" w:firstLine="560"/>
        <w:jc w:val="left"/>
        <w:rPr>
          <w:rFonts w:ascii="宋体" w:eastAsia="宋体" w:cs="宋体" w:hAnsi="宋体"/>
          <w:color w:val="auto"/>
          <w:sz w:val="30"/>
          <w:szCs w:val="30"/>
        </w:rPr>
      </w:pPr>
      <w:r>
        <w:rPr>
          <w:rFonts w:hint="eastAsia"/>
          <w:b/>
          <w:bCs/>
          <w:color w:val="auto"/>
          <w:sz w:val="28"/>
          <w:szCs w:val="28"/>
          <w:lang w:val="en-US" w:eastAsia="zh-CN"/>
        </w:rPr>
        <w:t>1.6.3 有利于保护生态环境</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广西能源资源的特点是水力资源丰富，但缺煤少油，而且煤的质量差，含硫量高、灰分大，并且开采困难。截至目前广西水力资源已开发量约占全区经济可开发装机容量的80%，后续可开发容量不大。由于广西煤种质量较差，数量少，利用外省煤必然会增加运营成本，且燃煤机组会给环境带来污染。随着广西水电资源开发尾声的接近，广西电源结构中火电厂的比重逐渐增大，增加风电等清洁能源的比重刻不容缓。</w:t>
      </w:r>
      <w:r>
        <w:rPr>
          <w:rFonts w:ascii="宋体" w:eastAsia="宋体" w:cs="宋体" w:hAnsi="宋体" w:hint="eastAsia"/>
          <w:color w:val="auto"/>
          <w:kern w:val="0"/>
          <w:sz w:val="28"/>
          <w:szCs w:val="28"/>
          <w:lang w:eastAsia="zh-CN"/>
        </w:rPr>
        <w:t>建设风电场充分利用可再生风能发电，既没有燃料的消耗，又没有废水、废气和废渣的排放，</w:t>
      </w:r>
      <w:r>
        <w:rPr>
          <w:rFonts w:ascii="宋体" w:eastAsia="宋体" w:cs="宋体" w:hAnsi="宋体" w:hint="eastAsia"/>
          <w:color w:val="auto"/>
          <w:kern w:val="0"/>
          <w:sz w:val="28"/>
          <w:szCs w:val="28"/>
        </w:rPr>
        <w:t>在减少CO</w:t>
      </w:r>
      <w:r>
        <w:rPr>
          <w:rFonts w:ascii="宋体" w:eastAsia="宋体" w:cs="宋体" w:hAnsi="宋体"/>
          <w:color w:val="auto"/>
          <w:kern w:val="0"/>
          <w:sz w:val="28"/>
          <w:szCs w:val="28"/>
          <w:vertAlign w:val="subscript"/>
        </w:rPr>
        <w:t>2</w:t>
      </w:r>
      <w:r>
        <w:rPr>
          <w:rFonts w:ascii="宋体" w:eastAsia="宋体" w:cs="宋体" w:hAnsi="宋体" w:hint="eastAsia"/>
          <w:color w:val="auto"/>
          <w:kern w:val="0"/>
          <w:sz w:val="28"/>
          <w:szCs w:val="28"/>
        </w:rPr>
        <w:t>等温室气体排放，</w:t>
      </w:r>
      <w:r>
        <w:rPr>
          <w:rFonts w:ascii="宋体" w:eastAsia="宋体" w:cs="宋体" w:hAnsi="宋体"/>
          <w:color w:val="auto"/>
          <w:kern w:val="0"/>
          <w:sz w:val="28"/>
          <w:szCs w:val="28"/>
        </w:rPr>
        <w:t>在</w:t>
      </w:r>
      <w:r>
        <w:rPr>
          <w:rFonts w:ascii="宋体" w:eastAsia="宋体" w:cs="宋体" w:hAnsi="宋体" w:hint="eastAsia"/>
          <w:color w:val="auto"/>
          <w:kern w:val="0"/>
          <w:sz w:val="28"/>
          <w:szCs w:val="28"/>
        </w:rPr>
        <w:t>缓解全球气候变暖方面，风电是有效的举措之一。</w:t>
      </w:r>
      <w:r>
        <w:rPr>
          <w:rFonts w:ascii="宋体" w:eastAsia="宋体" w:cs="宋体" w:hAnsi="宋体" w:hint="eastAsia"/>
          <w:color w:val="auto"/>
          <w:kern w:val="0"/>
          <w:sz w:val="28"/>
          <w:szCs w:val="28"/>
          <w:lang w:eastAsia="zh-CN"/>
        </w:rPr>
        <w:t>在促进当地经济发展的同时，不会破坏原有的生态环境和人居环境，是钦北区解决能源紧缺的最佳电源选择之一。</w:t>
      </w:r>
    </w:p>
    <w:p>
      <w:pPr>
        <w:pStyle w:val="15"/>
        <w:rPr>
          <w:rFonts w:ascii="宋体" w:eastAsia="宋体" w:cs="宋体" w:hAnsi="宋体" w:hint="eastAsia"/>
          <w:color w:val="auto"/>
          <w:kern w:val="0"/>
          <w:sz w:val="28"/>
          <w:szCs w:val="28"/>
          <w:lang w:eastAsia="zh-CN"/>
        </w:rPr>
      </w:pPr>
    </w:p>
    <w:p/>
    <w:p>
      <w:pPr>
        <w:pStyle w:val="18"/>
        <w:widowControl/>
        <w:autoSpaceDE w:val="0"/>
        <w:autoSpaceDN w:val="0"/>
        <w:spacing w:before="4" w:line="420" w:lineRule="auto"/>
        <w:ind w:left="118" w:right="351" w:firstLineChars="200" w:firstLine="560"/>
        <w:jc w:val="left"/>
        <w:rPr>
          <w:rFonts w:ascii="宋体" w:eastAsia="宋体" w:cs="宋体" w:hAnsi="宋体"/>
          <w:color w:val="auto"/>
          <w:sz w:val="30"/>
          <w:szCs w:val="30"/>
        </w:rPr>
      </w:pPr>
      <w:bookmarkStart w:id="26" w:name="_Toc15874"/>
      <w:bookmarkStart w:id="27" w:name="_Toc12902"/>
      <w:bookmarkStart w:id="28" w:name="_Toc25774"/>
      <w:bookmarkStart w:id="29" w:name="_Toc19449"/>
      <w:r>
        <w:rPr>
          <w:rFonts w:hint="eastAsia"/>
          <w:b/>
          <w:bCs/>
          <w:color w:val="auto"/>
          <w:sz w:val="28"/>
          <w:szCs w:val="28"/>
          <w:lang w:val="en-US" w:eastAsia="zh-CN"/>
        </w:rPr>
        <w:t>1.6.4 风电与水电互补缓解广西电网供需矛盾</w:t>
      </w:r>
      <w:bookmarkEnd w:id="26"/>
      <w:bookmarkEnd w:id="27"/>
      <w:bookmarkEnd w:id="28"/>
      <w:bookmarkEnd w:id="29"/>
    </w:p>
    <w:p>
      <w:pPr>
        <w:ind w:left="0" w:firstLineChars="200" w:firstLine="560"/>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目前广西的电源结构是水电与火电比重基本相当，风电投产容量小。根据广西各河流的径流特征，枯水期（11 月至次年4 月）各主要水电站的出力比汛期（5 月至10 月）出力要小得多，大部分小水电站枯水期几乎无出力，因此枯水期全区的电力缺口较大。而根据对我区风资源的初步评估结论，从平均风速的季节变化看，秋冬季较大，春夏季较小，本风电场的主要风况亦且有春季较大的特征，这与水电站的出力形成一定互补，填补枯水期的部分电力缺口，缓解电网供需矛盾。随着风电在电力系统中比重的增加，将有利于提高我区能源供应的多样性，为保持我区的经济和社会可持续发展发挥积极作用</w:t>
      </w:r>
      <w:r>
        <w:rPr>
          <w:rFonts w:ascii="宋体" w:eastAsia="宋体" w:cs="宋体" w:hAnsi="宋体" w:hint="eastAsia"/>
          <w:color w:val="auto"/>
          <w:kern w:val="0"/>
          <w:sz w:val="28"/>
          <w:szCs w:val="28"/>
          <w:lang w:eastAsia="zh-CN"/>
        </w:rPr>
        <w:t>。</w:t>
      </w:r>
    </w:p>
    <w:p>
      <w:pPr>
        <w:pStyle w:val="1"/>
        <w:numPr>
          <w:ilvl w:val="0"/>
          <w:numId w:val="0"/>
        </w:numPr>
        <w:spacing w:before="260" w:line="360" w:lineRule="auto"/>
        <w:ind w:left="420"/>
        <w:rPr>
          <w:rFonts w:ascii="宋体" w:eastAsia="宋体" w:cs="宋体" w:hAnsi="宋体"/>
          <w:bCs/>
          <w:color w:val="auto"/>
          <w:sz w:val="32"/>
          <w:szCs w:val="32"/>
        </w:rPr>
      </w:pPr>
      <w:bookmarkStart w:id="30" w:name="_Toc27250"/>
      <w:r>
        <w:rPr>
          <w:rFonts w:ascii="宋体" w:eastAsia="宋体" w:cs="宋体" w:hAnsi="宋体" w:hint="eastAsia"/>
          <w:bCs/>
          <w:color w:val="auto"/>
          <w:sz w:val="32"/>
          <w:szCs w:val="32"/>
          <w:lang w:val="en-US" w:eastAsia="zh-CN"/>
        </w:rPr>
        <w:t>1.7上位</w:t>
      </w:r>
      <w:r>
        <w:rPr>
          <w:rFonts w:ascii="宋体" w:eastAsia="宋体" w:cs="宋体" w:hAnsi="宋体" w:hint="eastAsia"/>
          <w:bCs/>
          <w:color w:val="auto"/>
          <w:sz w:val="32"/>
          <w:szCs w:val="32"/>
          <w:lang w:eastAsia="zh-CN"/>
        </w:rPr>
        <w:t>规划及相关规划情况</w:t>
      </w:r>
      <w:bookmarkEnd w:id="30"/>
    </w:p>
    <w:p>
      <w:pPr>
        <w:rPr>
          <w:color w:val="auto"/>
        </w:rPr>
      </w:pPr>
    </w:p>
    <w:p>
      <w:pPr>
        <w:pStyle w:val="18"/>
        <w:widowControl/>
        <w:autoSpaceDE w:val="0"/>
        <w:autoSpaceDN w:val="0"/>
        <w:spacing w:before="4" w:line="420" w:lineRule="auto"/>
        <w:ind w:left="118" w:right="351" w:firstLineChars="200" w:firstLine="560"/>
        <w:jc w:val="left"/>
        <w:rPr>
          <w:rFonts w:ascii="宋体" w:eastAsia="宋体" w:cs="宋体" w:hAnsi="宋体"/>
          <w:color w:val="auto"/>
          <w:sz w:val="30"/>
          <w:szCs w:val="30"/>
        </w:rPr>
      </w:pPr>
      <w:r>
        <w:rPr>
          <w:rFonts w:hint="eastAsia"/>
          <w:b/>
          <w:bCs/>
          <w:color w:val="auto"/>
          <w:sz w:val="28"/>
          <w:szCs w:val="28"/>
          <w:lang w:val="en-US" w:eastAsia="zh-CN"/>
        </w:rPr>
        <w:t>1.7.1 国土空间规划</w:t>
      </w:r>
    </w:p>
    <w:p>
      <w:pPr>
        <w:ind w:left="0" w:firstLineChars="200" w:firstLine="560"/>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）钦州市国土空间总体规划（2021-2035年）</w:t>
      </w:r>
    </w:p>
    <w:p>
      <w:pPr>
        <w:ind w:left="0" w:firstLineChars="200" w:firstLine="560"/>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钦州市国土空间总体规划（2021-2035年）于</w:t>
      </w:r>
      <w:r>
        <w:rPr>
          <w:rFonts w:ascii="宋体" w:eastAsia="宋体" w:cs="宋体" w:hAnsi="宋体" w:hint="eastAsia"/>
          <w:color w:val="auto"/>
          <w:kern w:val="0"/>
          <w:sz w:val="28"/>
          <w:szCs w:val="28"/>
          <w:lang w:val="en-US" w:eastAsia="zh-CN"/>
        </w:rPr>
        <w:t>2024年2月</w:t>
      </w:r>
      <w:r>
        <w:rPr>
          <w:rFonts w:ascii="宋体" w:eastAsia="宋体" w:cs="宋体" w:hAnsi="宋体" w:hint="eastAsia"/>
          <w:color w:val="auto"/>
          <w:kern w:val="0"/>
          <w:sz w:val="28"/>
          <w:szCs w:val="28"/>
          <w:lang w:eastAsia="zh-CN"/>
        </w:rPr>
        <w:t>已取得自治区人民政府的批复（桂政函〔2024〕17号）。</w:t>
      </w:r>
      <w:r>
        <w:rPr>
          <w:rFonts w:ascii="宋体" w:eastAsia="宋体" w:cs="宋体" w:hAnsi="宋体" w:hint="eastAsia"/>
          <w:color w:val="auto"/>
          <w:kern w:val="0"/>
          <w:sz w:val="28"/>
          <w:szCs w:val="28"/>
        </w:rPr>
        <w:t>钦北区</w:t>
      </w:r>
      <w:r>
        <w:rPr>
          <w:rFonts w:ascii="宋体" w:eastAsia="宋体" w:cs="宋体" w:hAnsi="宋体" w:hint="eastAsia"/>
          <w:color w:val="auto"/>
          <w:kern w:val="0"/>
          <w:sz w:val="28"/>
          <w:szCs w:val="28"/>
          <w:lang w:eastAsia="zh-CN"/>
        </w:rPr>
        <w:t>古道</w:t>
      </w:r>
      <w:r>
        <w:rPr>
          <w:rFonts w:ascii="宋体" w:eastAsia="宋体" w:cs="宋体" w:hAnsi="宋体" w:hint="eastAsia"/>
          <w:color w:val="auto"/>
          <w:kern w:val="0"/>
          <w:sz w:val="28"/>
          <w:szCs w:val="28"/>
        </w:rPr>
        <w:t>岭风电场一期</w:t>
      </w:r>
      <w:r>
        <w:rPr>
          <w:rFonts w:ascii="宋体" w:eastAsia="宋体" w:cs="宋体" w:hAnsi="宋体" w:hint="eastAsia"/>
          <w:color w:val="auto"/>
          <w:kern w:val="0"/>
          <w:sz w:val="28"/>
          <w:szCs w:val="28"/>
          <w:lang w:eastAsia="zh-CN"/>
        </w:rPr>
        <w:t>工程</w:t>
      </w:r>
      <w:r>
        <w:rPr>
          <w:rFonts w:ascii="宋体" w:eastAsia="宋体" w:cs="宋体" w:hAnsi="宋体" w:hint="eastAsia"/>
          <w:color w:val="auto"/>
          <w:kern w:val="0"/>
          <w:sz w:val="28"/>
          <w:szCs w:val="28"/>
        </w:rPr>
        <w:t>项目</w:t>
      </w:r>
      <w:r>
        <w:rPr>
          <w:rFonts w:ascii="宋体" w:eastAsia="宋体" w:cs="宋体" w:hAnsi="宋体" w:hint="eastAsia"/>
          <w:color w:val="auto"/>
          <w:kern w:val="0"/>
          <w:sz w:val="28"/>
          <w:szCs w:val="28"/>
          <w:lang w:eastAsia="zh-CN"/>
        </w:rPr>
        <w:t>已纳入钦州市国土空间总体规划，为风电能源类项目重点安排建设项目之一。用地不涉及占用基本农田、生态保护红线和城镇开发边界，符合规划。</w:t>
      </w:r>
    </w:p>
    <w:p>
      <w:pPr>
        <w:ind w:left="0" w:firstLineChars="200" w:firstLine="560"/>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）钦北区各镇级国土空间总体规划</w:t>
      </w:r>
    </w:p>
    <w:p>
      <w:pPr>
        <w:ind w:left="0" w:firstLineChars="200" w:firstLine="560"/>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地块位于钦北区小董镇、平吉镇及大垌镇交界处区域，项目地块已纳入市国空建设用地。项目用地在城镇开发边界外，不涉及生态保护红线，也不占用永久基本农田。目前，</w:t>
      </w:r>
      <w:r>
        <w:rPr>
          <w:rFonts w:ascii="宋体" w:eastAsia="宋体" w:cs="宋体" w:hAnsi="宋体" w:hint="eastAsia"/>
          <w:color w:val="auto"/>
          <w:kern w:val="0"/>
          <w:sz w:val="28"/>
          <w:szCs w:val="28"/>
        </w:rPr>
        <w:t>钦北区</w:t>
      </w:r>
      <w:r>
        <w:rPr>
          <w:rFonts w:ascii="宋体" w:eastAsia="宋体" w:cs="宋体" w:hAnsi="宋体" w:hint="eastAsia"/>
          <w:color w:val="auto"/>
          <w:kern w:val="0"/>
          <w:sz w:val="28"/>
          <w:szCs w:val="28"/>
          <w:lang w:eastAsia="zh-CN"/>
        </w:rPr>
        <w:t>各镇级的</w:t>
      </w:r>
      <w:r>
        <w:rPr>
          <w:rFonts w:ascii="宋体" w:eastAsia="宋体" w:cs="宋体" w:hAnsi="宋体" w:hint="eastAsia"/>
          <w:color w:val="auto"/>
          <w:kern w:val="0"/>
          <w:sz w:val="28"/>
          <w:szCs w:val="28"/>
        </w:rPr>
        <w:t>国土空间规划</w:t>
      </w:r>
      <w:r>
        <w:rPr>
          <w:rFonts w:ascii="宋体" w:eastAsia="宋体" w:cs="宋体" w:hAnsi="宋体" w:hint="eastAsia"/>
          <w:color w:val="auto"/>
          <w:kern w:val="0"/>
          <w:sz w:val="28"/>
          <w:szCs w:val="28"/>
          <w:lang w:eastAsia="zh-CN"/>
        </w:rPr>
        <w:t>还在编制阶段</w:t>
      </w:r>
      <w:r>
        <w:rPr>
          <w:rFonts w:ascii="宋体" w:eastAsia="宋体" w:cs="宋体" w:hAnsi="宋体" w:hint="eastAsia"/>
          <w:color w:val="auto"/>
          <w:kern w:val="0"/>
          <w:sz w:val="28"/>
          <w:szCs w:val="28"/>
        </w:rPr>
        <w:t>。现阶段还没有控规对该</w:t>
      </w:r>
      <w:r>
        <w:rPr>
          <w:rFonts w:ascii="宋体" w:eastAsia="宋体" w:cs="宋体" w:hAnsi="宋体" w:hint="eastAsia"/>
          <w:color w:val="auto"/>
          <w:kern w:val="0"/>
          <w:sz w:val="28"/>
          <w:szCs w:val="28"/>
          <w:lang w:eastAsia="zh-CN"/>
        </w:rPr>
        <w:t>项目</w:t>
      </w:r>
      <w:r>
        <w:rPr>
          <w:rFonts w:ascii="宋体" w:eastAsia="宋体" w:cs="宋体" w:hAnsi="宋体" w:hint="eastAsia"/>
          <w:color w:val="auto"/>
          <w:kern w:val="0"/>
          <w:sz w:val="28"/>
          <w:szCs w:val="28"/>
        </w:rPr>
        <w:t>地块进行规划落实用地性质、开发强度等，</w:t>
      </w:r>
      <w:r>
        <w:rPr>
          <w:rFonts w:ascii="宋体" w:eastAsia="宋体" w:cs="宋体" w:hAnsi="宋体" w:hint="eastAsia"/>
          <w:color w:val="auto"/>
          <w:kern w:val="0"/>
          <w:sz w:val="28"/>
          <w:szCs w:val="28"/>
          <w:lang w:eastAsia="zh-CN"/>
        </w:rPr>
        <w:t>因此，本次项目</w:t>
      </w:r>
      <w:r>
        <w:rPr>
          <w:rFonts w:ascii="宋体" w:eastAsia="宋体" w:cs="宋体" w:hAnsi="宋体" w:hint="eastAsia"/>
          <w:color w:val="auto"/>
          <w:kern w:val="0"/>
          <w:sz w:val="28"/>
          <w:szCs w:val="28"/>
        </w:rPr>
        <w:t>地块单独编制独立地块控制性详细规划后，后续应将该</w:t>
      </w:r>
      <w:r>
        <w:rPr>
          <w:rFonts w:ascii="宋体" w:eastAsia="宋体" w:cs="宋体" w:hAnsi="宋体" w:hint="eastAsia"/>
          <w:color w:val="auto"/>
          <w:kern w:val="0"/>
          <w:sz w:val="28"/>
          <w:szCs w:val="28"/>
          <w:lang w:eastAsia="zh-CN"/>
        </w:rPr>
        <w:t>项目</w:t>
      </w:r>
      <w:r>
        <w:rPr>
          <w:rFonts w:ascii="宋体" w:eastAsia="宋体" w:cs="宋体" w:hAnsi="宋体" w:hint="eastAsia"/>
          <w:color w:val="auto"/>
          <w:kern w:val="0"/>
          <w:sz w:val="28"/>
          <w:szCs w:val="28"/>
        </w:rPr>
        <w:t>地块落实至乡镇国空</w:t>
      </w:r>
      <w:r>
        <w:rPr>
          <w:rFonts w:ascii="宋体" w:eastAsia="宋体" w:cs="宋体" w:hAnsi="宋体" w:hint="eastAsia"/>
          <w:color w:val="auto"/>
          <w:kern w:val="0"/>
          <w:sz w:val="28"/>
          <w:szCs w:val="28"/>
          <w:lang w:eastAsia="zh-CN"/>
        </w:rPr>
        <w:t>。</w:t>
      </w:r>
    </w:p>
    <w:p>
      <w:pPr>
        <w:ind w:left="0" w:firstLineChars="200" w:firstLine="560"/>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）村庄规划</w:t>
      </w:r>
    </w:p>
    <w:p>
      <w:pPr>
        <w:ind w:left="0" w:firstLineChars="200" w:firstLine="560"/>
        <w:rPr>
          <w:rFonts w:ascii="宋体" w:eastAsia="宋体" w:cs="宋体" w:hAnsi="宋体" w:hint="eastAsia"/>
          <w:b w:val="0"/>
          <w:bCs w:val="0"/>
          <w:color w:val="auto"/>
          <w:kern w:val="0"/>
          <w:sz w:val="28"/>
          <w:szCs w:val="28"/>
        </w:rPr>
      </w:pPr>
      <w:r>
        <w:rPr>
          <w:rFonts w:ascii="宋体" w:eastAsia="宋体" w:cs="宋体" w:hAnsi="宋体" w:hint="eastAsia"/>
          <w:color w:val="auto"/>
          <w:kern w:val="0"/>
          <w:sz w:val="28"/>
          <w:szCs w:val="28"/>
          <w:lang w:eastAsia="zh-CN"/>
        </w:rPr>
        <w:t>本项目共规划</w:t>
      </w:r>
      <w:r>
        <w:rPr>
          <w:rFonts w:ascii="宋体" w:eastAsia="宋体" w:cs="宋体" w:hAnsi="宋体" w:hint="eastAsia"/>
          <w:color w:val="auto"/>
          <w:kern w:val="0"/>
          <w:sz w:val="28"/>
          <w:szCs w:val="28"/>
          <w:lang w:val="en-US" w:eastAsia="zh-CN"/>
        </w:rPr>
        <w:t>33个独立</w:t>
      </w:r>
      <w:r>
        <w:rPr>
          <w:rFonts w:ascii="宋体" w:eastAsia="宋体" w:cs="宋体" w:hAnsi="宋体" w:hint="eastAsia"/>
          <w:color w:val="auto"/>
          <w:kern w:val="0"/>
          <w:sz w:val="28"/>
          <w:szCs w:val="28"/>
          <w:lang w:eastAsia="zh-CN"/>
        </w:rPr>
        <w:t>地块，分别位于钦北区小董镇榃头村、那学村、那道村，平吉镇贤架村，大垌镇平山村村庄范围内。目前项目用地所在的小董镇榃头村、那道村、平吉镇贤架村村庄规划处于报批阶段，根据已编的村庄规划，本项目规划空间布局与村庄建设空间分布及功能没有冲突，各独立地块均不涉及所在村庄的建设用地边界和村庄居民点，不涉及生态保护红线，不占用永久基本农田。其余未编或在编的村庄规划，待本项目规划用地报批后，应与对应的村庄规划衔接。</w:t>
      </w:r>
    </w:p>
    <w:p>
      <w:pPr>
        <w:pStyle w:val="18"/>
        <w:widowControl/>
        <w:autoSpaceDE w:val="0"/>
        <w:autoSpaceDN w:val="0"/>
        <w:spacing w:before="4" w:line="420" w:lineRule="auto"/>
        <w:ind w:left="118" w:right="351" w:firstLineChars="200" w:firstLine="560"/>
        <w:jc w:val="left"/>
        <w:rPr>
          <w:rFonts w:ascii="宋体" w:eastAsia="宋体" w:cs="宋体" w:hAnsi="宋体"/>
          <w:color w:val="auto"/>
          <w:sz w:val="30"/>
          <w:szCs w:val="30"/>
        </w:rPr>
      </w:pPr>
      <w:r>
        <w:rPr>
          <w:rFonts w:hint="eastAsia"/>
          <w:b/>
          <w:bCs/>
          <w:color w:val="auto"/>
          <w:sz w:val="28"/>
          <w:szCs w:val="28"/>
          <w:lang w:val="en-US" w:eastAsia="zh-CN"/>
        </w:rPr>
        <w:t>1.7.2 广西陆上风电场相关规划</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钦州市区域内海拔相对较高的山脊及丘陵地带风能资源条件较好，</w:t>
      </w:r>
      <w:r>
        <w:rPr>
          <w:rFonts w:ascii="宋体" w:eastAsia="宋体" w:cs="宋体" w:hAnsi="宋体" w:hint="eastAsia"/>
          <w:color w:val="auto"/>
          <w:kern w:val="0"/>
          <w:sz w:val="28"/>
          <w:szCs w:val="28"/>
          <w:lang w:eastAsia="zh-CN"/>
        </w:rPr>
        <w:t>根据《风电场风能资源评估方法》（GB/T18710－2002），判定</w:t>
      </w:r>
      <w:r>
        <w:rPr>
          <w:rFonts w:ascii="宋体" w:eastAsia="宋体" w:cs="宋体" w:hAnsi="宋体" w:hint="eastAsia"/>
          <w:color w:val="auto"/>
          <w:kern w:val="0"/>
          <w:sz w:val="28"/>
          <w:szCs w:val="28"/>
        </w:rPr>
        <w:t>钦北古道岭风电场</w:t>
      </w:r>
      <w:r>
        <w:rPr>
          <w:rFonts w:ascii="宋体" w:eastAsia="宋体" w:cs="宋体" w:hAnsi="宋体" w:hint="eastAsia"/>
          <w:color w:val="auto"/>
          <w:kern w:val="0"/>
          <w:sz w:val="28"/>
          <w:szCs w:val="28"/>
          <w:lang w:eastAsia="zh-CN"/>
        </w:rPr>
        <w:t>风功率等级为3 级，风能资源良好，具有较好的开发价值。</w:t>
      </w:r>
      <w:r>
        <w:rPr>
          <w:rFonts w:ascii="宋体" w:eastAsia="宋体" w:cs="宋体" w:hAnsi="宋体" w:hint="eastAsia"/>
          <w:color w:val="auto"/>
          <w:kern w:val="0"/>
          <w:sz w:val="28"/>
          <w:szCs w:val="28"/>
        </w:rPr>
        <w:t>广西壮族自治区能源局印发的2015年广西风电储备项目计划（桂能新能〔20</w:t>
      </w:r>
      <w:r>
        <w:rPr>
          <w:rFonts w:ascii="宋体" w:eastAsia="宋体" w:cs="宋体" w:hAnsi="宋体" w:hint="eastAsia"/>
          <w:color w:val="auto"/>
          <w:kern w:val="0"/>
          <w:sz w:val="28"/>
          <w:szCs w:val="28"/>
          <w:lang w:val="en-US" w:eastAsia="zh-CN"/>
        </w:rPr>
        <w:t>15</w:t>
      </w:r>
      <w:r>
        <w:rPr>
          <w:rFonts w:ascii="宋体" w:eastAsia="宋体" w:cs="宋体" w:hAnsi="宋体" w:hint="eastAsia"/>
          <w:color w:val="auto"/>
          <w:kern w:val="0"/>
          <w:sz w:val="28"/>
          <w:szCs w:val="28"/>
        </w:rPr>
        <w:t>〕27号）</w:t>
      </w:r>
      <w:r>
        <w:rPr>
          <w:rFonts w:ascii="宋体" w:eastAsia="宋体" w:cs="宋体" w:hAnsi="宋体" w:hint="eastAsia"/>
          <w:color w:val="auto"/>
          <w:kern w:val="0"/>
          <w:sz w:val="28"/>
          <w:szCs w:val="28"/>
          <w:lang w:eastAsia="zh-CN"/>
        </w:rPr>
        <w:t>已把</w:t>
      </w:r>
      <w:r>
        <w:rPr>
          <w:rFonts w:ascii="宋体" w:eastAsia="宋体" w:cs="宋体" w:hAnsi="宋体" w:hint="eastAsia"/>
          <w:color w:val="auto"/>
          <w:kern w:val="0"/>
          <w:sz w:val="28"/>
          <w:szCs w:val="28"/>
        </w:rPr>
        <w:t>钦北古道岭风电场</w:t>
      </w:r>
      <w:r>
        <w:rPr>
          <w:rFonts w:ascii="宋体" w:eastAsia="宋体" w:cs="宋体" w:hAnsi="宋体" w:hint="eastAsia"/>
          <w:color w:val="auto"/>
          <w:kern w:val="0"/>
          <w:sz w:val="28"/>
          <w:szCs w:val="28"/>
          <w:lang w:eastAsia="zh-CN"/>
        </w:rPr>
        <w:t>一期工程项目列入其中，一期工程规划装机容量</w:t>
      </w:r>
      <w:r>
        <w:rPr>
          <w:rFonts w:ascii="宋体" w:eastAsia="宋体" w:cs="宋体" w:hAnsi="宋体" w:hint="eastAsia"/>
          <w:color w:val="auto"/>
          <w:kern w:val="0"/>
          <w:sz w:val="28"/>
          <w:szCs w:val="28"/>
          <w:lang w:val="en-US" w:eastAsia="zh-CN"/>
        </w:rPr>
        <w:t>50MW。</w:t>
      </w:r>
      <w:r>
        <w:rPr>
          <w:rFonts w:ascii="宋体" w:eastAsia="宋体" w:cs="宋体" w:hAnsi="宋体" w:hint="eastAsia"/>
          <w:color w:val="auto"/>
          <w:kern w:val="0"/>
          <w:sz w:val="28"/>
          <w:szCs w:val="28"/>
          <w:lang w:eastAsia="zh-CN"/>
        </w:rPr>
        <w:t>整个</w:t>
      </w:r>
      <w:r>
        <w:rPr>
          <w:rFonts w:ascii="宋体" w:eastAsia="宋体" w:cs="宋体" w:hAnsi="宋体" w:hint="eastAsia"/>
          <w:color w:val="auto"/>
          <w:kern w:val="0"/>
          <w:sz w:val="28"/>
          <w:szCs w:val="28"/>
        </w:rPr>
        <w:t>钦北古道岭风电场</w:t>
      </w:r>
      <w:r>
        <w:rPr>
          <w:rFonts w:ascii="宋体" w:eastAsia="宋体" w:cs="宋体" w:hAnsi="宋体" w:hint="eastAsia"/>
          <w:color w:val="auto"/>
          <w:kern w:val="0"/>
          <w:sz w:val="28"/>
          <w:szCs w:val="28"/>
          <w:lang w:eastAsia="zh-CN"/>
        </w:rPr>
        <w:t>工程项目符合《广西陆上风电中长期发展规划》，并已列入《&lt;广西陆上风电中长期发展规划&gt;项目清单（202</w:t>
      </w: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lang w:eastAsia="zh-CN"/>
        </w:rPr>
        <w:t>年调整）》，规划项目总装机容量</w:t>
      </w:r>
      <w:r>
        <w:rPr>
          <w:rFonts w:ascii="宋体" w:eastAsia="宋体" w:cs="宋体" w:hAnsi="宋体" w:hint="eastAsia"/>
          <w:color w:val="auto"/>
          <w:kern w:val="0"/>
          <w:sz w:val="28"/>
          <w:szCs w:val="28"/>
          <w:lang w:val="en-US" w:eastAsia="zh-CN"/>
        </w:rPr>
        <w:t>350MW</w:t>
      </w:r>
      <w:r>
        <w:rPr>
          <w:rFonts w:ascii="宋体" w:eastAsia="宋体" w:cs="宋体" w:hAnsi="宋体" w:hint="eastAsia"/>
          <w:color w:val="auto"/>
          <w:kern w:val="0"/>
          <w:sz w:val="28"/>
          <w:szCs w:val="28"/>
          <w:lang w:eastAsia="zh-CN"/>
        </w:rPr>
        <w:t>。为了</w:t>
      </w:r>
      <w:r>
        <w:rPr>
          <w:rFonts w:ascii="宋体" w:eastAsia="宋体" w:cs="宋体" w:hAnsi="宋体" w:hint="eastAsia"/>
          <w:color w:val="auto"/>
          <w:kern w:val="0"/>
          <w:sz w:val="28"/>
          <w:szCs w:val="28"/>
        </w:rPr>
        <w:t>加快自治区风能资源的开发</w:t>
      </w:r>
      <w:r>
        <w:rPr>
          <w:rFonts w:ascii="宋体" w:eastAsia="宋体" w:cs="宋体" w:hAnsi="宋体" w:hint="eastAsia"/>
          <w:color w:val="auto"/>
          <w:kern w:val="0"/>
          <w:sz w:val="28"/>
          <w:szCs w:val="28"/>
          <w:lang w:eastAsia="zh-CN"/>
        </w:rPr>
        <w:t>，高效地促进钦州市的风电事业发展，编制钦北区古道岭风电场一期工程项目独立地块控制性详细规划是十分必要的。</w:t>
      </w:r>
    </w:p>
    <w:p>
      <w:pPr>
        <w:pStyle w:val="15"/>
        <w:rPr>
          <w:rFonts w:hint="eastAsia"/>
          <w:lang w:eastAsia="zh-CN"/>
        </w:rPr>
      </w:pPr>
    </w:p>
    <w:p>
      <w:pPr>
        <w:pStyle w:val="1"/>
        <w:numPr>
          <w:ilvl w:val="0"/>
          <w:numId w:val="0"/>
        </w:numPr>
        <w:spacing w:before="260" w:line="360" w:lineRule="auto"/>
        <w:ind w:left="420"/>
        <w:jc w:val="center"/>
        <w:rPr>
          <w:rFonts w:ascii="宋体" w:eastAsia="宋体" w:cs="宋体" w:hAnsi="宋体"/>
          <w:bCs/>
          <w:color w:val="auto"/>
          <w:sz w:val="32"/>
          <w:szCs w:val="32"/>
        </w:rPr>
      </w:pPr>
      <w:bookmarkStart w:id="31" w:name="_Toc12767"/>
      <w:r>
        <w:rPr>
          <w:rFonts w:ascii="宋体" w:eastAsia="宋体" w:cs="宋体" w:hAnsi="宋体" w:hint="eastAsia"/>
          <w:bCs/>
          <w:color w:val="auto"/>
          <w:sz w:val="32"/>
          <w:szCs w:val="32"/>
          <w:lang w:eastAsia="zh-CN"/>
        </w:rPr>
        <w:t>第二章</w:t>
      </w:r>
      <w:r>
        <w:rPr>
          <w:rFonts w:ascii="宋体" w:eastAsia="宋体" w:cs="宋体" w:hAnsi="宋体" w:hint="eastAsia"/>
          <w:bCs/>
          <w:color w:val="auto"/>
          <w:sz w:val="32"/>
          <w:szCs w:val="32"/>
          <w:lang w:val="en-US" w:eastAsia="zh-CN"/>
        </w:rPr>
        <w:t xml:space="preserve"> </w:t>
      </w:r>
      <w:r>
        <w:rPr>
          <w:rFonts w:ascii="宋体" w:eastAsia="宋体" w:cs="宋体" w:hAnsi="宋体" w:hint="eastAsia"/>
          <w:bCs/>
          <w:color w:val="auto"/>
          <w:sz w:val="32"/>
          <w:szCs w:val="32"/>
          <w:lang w:eastAsia="zh-CN"/>
        </w:rPr>
        <w:t>现状</w:t>
      </w:r>
      <w:r>
        <w:rPr>
          <w:rFonts w:ascii="宋体" w:eastAsia="宋体" w:cs="宋体" w:hAnsi="宋体" w:hint="eastAsia"/>
          <w:bCs/>
          <w:color w:val="auto"/>
          <w:sz w:val="32"/>
          <w:szCs w:val="32"/>
        </w:rPr>
        <w:t>概况</w:t>
      </w:r>
      <w:bookmarkEnd w:id="6"/>
      <w:bookmarkEnd w:id="7"/>
      <w:bookmarkEnd w:id="8"/>
      <w:bookmarkEnd w:id="31"/>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32" w:name="_Toc12110"/>
      <w:bookmarkStart w:id="33" w:name="_Toc238"/>
      <w:bookmarkStart w:id="34" w:name="_Toc1465"/>
      <w:bookmarkStart w:id="35" w:name="_Toc17439"/>
      <w:r>
        <w:rPr>
          <w:rFonts w:ascii="宋体" w:eastAsia="宋体" w:cs="宋体" w:hAnsi="宋体" w:hint="eastAsia"/>
          <w:bCs/>
          <w:color w:val="auto"/>
          <w:sz w:val="32"/>
          <w:szCs w:val="32"/>
          <w:lang w:val="en-US" w:eastAsia="zh-CN"/>
        </w:rPr>
        <w:t>2.1</w:t>
      </w:r>
      <w:bookmarkEnd w:id="32"/>
      <w:bookmarkEnd w:id="33"/>
      <w:bookmarkEnd w:id="34"/>
      <w:r>
        <w:rPr>
          <w:rFonts w:ascii="宋体" w:eastAsia="宋体" w:cs="宋体" w:hAnsi="宋体" w:hint="eastAsia"/>
          <w:bCs/>
          <w:color w:val="auto"/>
          <w:sz w:val="32"/>
          <w:szCs w:val="32"/>
          <w:lang w:val="en-US" w:eastAsia="zh-CN"/>
        </w:rPr>
        <w:t>区位情况</w:t>
      </w:r>
      <w:bookmarkEnd w:id="35"/>
    </w:p>
    <w:p>
      <w:pPr>
        <w:ind w:left="0" w:firstLineChars="200" w:firstLine="560"/>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钦北区古道岭风电场一期工程规划建设的</w:t>
      </w:r>
      <w:r>
        <w:rPr>
          <w:rFonts w:ascii="宋体" w:eastAsia="宋体" w:cs="宋体" w:hAnsi="宋体" w:hint="eastAsia"/>
          <w:color w:val="auto"/>
          <w:kern w:val="0"/>
          <w:sz w:val="28"/>
          <w:szCs w:val="28"/>
          <w:lang w:val="en-US" w:eastAsia="zh-CN"/>
        </w:rPr>
        <w:t>16组</w:t>
      </w:r>
      <w:r>
        <w:rPr>
          <w:rFonts w:ascii="宋体" w:eastAsia="宋体" w:cs="宋体" w:hAnsi="宋体" w:hint="eastAsia"/>
          <w:color w:val="auto"/>
          <w:kern w:val="0"/>
          <w:sz w:val="28"/>
          <w:szCs w:val="28"/>
          <w:lang w:eastAsia="zh-CN"/>
        </w:rPr>
        <w:t>风电机组和升压站地块零星分布于钦州市钦北区小董镇、平吉镇、大垌镇交界处一带的山脊或山包区域，其中升压站位于风电场内东北部、小董镇那道村母鸡顶北侧，</w:t>
      </w:r>
      <w:r>
        <w:rPr>
          <w:rFonts w:ascii="宋体" w:eastAsia="宋体" w:cs="宋体" w:hAnsi="宋体" w:hint="eastAsia"/>
          <w:color w:val="auto"/>
          <w:kern w:val="0"/>
          <w:sz w:val="28"/>
          <w:szCs w:val="28"/>
        </w:rPr>
        <w:t>是整个风电场的控制中心</w:t>
      </w:r>
      <w:r>
        <w:rPr>
          <w:rFonts w:ascii="宋体" w:eastAsia="宋体" w:cs="宋体" w:hAnsi="宋体" w:hint="eastAsia"/>
          <w:color w:val="auto"/>
          <w:kern w:val="0"/>
          <w:sz w:val="28"/>
          <w:szCs w:val="28"/>
          <w:lang w:eastAsia="zh-CN"/>
        </w:rPr>
        <w:t>。</w:t>
      </w:r>
    </w:p>
    <w:p>
      <w:pPr>
        <w:pStyle w:val="18"/>
        <w:spacing w:line="420" w:lineRule="auto"/>
        <w:ind w:firstLine="479"/>
        <w:rPr>
          <w:rFonts w:hint="eastAsia"/>
          <w:color w:val="auto"/>
          <w:kern w:val="0"/>
          <w:sz w:val="28"/>
          <w:szCs w:val="28"/>
          <w:lang w:val="en-US" w:eastAsia="zh-CN"/>
        </w:rPr>
      </w:pPr>
      <w:r>
        <w:rPr>
          <w:rFonts w:hint="eastAsia"/>
          <w:color w:val="auto"/>
          <w:kern w:val="0"/>
          <w:sz w:val="28"/>
          <w:szCs w:val="28"/>
          <w:lang w:val="en-US" w:eastAsia="zh-CN"/>
        </w:rPr>
        <w:t>本项目规划用地</w:t>
      </w:r>
      <w:r>
        <w:rPr>
          <w:rFonts w:ascii="宋体" w:eastAsia="宋体" w:cs="宋体" w:hAnsi="宋体" w:hint="eastAsia"/>
          <w:color w:val="auto"/>
          <w:kern w:val="0"/>
          <w:sz w:val="28"/>
          <w:szCs w:val="28"/>
          <w:lang w:eastAsia="zh-CN"/>
        </w:rPr>
        <w:t>场址涉及的区域范围：东西跨度约</w:t>
      </w:r>
      <w:r>
        <w:rPr>
          <w:rFonts w:cs="宋体" w:hint="eastAsia"/>
          <w:color w:val="auto"/>
          <w:kern w:val="0"/>
          <w:sz w:val="28"/>
          <w:szCs w:val="28"/>
          <w:lang w:val="en-US" w:eastAsia="zh-CN"/>
        </w:rPr>
        <w:t>6</w:t>
      </w:r>
      <w:r>
        <w:rPr>
          <w:rFonts w:ascii="宋体" w:eastAsia="宋体" w:cs="宋体" w:hAnsi="宋体" w:hint="eastAsia"/>
          <w:color w:val="auto"/>
          <w:kern w:val="0"/>
          <w:sz w:val="28"/>
          <w:szCs w:val="28"/>
          <w:lang w:eastAsia="zh-CN"/>
        </w:rPr>
        <w:t>km，南北跨度约</w:t>
      </w:r>
      <w:r>
        <w:rPr>
          <w:rFonts w:cs="宋体" w:hint="eastAsia"/>
          <w:color w:val="auto"/>
          <w:kern w:val="0"/>
          <w:sz w:val="28"/>
          <w:szCs w:val="28"/>
          <w:lang w:val="en-US" w:eastAsia="zh-CN"/>
        </w:rPr>
        <w:t>5</w:t>
      </w:r>
      <w:r>
        <w:rPr>
          <w:rFonts w:ascii="宋体" w:eastAsia="宋体" w:cs="宋体" w:hAnsi="宋体" w:hint="eastAsia"/>
          <w:color w:val="auto"/>
          <w:kern w:val="0"/>
          <w:sz w:val="28"/>
          <w:szCs w:val="28"/>
          <w:lang w:eastAsia="zh-CN"/>
        </w:rPr>
        <w:t>km。</w:t>
      </w:r>
      <w:r>
        <w:rPr>
          <w:rFonts w:hint="eastAsia"/>
          <w:color w:val="auto"/>
          <w:kern w:val="0"/>
          <w:sz w:val="28"/>
          <w:szCs w:val="28"/>
          <w:lang w:val="en-US"/>
        </w:rPr>
        <w:t>与小董镇区直线距离约</w:t>
      </w:r>
      <w:r>
        <w:rPr>
          <w:rFonts w:hint="eastAsia"/>
          <w:color w:val="auto"/>
          <w:kern w:val="0"/>
          <w:sz w:val="28"/>
          <w:szCs w:val="28"/>
          <w:lang w:val="en-US" w:eastAsia="zh-CN"/>
        </w:rPr>
        <w:t>5</w:t>
      </w:r>
      <w:r>
        <w:rPr>
          <w:rFonts w:hint="eastAsia"/>
          <w:color w:val="auto"/>
          <w:kern w:val="0"/>
          <w:sz w:val="28"/>
          <w:szCs w:val="28"/>
          <w:lang w:val="en-US"/>
        </w:rPr>
        <w:t>公里，</w:t>
      </w:r>
      <w:r>
        <w:rPr>
          <w:rFonts w:hint="eastAsia"/>
          <w:color w:val="auto"/>
          <w:kern w:val="0"/>
          <w:sz w:val="28"/>
          <w:szCs w:val="28"/>
          <w:lang w:val="en-US" w:eastAsia="zh-CN"/>
        </w:rPr>
        <w:t>距小董那道村委约3.5公里；</w:t>
      </w:r>
      <w:r>
        <w:rPr>
          <w:rFonts w:hint="eastAsia"/>
          <w:color w:val="auto"/>
          <w:kern w:val="0"/>
          <w:sz w:val="28"/>
          <w:szCs w:val="28"/>
          <w:lang w:val="en-US"/>
        </w:rPr>
        <w:t>与平吉镇区直线距离约</w:t>
      </w:r>
      <w:r>
        <w:rPr>
          <w:rFonts w:hint="eastAsia"/>
          <w:color w:val="auto"/>
          <w:kern w:val="0"/>
          <w:sz w:val="28"/>
          <w:szCs w:val="28"/>
          <w:lang w:val="en-US" w:eastAsia="zh-CN"/>
        </w:rPr>
        <w:t>7</w:t>
      </w:r>
      <w:r>
        <w:rPr>
          <w:rFonts w:hint="eastAsia"/>
          <w:color w:val="auto"/>
          <w:kern w:val="0"/>
          <w:sz w:val="28"/>
          <w:szCs w:val="28"/>
          <w:lang w:val="en-US"/>
        </w:rPr>
        <w:t>公里，</w:t>
      </w:r>
      <w:r>
        <w:rPr>
          <w:rFonts w:hint="eastAsia"/>
          <w:color w:val="auto"/>
          <w:kern w:val="0"/>
          <w:sz w:val="28"/>
          <w:szCs w:val="28"/>
          <w:lang w:val="en-US" w:eastAsia="zh-CN"/>
        </w:rPr>
        <w:t>距平吉贤架村委约5公里；</w:t>
      </w:r>
      <w:r>
        <w:rPr>
          <w:rFonts w:hint="eastAsia"/>
          <w:color w:val="auto"/>
          <w:kern w:val="0"/>
          <w:sz w:val="28"/>
          <w:szCs w:val="28"/>
          <w:lang w:val="en-US"/>
        </w:rPr>
        <w:t>与大垌镇区直线距离约</w:t>
      </w:r>
      <w:r>
        <w:rPr>
          <w:rFonts w:hint="eastAsia"/>
          <w:color w:val="auto"/>
          <w:kern w:val="0"/>
          <w:sz w:val="28"/>
          <w:szCs w:val="28"/>
          <w:lang w:val="en-US" w:eastAsia="zh-CN"/>
        </w:rPr>
        <w:t>8</w:t>
      </w:r>
      <w:r>
        <w:rPr>
          <w:rFonts w:hint="eastAsia"/>
          <w:color w:val="auto"/>
          <w:kern w:val="0"/>
          <w:sz w:val="28"/>
          <w:szCs w:val="28"/>
          <w:lang w:val="en-US"/>
        </w:rPr>
        <w:t>公里，</w:t>
      </w:r>
      <w:r>
        <w:rPr>
          <w:rFonts w:hint="eastAsia"/>
          <w:color w:val="auto"/>
          <w:kern w:val="0"/>
          <w:sz w:val="28"/>
          <w:szCs w:val="28"/>
          <w:lang w:val="en-US" w:eastAsia="zh-CN"/>
        </w:rPr>
        <w:t>距大垌平山村委</w:t>
      </w:r>
      <w:r>
        <w:rPr>
          <w:color w:val="auto"/>
          <w:kern w:val="0"/>
          <w:sz w:val="28"/>
          <w:szCs w:val="28"/>
          <w:lang w:val="en-US" w:eastAsia="zh-CN"/>
        </w:rPr>
        <w:t>会</w:t>
      </w:r>
      <w:r>
        <w:rPr>
          <w:rFonts w:hint="eastAsia"/>
          <w:color w:val="auto"/>
          <w:kern w:val="0"/>
          <w:sz w:val="28"/>
          <w:szCs w:val="28"/>
          <w:lang w:val="en-US" w:eastAsia="zh-CN"/>
        </w:rPr>
        <w:t>约4公里；</w:t>
      </w:r>
      <w:r>
        <w:rPr>
          <w:rFonts w:hint="eastAsia"/>
          <w:color w:val="auto"/>
          <w:kern w:val="0"/>
          <w:sz w:val="28"/>
          <w:szCs w:val="28"/>
          <w:lang w:val="en-US"/>
        </w:rPr>
        <w:t>与钦北区直线距离约21km，场址附近有G325 国道和</w:t>
      </w:r>
      <w:r>
        <w:rPr>
          <w:rFonts w:hint="eastAsia"/>
          <w:color w:val="auto"/>
          <w:kern w:val="0"/>
          <w:sz w:val="28"/>
          <w:szCs w:val="28"/>
          <w:lang w:val="en-US" w:eastAsia="zh-CN"/>
        </w:rPr>
        <w:t>S312</w:t>
      </w:r>
      <w:r>
        <w:rPr>
          <w:rFonts w:hint="eastAsia"/>
          <w:color w:val="auto"/>
          <w:kern w:val="0"/>
          <w:sz w:val="28"/>
          <w:szCs w:val="28"/>
          <w:lang w:val="en-US"/>
        </w:rPr>
        <w:t xml:space="preserve"> 省道，并有一条通往采石场的水泥公路直达场址范围山脚处</w:t>
      </w:r>
      <w:r>
        <w:rPr>
          <w:rFonts w:hint="eastAsia"/>
          <w:color w:val="auto"/>
          <w:kern w:val="0"/>
          <w:sz w:val="28"/>
          <w:szCs w:val="28"/>
          <w:lang w:val="en-US" w:eastAsia="zh-CN"/>
        </w:rPr>
        <w:t>，</w:t>
      </w:r>
      <w:r>
        <w:rPr>
          <w:rFonts w:hint="eastAsia"/>
          <w:color w:val="auto"/>
          <w:kern w:val="0"/>
          <w:sz w:val="28"/>
          <w:szCs w:val="28"/>
          <w:lang w:val="en-US"/>
        </w:rPr>
        <w:t>地块区位</w:t>
      </w:r>
      <w:r>
        <w:rPr>
          <w:rFonts w:hint="eastAsia"/>
          <w:color w:val="auto"/>
          <w:kern w:val="0"/>
          <w:sz w:val="28"/>
          <w:szCs w:val="28"/>
          <w:lang w:val="en-US" w:eastAsia="zh-CN"/>
        </w:rPr>
        <w:t>和</w:t>
      </w:r>
      <w:r>
        <w:rPr>
          <w:rFonts w:hint="eastAsia"/>
          <w:color w:val="auto"/>
          <w:kern w:val="0"/>
          <w:sz w:val="28"/>
          <w:szCs w:val="28"/>
          <w:lang w:val="en-US"/>
        </w:rPr>
        <w:t>交通条件较好</w:t>
      </w:r>
      <w:r>
        <w:rPr>
          <w:rFonts w:hint="eastAsia"/>
          <w:color w:val="auto"/>
          <w:kern w:val="0"/>
          <w:sz w:val="28"/>
          <w:szCs w:val="28"/>
          <w:lang w:val="en-US" w:eastAsia="zh-CN"/>
        </w:rPr>
        <w:t>。</w:t>
      </w:r>
    </w:p>
    <w:p>
      <w:pPr>
        <w:pStyle w:val="18"/>
        <w:spacing w:line="420" w:lineRule="auto"/>
        <w:ind w:firstLine="0"/>
        <w:jc w:val="center"/>
        <w:rPr>
          <w:rFonts w:ascii="宋体" w:eastAsia="宋体" w:cs="宋体" w:hAnsi="宋体"/>
          <w:color w:val="auto"/>
          <w:kern w:val="0"/>
          <w:sz w:val="24"/>
        </w:rPr>
      </w:pPr>
      <w:r>
        <w:rPr>
          <w:color w:val="auto"/>
          <w:kern w:val="0"/>
        </w:rPr>
        <w:drawing>
          <wp:inline distT="0" distB="0" distL="114300" distR="114300">
            <wp:extent cx="5369559" cy="5191760"/>
            <wp:effectExtent l="0" t="0" r="18" b="48"/>
            <wp:docPr id="16" name="图片 19" descr="C:/Users/Administrator/Desktop/1修改.png1修改"/>
            <wp:cNvGraphicFramePr>
              <a:graphicFrameLocks noChangeAspect="1"/>
            </wp:cNvGraphicFramePr>
            <a:graphic>
              <a:graphicData uri="http://schemas.openxmlformats.org/drawingml/2006/picture">
                <pic:pic>
                  <pic:nvPicPr>
                    <pic:cNvPr id="18" name="图片 19 18"/>
                    <pic:cNvPicPr/>
                  </pic:nvPicPr>
                  <pic:blipFill>
                    <a:blip r:embed="rId8"/>
                    <a:srcRect l="122" r="122"/>
                    <a:stretch>
                      <a:fillRect/>
                    </a:stretch>
                  </pic:blipFill>
                  <pic:spPr>
                    <a:xfrm rot="0">
                      <a:off x="0" y="0"/>
                      <a:ext cx="5369559" cy="5191760"/>
                    </a:xfrm>
                    <a:prstGeom prst="rect"/>
                    <a:noFill/>
                    <a:ln w="9525" cmpd="sng" cap="flat">
                      <a:noFill/>
                      <a:prstDash val="solid"/>
                      <a:miter/>
                    </a:ln>
                  </pic:spPr>
                </pic:pic>
              </a:graphicData>
            </a:graphic>
          </wp:inline>
        </w:drawing>
      </w:r>
    </w:p>
    <w:p>
      <w:pPr>
        <w:pStyle w:val="18"/>
        <w:autoSpaceDE w:val="0"/>
        <w:autoSpaceDN w:val="0"/>
        <w:spacing w:before="4" w:line="360" w:lineRule="auto"/>
        <w:ind w:right="351"/>
        <w:jc w:val="center"/>
        <w:rPr>
          <w:rFonts w:hint="eastAsia"/>
          <w:color w:val="auto"/>
          <w:lang w:val="en-US"/>
        </w:rPr>
      </w:pPr>
      <w:r>
        <w:rPr>
          <w:rFonts w:hint="eastAsia"/>
          <w:b/>
          <w:bCs/>
          <w:color w:val="auto"/>
          <w:lang w:val="en-US" w:eastAsia="zh-CN"/>
        </w:rPr>
        <w:t>本项目与钦北区各镇村的</w:t>
      </w:r>
      <w:r>
        <w:rPr>
          <w:rFonts w:hint="eastAsia"/>
          <w:b/>
          <w:bCs/>
          <w:color w:val="auto"/>
          <w:lang w:val="en-US"/>
        </w:rPr>
        <w:t>区位</w:t>
      </w:r>
      <w:r>
        <w:rPr>
          <w:rFonts w:hint="eastAsia"/>
          <w:b/>
          <w:bCs/>
          <w:color w:val="auto"/>
          <w:lang w:val="en-US" w:eastAsia="zh-CN"/>
        </w:rPr>
        <w:t>关系</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36" w:name="_Toc17592"/>
      <w:r>
        <w:rPr>
          <w:rFonts w:ascii="宋体" w:eastAsia="宋体" w:cs="宋体" w:hAnsi="宋体" w:hint="eastAsia"/>
          <w:bCs/>
          <w:color w:val="auto"/>
          <w:sz w:val="32"/>
          <w:szCs w:val="32"/>
          <w:lang w:val="en-US" w:eastAsia="zh-CN"/>
        </w:rPr>
        <w:t>2.2现状概况</w:t>
      </w:r>
      <w:bookmarkEnd w:id="36"/>
    </w:p>
    <w:p>
      <w:pPr>
        <w:pStyle w:val="18"/>
        <w:spacing w:line="420" w:lineRule="auto"/>
        <w:ind w:firstLineChars="200" w:firstLine="560"/>
        <w:rPr>
          <w:color w:val="auto"/>
          <w:kern w:val="0"/>
          <w:sz w:val="28"/>
          <w:szCs w:val="28"/>
          <w:lang w:val="en-US"/>
        </w:rPr>
      </w:pPr>
      <w:r>
        <w:rPr>
          <w:rFonts w:hint="eastAsia"/>
          <w:b/>
          <w:bCs/>
          <w:color w:val="auto"/>
          <w:sz w:val="28"/>
          <w:szCs w:val="28"/>
          <w:lang w:val="en-US"/>
        </w:rPr>
        <w:t>2</w:t>
      </w:r>
      <w:r>
        <w:rPr>
          <w:rFonts w:hint="eastAsia"/>
          <w:b/>
          <w:bCs/>
          <w:color w:val="auto"/>
          <w:sz w:val="28"/>
          <w:szCs w:val="28"/>
        </w:rPr>
        <w:t>.</w:t>
      </w:r>
      <w:r>
        <w:rPr>
          <w:rFonts w:hint="eastAsia"/>
          <w:b/>
          <w:bCs/>
          <w:color w:val="auto"/>
          <w:sz w:val="28"/>
          <w:szCs w:val="28"/>
          <w:lang w:val="en-US" w:eastAsia="zh-CN"/>
        </w:rPr>
        <w:t>2.1</w:t>
      </w:r>
      <w:r>
        <w:rPr>
          <w:rFonts w:hint="eastAsia"/>
          <w:b/>
          <w:bCs/>
          <w:color w:val="auto"/>
          <w:sz w:val="28"/>
          <w:szCs w:val="28"/>
          <w:lang w:eastAsia="zh-CN"/>
        </w:rPr>
        <w:t>地形</w:t>
      </w:r>
      <w:r>
        <w:rPr>
          <w:rFonts w:hint="eastAsia"/>
          <w:b/>
          <w:bCs/>
          <w:color w:val="auto"/>
          <w:sz w:val="28"/>
          <w:szCs w:val="28"/>
          <w:lang w:val="en-US"/>
        </w:rPr>
        <w:t>地貌</w:t>
      </w:r>
    </w:p>
    <w:p>
      <w:pPr>
        <w:pStyle w:val="18"/>
        <w:spacing w:line="420" w:lineRule="auto"/>
        <w:ind w:firstLine="479"/>
        <w:rPr>
          <w:rFonts w:hint="eastAsia"/>
          <w:color w:val="auto"/>
          <w:kern w:val="0"/>
          <w:sz w:val="28"/>
          <w:szCs w:val="28"/>
          <w:lang w:val="en-US"/>
        </w:rPr>
      </w:pPr>
      <w:r>
        <w:rPr>
          <w:color w:val="auto"/>
          <w:kern w:val="0"/>
          <w:sz w:val="28"/>
          <w:szCs w:val="28"/>
          <w:lang w:val="en-US"/>
        </w:rPr>
        <w:t>风电场位于钦州市钦北区小董镇、平吉镇与大垌镇交界一带的山脊或山包区域</w:t>
      </w:r>
      <w:r>
        <w:rPr>
          <w:rFonts w:hint="eastAsia"/>
          <w:color w:val="auto"/>
          <w:kern w:val="0"/>
          <w:sz w:val="28"/>
          <w:szCs w:val="28"/>
          <w:lang w:val="en-US"/>
        </w:rPr>
        <w:t>。</w:t>
      </w:r>
      <w:r>
        <w:rPr>
          <w:color w:val="auto"/>
          <w:kern w:val="0"/>
          <w:sz w:val="28"/>
          <w:szCs w:val="28"/>
          <w:lang w:val="en-US"/>
        </w:rPr>
        <w:t>主要考虑利用东北-西南走向的山脊，地势起伏相对较小，</w:t>
      </w:r>
      <w:r>
        <w:rPr>
          <w:rFonts w:hint="eastAsia"/>
          <w:color w:val="auto"/>
          <w:kern w:val="0"/>
          <w:sz w:val="28"/>
          <w:szCs w:val="28"/>
          <w:lang w:val="en-US"/>
        </w:rPr>
        <w:t>属丘陵谷地地貌，</w:t>
      </w:r>
      <w:r>
        <w:rPr>
          <w:color w:val="auto"/>
          <w:kern w:val="0"/>
          <w:sz w:val="28"/>
          <w:szCs w:val="28"/>
          <w:lang w:val="en-US"/>
        </w:rPr>
        <w:t>地类主要为林地</w:t>
      </w:r>
      <w:r>
        <w:rPr>
          <w:rFonts w:hint="eastAsia"/>
          <w:color w:val="auto"/>
          <w:kern w:val="0"/>
          <w:sz w:val="28"/>
          <w:szCs w:val="28"/>
          <w:lang w:val="en-US" w:eastAsia="zh-CN"/>
        </w:rPr>
        <w:t>、草地等</w:t>
      </w:r>
      <w:r>
        <w:rPr>
          <w:color w:val="auto"/>
          <w:kern w:val="0"/>
          <w:sz w:val="28"/>
          <w:szCs w:val="28"/>
          <w:lang w:val="en-US"/>
        </w:rPr>
        <w:t>，海拔在250-500m 之间</w:t>
      </w:r>
      <w:r>
        <w:rPr>
          <w:rFonts w:hint="eastAsia"/>
          <w:color w:val="auto"/>
          <w:kern w:val="0"/>
          <w:sz w:val="28"/>
          <w:szCs w:val="28"/>
          <w:lang w:val="en-US"/>
        </w:rPr>
        <w:t>。</w:t>
      </w:r>
    </w:p>
    <w:p>
      <w:pPr>
        <w:rPr>
          <w:rFonts w:hint="eastAsia"/>
          <w:color w:val="auto"/>
          <w:kern w:val="0"/>
          <w:sz w:val="28"/>
          <w:szCs w:val="28"/>
          <w:lang w:val="en-US"/>
        </w:rPr>
      </w:pPr>
    </w:p>
    <w:p>
      <w:pPr>
        <w:pStyle w:val="15"/>
        <w:rPr>
          <w:color w:val="auto"/>
          <w:lang w:val="en-US"/>
        </w:rPr>
      </w:pPr>
    </w:p>
    <w:p>
      <w:pPr>
        <w:pStyle w:val="18"/>
        <w:spacing w:line="420" w:lineRule="auto"/>
        <w:ind w:firstLineChars="200" w:firstLine="560"/>
        <w:rPr>
          <w:color w:val="auto"/>
          <w:kern w:val="0"/>
          <w:sz w:val="28"/>
          <w:szCs w:val="28"/>
          <w:lang w:val="en-US"/>
        </w:rPr>
      </w:pPr>
      <w:r>
        <w:rPr>
          <w:rFonts w:hint="eastAsia"/>
          <w:b/>
          <w:bCs/>
          <w:color w:val="auto"/>
          <w:sz w:val="28"/>
          <w:szCs w:val="28"/>
          <w:lang w:val="en-US" w:eastAsia="zh-CN"/>
        </w:rPr>
        <w:t>2.2.2</w:t>
      </w:r>
      <w:r>
        <w:rPr>
          <w:rFonts w:hint="eastAsia"/>
          <w:b/>
          <w:bCs/>
          <w:color w:val="auto"/>
          <w:sz w:val="28"/>
          <w:szCs w:val="28"/>
          <w:lang w:val="en-US"/>
        </w:rPr>
        <w:t>气候</w:t>
      </w:r>
    </w:p>
    <w:p>
      <w:pPr>
        <w:pStyle w:val="18"/>
        <w:spacing w:line="420" w:lineRule="auto"/>
        <w:ind w:firstLine="479"/>
        <w:rPr>
          <w:color w:val="auto"/>
          <w:kern w:val="0"/>
          <w:sz w:val="28"/>
          <w:szCs w:val="28"/>
          <w:lang w:val="en-US"/>
        </w:rPr>
      </w:pPr>
      <w:r>
        <w:rPr>
          <w:rFonts w:hint="eastAsia"/>
          <w:color w:val="auto"/>
          <w:kern w:val="0"/>
          <w:sz w:val="28"/>
          <w:szCs w:val="28"/>
          <w:lang w:val="en-US"/>
        </w:rPr>
        <w:t>钦州市钦北区位于广西南部沿海、钦州市区西北部，属海洋性的热带季风气候，年平均温度22摄氏度，年平均日照1801小时，无霜期345天，年降雨量2000多毫米。气候温和，热量丰富，日照充足，雨量充沛。</w:t>
      </w:r>
    </w:p>
    <w:p>
      <w:pPr>
        <w:pStyle w:val="18"/>
        <w:spacing w:line="420" w:lineRule="auto"/>
        <w:ind w:firstLineChars="200" w:firstLine="560"/>
        <w:rPr>
          <w:color w:val="auto"/>
          <w:kern w:val="0"/>
          <w:sz w:val="28"/>
          <w:szCs w:val="28"/>
          <w:lang w:val="en-US"/>
        </w:rPr>
      </w:pPr>
      <w:r>
        <w:rPr>
          <w:rFonts w:hint="eastAsia"/>
          <w:b/>
          <w:bCs/>
          <w:color w:val="auto"/>
          <w:sz w:val="28"/>
          <w:szCs w:val="28"/>
          <w:lang w:val="en-US" w:eastAsia="zh-CN"/>
        </w:rPr>
        <w:t>2.2.3</w:t>
      </w:r>
      <w:r>
        <w:rPr>
          <w:rFonts w:hint="eastAsia"/>
          <w:b/>
          <w:bCs/>
          <w:color w:val="auto"/>
          <w:sz w:val="28"/>
          <w:szCs w:val="28"/>
        </w:rPr>
        <w:t>地质</w:t>
      </w:r>
    </w:p>
    <w:p>
      <w:pPr>
        <w:pStyle w:val="18"/>
        <w:spacing w:line="420" w:lineRule="auto"/>
        <w:ind w:firstLine="479"/>
        <w:rPr>
          <w:color w:val="auto"/>
          <w:kern w:val="0"/>
          <w:sz w:val="28"/>
          <w:szCs w:val="28"/>
          <w:lang w:val="en-US"/>
        </w:rPr>
      </w:pPr>
      <w:r>
        <w:rPr>
          <w:color w:val="auto"/>
          <w:kern w:val="0"/>
          <w:sz w:val="28"/>
          <w:szCs w:val="28"/>
          <w:lang w:val="en-US"/>
        </w:rPr>
        <w:t>（1）场址区区域构造相对稳定，升压站及风机位附近无大规模不良地质作用，建筑场地稳定，具备建设风电场的工程地质条件。</w:t>
      </w:r>
    </w:p>
    <w:p>
      <w:pPr>
        <w:pStyle w:val="18"/>
        <w:spacing w:line="420" w:lineRule="auto"/>
        <w:ind w:firstLine="479"/>
        <w:rPr>
          <w:color w:val="auto"/>
          <w:kern w:val="0"/>
          <w:sz w:val="28"/>
          <w:szCs w:val="28"/>
          <w:lang w:val="en-US"/>
        </w:rPr>
      </w:pPr>
      <w:r>
        <w:rPr>
          <w:color w:val="auto"/>
          <w:kern w:val="0"/>
          <w:sz w:val="28"/>
          <w:szCs w:val="28"/>
          <w:lang w:val="en-US"/>
        </w:rPr>
        <w:t>（2）场地地震动峰值加速度值为0.10g，相应的地震基本烈度为Ⅶ度，反应谱特征周期为0.35s。抗震场地类别为Ⅱ类，属抗震一般地段。风电场属中等复杂场地，风电场地基为中等地基。</w:t>
      </w:r>
    </w:p>
    <w:p>
      <w:pPr>
        <w:pStyle w:val="18"/>
        <w:spacing w:line="420" w:lineRule="auto"/>
        <w:ind w:firstLine="479"/>
        <w:rPr>
          <w:color w:val="auto"/>
          <w:kern w:val="0"/>
          <w:sz w:val="28"/>
          <w:szCs w:val="28"/>
          <w:lang w:val="en-US"/>
        </w:rPr>
      </w:pPr>
      <w:r>
        <w:rPr>
          <w:color w:val="auto"/>
          <w:kern w:val="0"/>
          <w:sz w:val="28"/>
          <w:szCs w:val="28"/>
          <w:lang w:val="en-US"/>
        </w:rPr>
        <w:t>（3）场地区覆盖层主要为砂质粘性土或粉质粘土，下伏基岩为花岗岩、细砂岩、粉砂岩、泥岩等，力学强度较高，能够满足承载力要求，各风机基础可采用天然地基，以覆盖层、全、强风化花岗岩为地基持力层。因花岗岩风化特性，场地内全、强风化花岗岩中可能分布有弱风化球状体，场地存在不均匀地基的可能。</w:t>
      </w:r>
    </w:p>
    <w:p>
      <w:pPr>
        <w:pStyle w:val="18"/>
        <w:spacing w:line="420" w:lineRule="auto"/>
        <w:ind w:firstLine="479"/>
        <w:rPr>
          <w:color w:val="auto"/>
          <w:kern w:val="0"/>
          <w:sz w:val="28"/>
          <w:szCs w:val="28"/>
          <w:lang w:val="en-US"/>
        </w:rPr>
      </w:pPr>
      <w:r>
        <w:rPr>
          <w:color w:val="auto"/>
          <w:kern w:val="0"/>
          <w:sz w:val="28"/>
          <w:szCs w:val="28"/>
          <w:lang w:val="en-US"/>
        </w:rPr>
        <w:t>（4）场地工程建设不会对原有地质环境产生根本改变，对原有自然平衡影响相对较小。风机位及斜坡上的道路，因整平需要挖填方，需做好护坡措施；风机建成后，应恢复原有生态草皮，避免水土流失造成风机基础破坏。</w:t>
      </w:r>
    </w:p>
    <w:p>
      <w:pPr>
        <w:pStyle w:val="18"/>
        <w:spacing w:line="420" w:lineRule="auto"/>
        <w:ind w:firstLine="479"/>
        <w:rPr>
          <w:color w:val="auto"/>
          <w:kern w:val="0"/>
          <w:sz w:val="28"/>
          <w:szCs w:val="28"/>
          <w:lang w:val="en-US"/>
        </w:rPr>
      </w:pPr>
      <w:r>
        <w:rPr>
          <w:color w:val="auto"/>
          <w:kern w:val="0"/>
          <w:sz w:val="28"/>
          <w:szCs w:val="28"/>
          <w:lang w:val="en-US"/>
        </w:rPr>
        <w:t>（5）山坡、山顶地段地下水埋藏较深，对风机基础无不利影响。场地地表水及地下水对混凝土有微腐蚀性，对钢结构有弱腐蚀性；下阶段</w:t>
      </w:r>
      <w:r>
        <w:rPr>
          <w:rFonts w:hint="eastAsia"/>
          <w:color w:val="auto"/>
          <w:kern w:val="0"/>
          <w:sz w:val="28"/>
          <w:szCs w:val="28"/>
          <w:lang w:val="en-US" w:eastAsia="zh-CN"/>
        </w:rPr>
        <w:t>应</w:t>
      </w:r>
      <w:r>
        <w:rPr>
          <w:color w:val="auto"/>
          <w:kern w:val="0"/>
          <w:sz w:val="28"/>
          <w:szCs w:val="28"/>
          <w:lang w:val="en-US"/>
        </w:rPr>
        <w:t>进行专门水文地质勘察工作，以确定生活和施工用水的水质和水量。</w:t>
      </w:r>
    </w:p>
    <w:p>
      <w:pPr>
        <w:pStyle w:val="18"/>
        <w:spacing w:line="420" w:lineRule="auto"/>
        <w:ind w:firstLine="479"/>
        <w:rPr>
          <w:color w:val="auto"/>
          <w:kern w:val="0"/>
          <w:sz w:val="28"/>
          <w:szCs w:val="28"/>
          <w:lang w:val="en-US"/>
        </w:rPr>
      </w:pPr>
      <w:r>
        <w:rPr>
          <w:color w:val="auto"/>
          <w:kern w:val="0"/>
          <w:sz w:val="28"/>
          <w:szCs w:val="28"/>
          <w:lang w:val="en-US"/>
        </w:rPr>
        <w:t>（6）升压站场地整平后存在挖方区和填方区，为不均匀地基。挖方区可采用天然地基，挖方边坡应分级开挖且坡面、坡顶均需做好截排水措施；填方区则可根据填土厚度不同可分别采用天然地基或桩基础，填方边坡上应做好支挡措施。全、强风化岩体中局部可能夹有弱风化球状体。</w:t>
      </w:r>
    </w:p>
    <w:p>
      <w:pPr>
        <w:pStyle w:val="18"/>
        <w:spacing w:line="420" w:lineRule="auto"/>
        <w:ind w:firstLine="479"/>
        <w:rPr>
          <w:color w:val="auto"/>
          <w:kern w:val="0"/>
          <w:sz w:val="28"/>
          <w:szCs w:val="28"/>
          <w:lang w:val="en-US"/>
        </w:rPr>
      </w:pPr>
      <w:r>
        <w:rPr>
          <w:color w:val="auto"/>
          <w:kern w:val="0"/>
          <w:sz w:val="28"/>
          <w:szCs w:val="28"/>
          <w:lang w:val="en-US"/>
        </w:rPr>
        <w:t>（7）根据现场调查场址范围未发现有可开采的矿产资源，亦无文物古迹分布。</w:t>
      </w:r>
    </w:p>
    <w:p>
      <w:pPr>
        <w:pStyle w:val="18"/>
        <w:spacing w:line="420" w:lineRule="auto"/>
        <w:ind w:firstLine="479"/>
        <w:rPr>
          <w:color w:val="auto"/>
          <w:kern w:val="0"/>
          <w:sz w:val="28"/>
          <w:szCs w:val="28"/>
          <w:lang w:val="en-US"/>
        </w:rPr>
      </w:pPr>
      <w:r>
        <w:rPr>
          <w:color w:val="auto"/>
          <w:kern w:val="0"/>
          <w:sz w:val="28"/>
          <w:szCs w:val="28"/>
          <w:lang w:val="en-US"/>
        </w:rPr>
        <w:t>综上所述，该场地工程地质条件适宜</w:t>
      </w:r>
      <w:r>
        <w:rPr>
          <w:rFonts w:hint="eastAsia"/>
          <w:color w:val="auto"/>
          <w:kern w:val="0"/>
          <w:sz w:val="28"/>
          <w:szCs w:val="28"/>
          <w:lang w:val="en-US" w:eastAsia="zh-CN"/>
        </w:rPr>
        <w:t>项目</w:t>
      </w:r>
      <w:r>
        <w:rPr>
          <w:color w:val="auto"/>
          <w:kern w:val="0"/>
          <w:sz w:val="28"/>
          <w:szCs w:val="28"/>
          <w:lang w:val="en-US"/>
        </w:rPr>
        <w:t>的建设</w:t>
      </w:r>
      <w:r>
        <w:rPr>
          <w:rFonts w:hint="eastAsia"/>
          <w:color w:val="auto"/>
          <w:kern w:val="0"/>
          <w:sz w:val="28"/>
          <w:szCs w:val="28"/>
          <w:lang w:val="en-US"/>
        </w:rPr>
        <w:t>。</w:t>
      </w:r>
    </w:p>
    <w:p>
      <w:pPr>
        <w:pStyle w:val="18"/>
        <w:spacing w:line="420" w:lineRule="auto"/>
        <w:ind w:firstLineChars="200" w:firstLine="560"/>
        <w:rPr>
          <w:color w:val="auto"/>
          <w:kern w:val="0"/>
          <w:sz w:val="28"/>
          <w:szCs w:val="28"/>
          <w:lang w:val="en-US"/>
        </w:rPr>
      </w:pPr>
      <w:r>
        <w:rPr>
          <w:rFonts w:hint="eastAsia"/>
          <w:b/>
          <w:bCs/>
          <w:color w:val="auto"/>
          <w:sz w:val="28"/>
          <w:szCs w:val="28"/>
          <w:lang w:val="en-US" w:eastAsia="zh-CN"/>
        </w:rPr>
        <w:t>2.2.4</w:t>
      </w:r>
      <w:r>
        <w:rPr>
          <w:rFonts w:hint="eastAsia"/>
          <w:b/>
          <w:bCs/>
          <w:color w:val="auto"/>
          <w:sz w:val="28"/>
          <w:szCs w:val="28"/>
          <w:lang w:val="en-US"/>
        </w:rPr>
        <w:t>区域风资源</w:t>
      </w:r>
    </w:p>
    <w:p>
      <w:pPr>
        <w:pStyle w:val="18"/>
        <w:spacing w:line="420" w:lineRule="auto"/>
        <w:ind w:firstLine="479"/>
        <w:rPr>
          <w:color w:val="auto"/>
          <w:kern w:val="0"/>
          <w:sz w:val="28"/>
          <w:szCs w:val="28"/>
          <w:lang w:val="en-US"/>
        </w:rPr>
      </w:pPr>
      <w:r>
        <w:rPr>
          <w:color w:val="auto"/>
          <w:kern w:val="0"/>
          <w:sz w:val="28"/>
          <w:szCs w:val="28"/>
          <w:lang w:val="en-US"/>
        </w:rPr>
        <w:t>广西壮族自治区风资源分布较为分散，多集中于海拔较高的丘陵、山脉地区；北海、钦州、防城港属临海地区，受海陆风影响，近海平原风资源亦具备较好开发价值。广西壮族自治区不同区域不同尺度下资源存在较大局地差异，需经过长期测风进一步明确。风速的年变化均以冬春季较大，秋季次之，夏季相对较小，冬夏风向有明显的季节转换，主导风向根据区域不同有所差异。钦北区风能资源分布图见下图</w:t>
      </w:r>
      <w:r>
        <w:rPr>
          <w:rFonts w:hint="eastAsia"/>
          <w:color w:val="auto"/>
          <w:kern w:val="0"/>
          <w:sz w:val="28"/>
          <w:szCs w:val="28"/>
          <w:lang w:val="en-US"/>
        </w:rPr>
        <w:t>：</w:t>
      </w:r>
    </w:p>
    <w:p>
      <w:pPr>
        <w:pStyle w:val="18"/>
        <w:spacing w:line="420" w:lineRule="auto"/>
        <w:ind w:firstLine="0"/>
        <w:rPr>
          <w:color w:val="auto"/>
        </w:rPr>
      </w:pPr>
      <w:r>
        <w:rPr>
          <w:color w:val="auto"/>
          <w:lang w:val="en-US" w:bidi="ar-SA"/>
        </w:rPr>
        <w:drawing>
          <wp:inline distT="0" distB="0" distL="114300" distR="114300">
            <wp:extent cx="5294630" cy="3684270"/>
            <wp:effectExtent l="0" t="0" r="46" b="39"/>
            <wp:docPr id="19" name="图片 1"/>
            <wp:cNvGraphicFramePr>
              <a:graphicFrameLocks noChangeAspect="1"/>
            </wp:cNvGraphicFramePr>
            <a:graphic>
              <a:graphicData uri="http://schemas.openxmlformats.org/drawingml/2006/picture">
                <pic:pic>
                  <pic:nvPicPr>
                    <pic:cNvPr id="21" name="图片 1 21"/>
                    <pic:cNvPicPr/>
                  </pic:nvPicPr>
                  <pic:blipFill>
                    <a:blip r:embed="rId9"/>
                    <a:stretch>
                      <a:fillRect/>
                    </a:stretch>
                  </pic:blipFill>
                  <pic:spPr>
                    <a:xfrm rot="0">
                      <a:off x="0" y="0"/>
                      <a:ext cx="5294630" cy="3684270"/>
                    </a:xfrm>
                    <a:prstGeom prst="rect"/>
                    <a:noFill/>
                    <a:ln w="9525" cmpd="sng" cap="flat">
                      <a:noFill/>
                      <a:prstDash val="solid"/>
                      <a:round/>
                    </a:ln>
                  </pic:spPr>
                </pic:pic>
              </a:graphicData>
            </a:graphic>
          </wp:inline>
        </w:drawing>
      </w:r>
    </w:p>
    <w:p>
      <w:pPr>
        <w:pStyle w:val="18"/>
        <w:spacing w:line="420" w:lineRule="auto"/>
        <w:ind w:firstLine="0"/>
        <w:jc w:val="center"/>
        <w:rPr>
          <w:color w:val="auto"/>
          <w:lang w:val="en-US"/>
        </w:rPr>
      </w:pPr>
      <w:r>
        <w:rPr>
          <w:color w:val="auto"/>
          <w:lang w:val="en-US"/>
        </w:rPr>
        <w:t>钦州市钦北区风能资源分布图</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37" w:name="_Toc2576"/>
      <w:r>
        <w:rPr>
          <w:rFonts w:ascii="宋体" w:eastAsia="宋体" w:cs="宋体" w:hAnsi="宋体" w:hint="eastAsia"/>
          <w:bCs/>
          <w:color w:val="auto"/>
          <w:sz w:val="32"/>
          <w:szCs w:val="32"/>
          <w:lang w:val="en-US" w:eastAsia="zh-CN"/>
        </w:rPr>
        <w:t>2.3土地利用现状</w:t>
      </w:r>
      <w:bookmarkEnd w:id="37"/>
    </w:p>
    <w:p>
      <w:pPr>
        <w:widowControl/>
        <w:spacing w:before="4" w:line="360" w:lineRule="auto"/>
        <w:ind w:left="118" w:right="351" w:firstLineChars="200" w:firstLine="560"/>
        <w:jc w:val="left"/>
        <w:rPr>
          <w:rFonts w:eastAsia="宋体" w:hint="eastAsia"/>
          <w:color w:val="auto"/>
          <w:kern w:val="0"/>
          <w:sz w:val="28"/>
          <w:szCs w:val="28"/>
          <w:lang w:val="en-US" w:eastAsia="zh-CN"/>
        </w:rPr>
      </w:pPr>
      <w:r>
        <w:rPr>
          <w:rFonts w:hint="eastAsia"/>
          <w:color w:val="auto"/>
          <w:kern w:val="0"/>
          <w:sz w:val="28"/>
          <w:szCs w:val="28"/>
          <w:lang w:val="en-US" w:eastAsia="zh-CN"/>
        </w:rPr>
        <w:t>钦北区古道岭风电场一期工程项目独立地块控制性详细规划总用地面积共10904.7平方米。共33个地块，即16个风电机组（风机）地块、16个箱变地块和1个升压站地块。根据第三次全国国土调查2023年度国土变更调查成果数据，本项目土地利用现状主要涉及的地类有工业用地、公用设施用地、乔木林地、灌木林地、其他林地、其他草地、农村道路等，不涉及占用耕地。土地利用现状总体情况统计如下表，</w:t>
      </w:r>
      <w:r>
        <w:rPr>
          <w:rFonts w:eastAsia="宋体" w:hint="eastAsia"/>
          <w:color w:val="auto"/>
          <w:kern w:val="0"/>
          <w:sz w:val="28"/>
          <w:szCs w:val="28"/>
          <w:lang w:val="en-US" w:eastAsia="zh-CN"/>
        </w:rPr>
        <w:t>各地块现状土地具体使用情况数据详见土地使用现状图。</w:t>
      </w:r>
    </w:p>
    <w:p>
      <w:pPr>
        <w:pStyle w:val="15"/>
        <w:rPr>
          <w:rFonts w:eastAsia="宋体" w:hint="eastAsia"/>
          <w:color w:val="auto"/>
          <w:kern w:val="0"/>
          <w:sz w:val="28"/>
          <w:szCs w:val="28"/>
          <w:lang w:val="en-US" w:eastAsia="zh-CN"/>
        </w:rPr>
      </w:pPr>
    </w:p>
    <w:p>
      <w:pPr>
        <w:rPr>
          <w:rFonts w:eastAsia="宋体" w:hint="eastAsia"/>
          <w:color w:val="auto"/>
          <w:kern w:val="0"/>
          <w:sz w:val="28"/>
          <w:szCs w:val="28"/>
          <w:lang w:val="en-US" w:eastAsia="zh-CN"/>
        </w:rPr>
      </w:pPr>
    </w:p>
    <w:p>
      <w:pPr>
        <w:rPr>
          <w:color w:val="auto"/>
          <w:lang w:val="en-US" w:eastAsia="zh-CN"/>
        </w:rPr>
      </w:pPr>
    </w:p>
    <w:p>
      <w:pPr>
        <w:widowControl/>
        <w:spacing w:before="4" w:line="360" w:lineRule="auto"/>
        <w:ind w:right="351"/>
        <w:jc w:val="center"/>
        <w:rPr>
          <w:rFonts w:hint="eastAsia"/>
          <w:color w:val="auto"/>
          <w:kern w:val="0"/>
          <w:sz w:val="28"/>
          <w:szCs w:val="28"/>
          <w:lang w:val="en-US" w:eastAsia="zh-CN"/>
        </w:rPr>
      </w:pPr>
      <w:r>
        <w:rPr>
          <w:rFonts w:hint="eastAsia"/>
          <w:color w:val="auto"/>
          <w:kern w:val="0"/>
          <w:sz w:val="28"/>
          <w:szCs w:val="28"/>
          <w:lang w:val="en-US" w:eastAsia="zh-CN"/>
        </w:rPr>
        <w:t>项目土地利用现状总体情况表（基于“三调”）</w:t>
      </w:r>
    </w:p>
    <w:tbl>
      <w:tblPr>
        <w:jc w:val="left"/>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2317"/>
        <w:gridCol w:w="2757"/>
        <w:gridCol w:w="2095"/>
      </w:tblGrid>
      <w:tr>
        <w:tc>
          <w:tcPr>
            <w:tcW w:w="2317" w:type="dxa"/>
          </w:tcPr>
          <w:p>
            <w:pPr>
              <w:widowControl/>
              <w:spacing w:before="4" w:line="360" w:lineRule="auto"/>
              <w:ind w:right="351"/>
              <w:jc w:val="center"/>
              <w:rPr>
                <w:rFonts w:hint="eastAsia"/>
                <w:color w:val="auto"/>
                <w:kern w:val="0"/>
                <w:sz w:val="28"/>
                <w:szCs w:val="28"/>
                <w:vertAlign w:val="baseline"/>
                <w:lang w:val="en-US" w:eastAsia="zh-CN"/>
              </w:rPr>
            </w:pPr>
            <w:r>
              <w:rPr>
                <w:rFonts w:hint="eastAsia"/>
                <w:color w:val="auto"/>
                <w:kern w:val="0"/>
                <w:sz w:val="28"/>
                <w:szCs w:val="28"/>
                <w:vertAlign w:val="baseline"/>
                <w:lang w:val="en-US" w:eastAsia="zh-CN"/>
              </w:rPr>
              <w:t>地类编码</w:t>
            </w:r>
          </w:p>
        </w:tc>
        <w:tc>
          <w:tcPr>
            <w:tcW w:w="2757" w:type="dxa"/>
          </w:tcPr>
          <w:p>
            <w:pPr>
              <w:widowControl/>
              <w:spacing w:before="4" w:line="360" w:lineRule="auto"/>
              <w:ind w:right="351"/>
              <w:jc w:val="center"/>
              <w:rPr>
                <w:rFonts w:hint="eastAsia"/>
                <w:color w:val="auto"/>
                <w:kern w:val="0"/>
                <w:sz w:val="28"/>
                <w:szCs w:val="28"/>
                <w:vertAlign w:val="baseline"/>
                <w:lang w:val="en-US" w:eastAsia="zh-CN"/>
              </w:rPr>
            </w:pPr>
            <w:r>
              <w:rPr>
                <w:rFonts w:hint="eastAsia"/>
                <w:color w:val="auto"/>
                <w:kern w:val="0"/>
                <w:sz w:val="28"/>
                <w:szCs w:val="28"/>
                <w:vertAlign w:val="baseline"/>
                <w:lang w:val="en-US" w:eastAsia="zh-CN"/>
              </w:rPr>
              <w:t>地类名称</w:t>
            </w:r>
          </w:p>
        </w:tc>
        <w:tc>
          <w:tcPr>
            <w:tcW w:w="2095" w:type="dxa"/>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面积（㎡）</w:t>
            </w:r>
          </w:p>
        </w:tc>
      </w:tr>
      <w:tr>
        <w:tc>
          <w:tcPr>
            <w:tcW w:w="231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0601</w:t>
            </w:r>
          </w:p>
        </w:tc>
        <w:tc>
          <w:tcPr>
            <w:tcW w:w="275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rFonts w:hint="eastAsia"/>
                <w:color w:val="auto"/>
                <w:kern w:val="0"/>
                <w:sz w:val="28"/>
                <w:szCs w:val="28"/>
                <w:vertAlign w:val="baseline"/>
                <w:lang w:val="en-US" w:eastAsia="zh-CN"/>
              </w:rPr>
            </w:pPr>
            <w:r>
              <w:rPr>
                <w:rFonts w:hint="eastAsia"/>
                <w:color w:val="auto"/>
                <w:kern w:val="0"/>
                <w:sz w:val="28"/>
                <w:szCs w:val="28"/>
                <w:lang w:val="en-US" w:eastAsia="zh-CN"/>
              </w:rPr>
              <w:t>工业用地</w:t>
            </w:r>
          </w:p>
        </w:tc>
        <w:tc>
          <w:tcPr>
            <w:tcW w:w="2095"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1909.56</w:t>
            </w:r>
          </w:p>
        </w:tc>
      </w:tr>
      <w:tr>
        <w:tc>
          <w:tcPr>
            <w:tcW w:w="231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0809</w:t>
            </w:r>
          </w:p>
        </w:tc>
        <w:tc>
          <w:tcPr>
            <w:tcW w:w="275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rFonts w:hint="eastAsia"/>
                <w:color w:val="auto"/>
                <w:kern w:val="0"/>
                <w:sz w:val="28"/>
                <w:szCs w:val="28"/>
                <w:vertAlign w:val="baseline"/>
                <w:lang w:val="en-US" w:eastAsia="zh-CN"/>
              </w:rPr>
            </w:pPr>
            <w:r>
              <w:rPr>
                <w:rFonts w:hint="eastAsia"/>
                <w:color w:val="auto"/>
                <w:kern w:val="0"/>
                <w:sz w:val="28"/>
                <w:szCs w:val="28"/>
                <w:lang w:val="en-US" w:eastAsia="zh-CN"/>
              </w:rPr>
              <w:t>公用设施用地</w:t>
            </w:r>
          </w:p>
        </w:tc>
        <w:tc>
          <w:tcPr>
            <w:tcW w:w="2095"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5743.51</w:t>
            </w:r>
          </w:p>
        </w:tc>
      </w:tr>
      <w:tr>
        <w:tc>
          <w:tcPr>
            <w:tcW w:w="231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0301</w:t>
            </w:r>
          </w:p>
        </w:tc>
        <w:tc>
          <w:tcPr>
            <w:tcW w:w="275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rFonts w:hint="eastAsia"/>
                <w:color w:val="auto"/>
                <w:kern w:val="0"/>
                <w:sz w:val="28"/>
                <w:szCs w:val="28"/>
                <w:vertAlign w:val="baseline"/>
                <w:lang w:val="en-US" w:eastAsia="zh-CN"/>
              </w:rPr>
            </w:pPr>
            <w:r>
              <w:rPr>
                <w:rFonts w:hint="eastAsia"/>
                <w:color w:val="auto"/>
                <w:kern w:val="0"/>
                <w:sz w:val="28"/>
                <w:szCs w:val="28"/>
                <w:lang w:val="en-US" w:eastAsia="zh-CN"/>
              </w:rPr>
              <w:t>乔木林地</w:t>
            </w:r>
          </w:p>
        </w:tc>
        <w:tc>
          <w:tcPr>
            <w:tcW w:w="2095"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988.93</w:t>
            </w:r>
          </w:p>
        </w:tc>
      </w:tr>
      <w:tr>
        <w:tc>
          <w:tcPr>
            <w:tcW w:w="231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0305</w:t>
            </w:r>
          </w:p>
        </w:tc>
        <w:tc>
          <w:tcPr>
            <w:tcW w:w="275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rFonts w:hint="eastAsia"/>
                <w:color w:val="auto"/>
                <w:kern w:val="0"/>
                <w:sz w:val="28"/>
                <w:szCs w:val="28"/>
                <w:vertAlign w:val="baseline"/>
                <w:lang w:val="en-US" w:eastAsia="zh-CN"/>
              </w:rPr>
            </w:pPr>
            <w:r>
              <w:rPr>
                <w:rFonts w:hint="eastAsia"/>
                <w:color w:val="auto"/>
                <w:kern w:val="0"/>
                <w:sz w:val="28"/>
                <w:szCs w:val="28"/>
                <w:lang w:val="en-US" w:eastAsia="zh-CN"/>
              </w:rPr>
              <w:t>灌木林地</w:t>
            </w:r>
          </w:p>
        </w:tc>
        <w:tc>
          <w:tcPr>
            <w:tcW w:w="2095"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9.22</w:t>
            </w:r>
          </w:p>
        </w:tc>
      </w:tr>
      <w:tr>
        <w:tc>
          <w:tcPr>
            <w:tcW w:w="231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0307</w:t>
            </w:r>
          </w:p>
        </w:tc>
        <w:tc>
          <w:tcPr>
            <w:tcW w:w="275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rFonts w:hint="eastAsia"/>
                <w:color w:val="auto"/>
                <w:kern w:val="0"/>
                <w:sz w:val="28"/>
                <w:szCs w:val="28"/>
                <w:vertAlign w:val="baseline"/>
                <w:lang w:val="en-US" w:eastAsia="zh-CN"/>
              </w:rPr>
            </w:pPr>
            <w:r>
              <w:rPr>
                <w:rFonts w:hint="eastAsia"/>
                <w:color w:val="auto"/>
                <w:kern w:val="0"/>
                <w:sz w:val="28"/>
                <w:szCs w:val="28"/>
                <w:lang w:val="en-US" w:eastAsia="zh-CN"/>
              </w:rPr>
              <w:t>其他林地</w:t>
            </w:r>
          </w:p>
        </w:tc>
        <w:tc>
          <w:tcPr>
            <w:tcW w:w="2095"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1709.60</w:t>
            </w:r>
          </w:p>
        </w:tc>
      </w:tr>
      <w:tr>
        <w:tc>
          <w:tcPr>
            <w:tcW w:w="231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0404</w:t>
            </w:r>
          </w:p>
        </w:tc>
        <w:tc>
          <w:tcPr>
            <w:tcW w:w="275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rFonts w:hint="eastAsia"/>
                <w:color w:val="auto"/>
                <w:kern w:val="0"/>
                <w:sz w:val="28"/>
                <w:szCs w:val="28"/>
                <w:vertAlign w:val="baseline"/>
                <w:lang w:val="en-US" w:eastAsia="zh-CN"/>
              </w:rPr>
            </w:pPr>
            <w:r>
              <w:rPr>
                <w:rFonts w:hint="eastAsia"/>
                <w:color w:val="auto"/>
                <w:kern w:val="0"/>
                <w:sz w:val="28"/>
                <w:szCs w:val="28"/>
                <w:lang w:val="en-US" w:eastAsia="zh-CN"/>
              </w:rPr>
              <w:t>其他草地</w:t>
            </w:r>
          </w:p>
        </w:tc>
        <w:tc>
          <w:tcPr>
            <w:tcW w:w="2095"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369.69</w:t>
            </w:r>
          </w:p>
        </w:tc>
      </w:tr>
      <w:tr>
        <w:tc>
          <w:tcPr>
            <w:tcW w:w="231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1006</w:t>
            </w:r>
          </w:p>
        </w:tc>
        <w:tc>
          <w:tcPr>
            <w:tcW w:w="275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rFonts w:hint="eastAsia"/>
                <w:color w:val="auto"/>
                <w:kern w:val="0"/>
                <w:sz w:val="28"/>
                <w:szCs w:val="28"/>
                <w:vertAlign w:val="baseline"/>
                <w:lang w:val="en-US" w:eastAsia="zh-CN"/>
              </w:rPr>
            </w:pPr>
            <w:r>
              <w:rPr>
                <w:rFonts w:hint="eastAsia"/>
                <w:color w:val="auto"/>
                <w:kern w:val="0"/>
                <w:sz w:val="28"/>
                <w:szCs w:val="28"/>
                <w:lang w:val="en-US" w:eastAsia="zh-CN"/>
              </w:rPr>
              <w:t>农村道路</w:t>
            </w:r>
          </w:p>
        </w:tc>
        <w:tc>
          <w:tcPr>
            <w:tcW w:w="2095"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color w:val="auto"/>
                <w:kern w:val="0"/>
                <w:sz w:val="28"/>
                <w:szCs w:val="28"/>
                <w:vertAlign w:val="baseline"/>
                <w:lang w:val="en-US" w:eastAsia="zh-CN"/>
              </w:rPr>
            </w:pPr>
            <w:r>
              <w:rPr>
                <w:rFonts w:hint="eastAsia"/>
                <w:color w:val="auto"/>
                <w:kern w:val="0"/>
                <w:sz w:val="28"/>
                <w:szCs w:val="28"/>
                <w:vertAlign w:val="baseline"/>
                <w:lang w:val="en-US" w:eastAsia="zh-CN"/>
              </w:rPr>
              <w:t>174.19</w:t>
            </w:r>
          </w:p>
        </w:tc>
      </w:tr>
      <w:tr>
        <w:tc>
          <w:tcPr>
            <w:tcW w:w="231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rFonts w:hint="eastAsia"/>
                <w:b/>
                <w:bCs/>
                <w:color w:val="auto"/>
                <w:kern w:val="0"/>
                <w:sz w:val="28"/>
                <w:szCs w:val="28"/>
                <w:vertAlign w:val="baseline"/>
                <w:lang w:val="en-US" w:eastAsia="zh-CN"/>
              </w:rPr>
            </w:pPr>
            <w:r>
              <w:rPr>
                <w:rFonts w:hint="eastAsia"/>
                <w:b/>
                <w:bCs/>
                <w:color w:val="auto"/>
                <w:kern w:val="0"/>
                <w:sz w:val="28"/>
                <w:szCs w:val="28"/>
                <w:vertAlign w:val="baseline"/>
                <w:lang w:val="en-US" w:eastAsia="zh-CN"/>
              </w:rPr>
              <w:t>合计</w:t>
            </w:r>
          </w:p>
        </w:tc>
        <w:tc>
          <w:tcPr>
            <w:tcW w:w="2757"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rFonts w:hint="eastAsia"/>
                <w:b/>
                <w:bCs/>
                <w:color w:val="auto"/>
                <w:kern w:val="0"/>
                <w:sz w:val="28"/>
                <w:szCs w:val="28"/>
                <w:lang w:val="en-US" w:eastAsia="zh-CN"/>
              </w:rPr>
            </w:pPr>
          </w:p>
        </w:tc>
        <w:tc>
          <w:tcPr>
            <w:tcW w:w="2095" w:type="dxa"/>
            <w:tcBorders>
              <w:top w:val="single" w:sz="4" w:space="0" w:color="auto"/>
              <w:left w:val="single" w:sz="4" w:space="0" w:color="auto"/>
              <w:bottom w:val="single" w:sz="4" w:space="0" w:color="auto"/>
              <w:right w:val="single" w:sz="4" w:space="0" w:color="auto"/>
            </w:tcBorders>
          </w:tcPr>
          <w:p>
            <w:pPr>
              <w:widowControl/>
              <w:spacing w:before="4" w:line="360" w:lineRule="auto"/>
              <w:ind w:right="351"/>
              <w:jc w:val="center"/>
              <w:rPr>
                <w:b/>
                <w:bCs/>
                <w:color w:val="auto"/>
                <w:kern w:val="0"/>
                <w:sz w:val="28"/>
                <w:szCs w:val="28"/>
                <w:vertAlign w:val="baseline"/>
                <w:lang w:val="en-US" w:eastAsia="zh-CN"/>
              </w:rPr>
            </w:pPr>
            <w:r>
              <w:rPr>
                <w:rFonts w:hint="eastAsia"/>
                <w:b/>
                <w:bCs/>
                <w:color w:val="auto"/>
                <w:kern w:val="0"/>
                <w:sz w:val="28"/>
                <w:szCs w:val="28"/>
                <w:vertAlign w:val="baseline"/>
                <w:lang w:val="en-US" w:eastAsia="zh-CN"/>
              </w:rPr>
              <w:t>10904.70</w:t>
            </w:r>
          </w:p>
        </w:tc>
      </w:tr>
    </w:tbl>
    <w:p>
      <w:pPr>
        <w:widowControl/>
        <w:spacing w:line="360" w:lineRule="auto"/>
        <w:ind w:left="840"/>
        <w:jc w:val="center"/>
        <w:rPr>
          <w:rFonts w:ascii="黑体" w:eastAsia="黑体" w:hAnsi="黑体" w:hint="eastAsia"/>
          <w:color w:val="auto"/>
          <w:sz w:val="24"/>
          <w:szCs w:val="24"/>
          <w:lang w:eastAsia="zh-CN"/>
        </w:rPr>
      </w:pPr>
    </w:p>
    <w:p>
      <w:pPr>
        <w:widowControl/>
        <w:spacing w:line="360" w:lineRule="auto"/>
        <w:ind w:left="840"/>
        <w:jc w:val="center"/>
        <w:rPr>
          <w:rFonts w:ascii="黑体" w:eastAsia="黑体" w:hAnsi="黑体" w:hint="eastAsia"/>
          <w:color w:val="auto"/>
          <w:sz w:val="24"/>
          <w:szCs w:val="24"/>
          <w:lang w:eastAsia="zh-CN"/>
        </w:rPr>
      </w:pPr>
      <w:r>
        <w:rPr>
          <w:rFonts w:ascii="黑体" w:eastAsia="黑体" w:hAnsi="黑体" w:hint="eastAsia"/>
          <w:color w:val="auto"/>
          <w:sz w:val="24"/>
          <w:szCs w:val="24"/>
          <w:lang w:eastAsia="zh-CN"/>
        </w:rPr>
        <w:t>用地用海分类</w:t>
      </w:r>
      <w:r>
        <w:rPr>
          <w:rFonts w:ascii="黑体" w:eastAsia="黑体" w:hAnsi="黑体" w:hint="eastAsia"/>
          <w:color w:val="auto"/>
          <w:sz w:val="24"/>
          <w:szCs w:val="24"/>
          <w:lang w:val="en-US" w:eastAsia="zh-CN"/>
        </w:rPr>
        <w:t>第三次全国国土调查</w:t>
      </w:r>
      <w:r>
        <w:rPr>
          <w:rFonts w:ascii="黑体" w:eastAsia="黑体" w:hAnsi="黑体" w:hint="eastAsia"/>
          <w:color w:val="auto"/>
          <w:sz w:val="24"/>
          <w:szCs w:val="24"/>
        </w:rPr>
        <w:t>工作分类</w:t>
      </w:r>
      <w:r>
        <w:rPr>
          <w:rFonts w:ascii="黑体" w:eastAsia="黑体" w:hAnsi="黑体" w:hint="eastAsia"/>
          <w:color w:val="auto"/>
          <w:sz w:val="24"/>
          <w:szCs w:val="24"/>
          <w:lang w:eastAsia="zh-CN"/>
        </w:rPr>
        <w:t>对应情况</w:t>
      </w:r>
    </w:p>
    <w:tbl>
      <w:tblPr>
        <w:jc w:val="center"/>
        <w:tblW w:w="9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760"/>
        <w:gridCol w:w="1072"/>
        <w:gridCol w:w="709"/>
        <w:gridCol w:w="1417"/>
        <w:gridCol w:w="1808"/>
        <w:gridCol w:w="1900"/>
        <w:gridCol w:w="1429"/>
      </w:tblGrid>
      <w:tr>
        <w:trPr>
          <w:cantSplit/>
          <w:trHeight w:val="581"/>
          <w:tblHeader/>
        </w:trPr>
        <w:tc>
          <w:tcPr>
            <w:tcW w:w="3958" w:type="dxa"/>
            <w:gridSpan w:val="4"/>
            <w:shd w:val="clear" w:color="auto" w:fill="D9D9D9"/>
            <w:noWrap/>
            <w:vAlign w:val="center"/>
          </w:tcPr>
          <w:p>
            <w:pPr>
              <w:jc w:val="center"/>
              <w:rPr>
                <w:rFonts w:ascii="黑体" w:eastAsia="黑体" w:hAnsi="黑体"/>
                <w:b/>
                <w:color w:val="auto"/>
                <w:sz w:val="20"/>
                <w:szCs w:val="20"/>
              </w:rPr>
            </w:pPr>
            <w:r>
              <w:rPr>
                <w:rFonts w:ascii="黑体" w:eastAsia="黑体" w:hAnsi="黑体" w:hint="eastAsia"/>
                <w:b/>
                <w:color w:val="auto"/>
                <w:sz w:val="20"/>
                <w:szCs w:val="20"/>
                <w:lang w:eastAsia="zh-CN"/>
              </w:rPr>
              <w:t>第三次全国国土调查</w:t>
            </w:r>
            <w:r>
              <w:rPr>
                <w:rFonts w:ascii="黑体" w:eastAsia="黑体" w:hAnsi="黑体" w:hint="eastAsia"/>
                <w:b/>
                <w:color w:val="auto"/>
                <w:sz w:val="20"/>
                <w:szCs w:val="20"/>
              </w:rPr>
              <w:t>工作</w:t>
            </w:r>
            <w:r>
              <w:rPr>
                <w:rFonts w:ascii="黑体" w:eastAsia="黑体" w:hAnsi="黑体"/>
                <w:b/>
                <w:color w:val="auto"/>
                <w:sz w:val="20"/>
                <w:szCs w:val="20"/>
              </w:rPr>
              <w:t>分类</w:t>
            </w:r>
          </w:p>
        </w:tc>
        <w:tc>
          <w:tcPr>
            <w:tcW w:w="5137" w:type="dxa"/>
            <w:gridSpan w:val="3"/>
            <w:noWrap/>
            <w:vAlign w:val="center"/>
          </w:tcPr>
          <w:p>
            <w:pPr>
              <w:jc w:val="center"/>
              <w:rPr>
                <w:rFonts w:ascii="黑体" w:eastAsia="黑体" w:hAnsi="黑体"/>
                <w:b/>
                <w:color w:val="auto"/>
                <w:sz w:val="20"/>
                <w:szCs w:val="20"/>
              </w:rPr>
            </w:pPr>
            <w:r>
              <w:rPr>
                <w:rFonts w:ascii="黑体" w:eastAsia="黑体" w:hAnsi="黑体" w:hint="eastAsia"/>
                <w:b/>
                <w:color w:val="auto"/>
                <w:sz w:val="20"/>
                <w:szCs w:val="20"/>
              </w:rPr>
              <w:t>国土空间调查、规划、用途管制用地用海分类</w:t>
            </w:r>
          </w:p>
        </w:tc>
      </w:tr>
      <w:tr>
        <w:trPr>
          <w:cantSplit/>
          <w:trHeight w:val="396"/>
          <w:tblHeader/>
        </w:trPr>
        <w:tc>
          <w:tcPr>
            <w:tcW w:w="1832"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pPr>
              <w:jc w:val="center"/>
              <w:rPr>
                <w:rFonts w:ascii="宋体" w:hAnsi="宋体"/>
                <w:b/>
                <w:color w:val="auto"/>
                <w:sz w:val="20"/>
                <w:szCs w:val="20"/>
              </w:rPr>
            </w:pPr>
            <w:r>
              <w:rPr>
                <w:rFonts w:ascii="宋体" w:hAnsi="宋体" w:hint="eastAsia"/>
                <w:b/>
                <w:color w:val="auto"/>
                <w:sz w:val="20"/>
                <w:szCs w:val="20"/>
              </w:rPr>
              <w:t>一级类</w:t>
            </w:r>
          </w:p>
        </w:tc>
        <w:tc>
          <w:tcPr>
            <w:tcW w:w="2126"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pPr>
              <w:jc w:val="center"/>
              <w:rPr>
                <w:rFonts w:ascii="宋体" w:hAnsi="宋体"/>
                <w:b/>
                <w:color w:val="auto"/>
                <w:sz w:val="20"/>
                <w:szCs w:val="20"/>
              </w:rPr>
            </w:pPr>
            <w:r>
              <w:rPr>
                <w:rFonts w:ascii="宋体" w:hAnsi="宋体" w:hint="eastAsia"/>
                <w:b/>
                <w:color w:val="auto"/>
                <w:sz w:val="20"/>
                <w:szCs w:val="20"/>
              </w:rPr>
              <w:t>二级类</w:t>
            </w:r>
          </w:p>
        </w:tc>
        <w:tc>
          <w:tcPr>
            <w:tcW w:w="1808" w:type="dxa"/>
            <w:tcBorders>
              <w:top w:val="single" w:sz="4" w:space="0" w:color="auto"/>
              <w:left w:val="single" w:sz="4" w:space="0" w:color="auto"/>
              <w:bottom w:val="single" w:sz="4" w:space="0" w:color="auto"/>
              <w:right w:val="single" w:sz="4" w:space="0" w:color="auto"/>
            </w:tcBorders>
            <w:noWrap/>
            <w:vAlign w:val="center"/>
          </w:tcPr>
          <w:p>
            <w:pPr>
              <w:jc w:val="center"/>
              <w:rPr>
                <w:rFonts w:ascii="宋体" w:hAnsi="宋体"/>
                <w:b/>
                <w:color w:val="auto"/>
                <w:sz w:val="20"/>
                <w:szCs w:val="20"/>
              </w:rPr>
            </w:pPr>
            <w:r>
              <w:rPr>
                <w:rFonts w:ascii="宋体" w:hAnsi="宋体" w:hint="eastAsia"/>
                <w:b/>
                <w:color w:val="auto"/>
                <w:sz w:val="20"/>
                <w:szCs w:val="20"/>
              </w:rPr>
              <w:t>三级类</w:t>
            </w:r>
          </w:p>
        </w:tc>
        <w:tc>
          <w:tcPr>
            <w:tcW w:w="1900" w:type="dxa"/>
            <w:tcBorders>
              <w:top w:val="single" w:sz="4" w:space="0" w:color="auto"/>
              <w:left w:val="single" w:sz="4" w:space="0" w:color="auto"/>
              <w:bottom w:val="single" w:sz="4" w:space="0" w:color="auto"/>
              <w:right w:val="single" w:sz="4" w:space="0" w:color="auto"/>
            </w:tcBorders>
            <w:noWrap/>
            <w:vAlign w:val="center"/>
          </w:tcPr>
          <w:p>
            <w:pPr>
              <w:jc w:val="center"/>
              <w:rPr>
                <w:rFonts w:ascii="宋体" w:hAnsi="宋体"/>
                <w:b/>
                <w:color w:val="auto"/>
                <w:sz w:val="20"/>
                <w:szCs w:val="20"/>
              </w:rPr>
            </w:pPr>
            <w:r>
              <w:rPr>
                <w:rFonts w:ascii="宋体" w:hAnsi="宋体" w:hint="eastAsia"/>
                <w:b/>
                <w:color w:val="auto"/>
                <w:sz w:val="20"/>
                <w:szCs w:val="20"/>
              </w:rPr>
              <w:t>二级类</w:t>
            </w:r>
          </w:p>
        </w:tc>
        <w:tc>
          <w:tcPr>
            <w:tcW w:w="1429" w:type="dxa"/>
            <w:tcBorders>
              <w:top w:val="single" w:sz="4" w:space="0" w:color="auto"/>
              <w:left w:val="single" w:sz="4" w:space="0" w:color="auto"/>
              <w:bottom w:val="single" w:sz="4" w:space="0" w:color="auto"/>
              <w:right w:val="single" w:sz="4" w:space="0" w:color="auto"/>
            </w:tcBorders>
            <w:noWrap/>
            <w:vAlign w:val="center"/>
          </w:tcPr>
          <w:p>
            <w:pPr>
              <w:jc w:val="center"/>
              <w:rPr>
                <w:rFonts w:ascii="宋体" w:hAnsi="宋体"/>
                <w:b/>
                <w:color w:val="auto"/>
                <w:sz w:val="20"/>
                <w:szCs w:val="20"/>
              </w:rPr>
            </w:pPr>
            <w:r>
              <w:rPr>
                <w:rFonts w:ascii="宋体" w:hAnsi="宋体" w:hint="eastAsia"/>
                <w:b/>
                <w:color w:val="auto"/>
                <w:sz w:val="20"/>
                <w:szCs w:val="20"/>
              </w:rPr>
              <w:t>一级类</w:t>
            </w:r>
          </w:p>
        </w:tc>
      </w:tr>
      <w:tr>
        <w:trPr>
          <w:cantSplit/>
          <w:trHeight w:val="351"/>
        </w:trPr>
        <w:tc>
          <w:tcPr>
            <w:tcW w:w="760"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pPr>
              <w:jc w:val="center"/>
              <w:rPr>
                <w:rFonts w:ascii="Times New Roman" w:eastAsia="宋体" w:cs="Times New Roman" w:hAnsi="Times New Roman"/>
                <w:b/>
                <w:color w:val="auto"/>
                <w:sz w:val="20"/>
                <w:szCs w:val="20"/>
                <w:lang w:val="en-US" w:eastAsia="zh-CN"/>
              </w:rPr>
            </w:pPr>
            <w:r>
              <w:rPr>
                <w:rFonts w:ascii="Times New Roman" w:cs="Times New Roman" w:hAnsi="Times New Roman" w:hint="eastAsia"/>
                <w:b/>
                <w:color w:val="auto"/>
                <w:sz w:val="20"/>
                <w:szCs w:val="20"/>
                <w:lang w:val="en-US" w:eastAsia="zh-CN"/>
              </w:rPr>
              <w:t>08</w:t>
            </w:r>
          </w:p>
        </w:tc>
        <w:tc>
          <w:tcPr>
            <w:tcW w:w="1072"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pPr>
              <w:jc w:val="center"/>
              <w:rPr>
                <w:rFonts w:ascii="Times New Roman" w:cs="Times New Roman" w:hAnsi="Times New Roman"/>
                <w:b/>
                <w:color w:val="auto"/>
                <w:sz w:val="20"/>
                <w:szCs w:val="20"/>
              </w:rPr>
            </w:pPr>
            <w:r>
              <w:rPr>
                <w:rFonts w:ascii="Times New Roman" w:cs="Times New Roman" w:hAnsi="Times New Roman"/>
                <w:b/>
                <w:color w:val="auto"/>
                <w:sz w:val="20"/>
                <w:szCs w:val="20"/>
              </w:rPr>
              <w:t>公共管</w:t>
            </w:r>
          </w:p>
          <w:p>
            <w:pPr>
              <w:jc w:val="center"/>
              <w:rPr>
                <w:rFonts w:ascii="Times New Roman" w:cs="Times New Roman" w:hAnsi="Times New Roman"/>
                <w:b/>
                <w:color w:val="auto"/>
                <w:sz w:val="20"/>
                <w:szCs w:val="20"/>
              </w:rPr>
            </w:pPr>
            <w:r>
              <w:rPr>
                <w:rFonts w:ascii="Times New Roman" w:cs="Times New Roman" w:hAnsi="Times New Roman"/>
                <w:b/>
                <w:color w:val="auto"/>
                <w:sz w:val="20"/>
                <w:szCs w:val="20"/>
              </w:rPr>
              <w:t>理与公</w:t>
            </w:r>
          </w:p>
          <w:p>
            <w:pPr>
              <w:jc w:val="center"/>
              <w:rPr>
                <w:rFonts w:ascii="Times New Roman" w:cs="Times New Roman" w:hAnsi="Times New Roman"/>
                <w:b/>
                <w:color w:val="auto"/>
                <w:sz w:val="20"/>
                <w:szCs w:val="20"/>
              </w:rPr>
            </w:pPr>
            <w:r>
              <w:rPr>
                <w:rFonts w:ascii="Times New Roman" w:cs="Times New Roman" w:hAnsi="Times New Roman"/>
                <w:b/>
                <w:color w:val="auto"/>
                <w:sz w:val="20"/>
                <w:szCs w:val="20"/>
              </w:rPr>
              <w:t>共服务</w:t>
            </w:r>
          </w:p>
          <w:p>
            <w:pPr>
              <w:jc w:val="center"/>
              <w:rPr>
                <w:rFonts w:ascii="Times New Roman" w:cs="Times New Roman" w:hAnsi="Times New Roman"/>
                <w:b/>
                <w:color w:val="auto"/>
                <w:sz w:val="20"/>
                <w:szCs w:val="20"/>
                <w:u w:val="single"/>
              </w:rPr>
            </w:pPr>
            <w:r>
              <w:rPr>
                <w:rFonts w:ascii="Times New Roman" w:cs="Times New Roman" w:hAnsi="Times New Roman"/>
                <w:b/>
                <w:color w:val="auto"/>
                <w:sz w:val="20"/>
                <w:szCs w:val="20"/>
              </w:rPr>
              <w:t>用  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pPr>
              <w:jc w:val="center"/>
              <w:rPr>
                <w:rFonts w:ascii="Times New Roman" w:cs="Times New Roman" w:hAnsi="Times New Roman"/>
                <w:color w:val="auto"/>
                <w:sz w:val="20"/>
                <w:szCs w:val="20"/>
              </w:rPr>
            </w:pPr>
            <w:r>
              <w:rPr>
                <w:rFonts w:ascii="Times New Roman" w:cs="Times New Roman" w:hAnsi="Times New Roman"/>
                <w:color w:val="auto"/>
                <w:sz w:val="20"/>
                <w:szCs w:val="20"/>
              </w:rPr>
              <w:t>0809</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公用设施用地</w:t>
            </w: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w:t>
            </w:r>
            <w:r>
              <w:rPr>
                <w:rFonts w:ascii="Times New Roman" w:cs="Times New Roman" w:hAnsi="Times New Roman"/>
                <w:color w:val="auto"/>
                <w:sz w:val="20"/>
                <w:szCs w:val="20"/>
              </w:rPr>
              <w:t>01供水用地</w:t>
            </w:r>
          </w:p>
        </w:tc>
        <w:tc>
          <w:tcPr>
            <w:tcW w:w="1429" w:type="dxa"/>
            <w:vMerge w:val="restart"/>
            <w:tcBorders>
              <w:top w:val="single" w:sz="4" w:space="0" w:color="auto"/>
              <w:left w:val="single" w:sz="4" w:space="0" w:color="auto"/>
              <w:bottom w:val="single" w:sz="4" w:space="0" w:color="auto"/>
              <w:right w:val="single" w:sz="4" w:space="0" w:color="auto"/>
            </w:tcBorders>
            <w:noWrap/>
            <w:vAlign w:val="center"/>
          </w:tcPr>
          <w:p>
            <w:pPr>
              <w:jc w:val="left"/>
              <w:rPr>
                <w:rFonts w:ascii="Times New Roman" w:cs="Times New Roman" w:hAnsi="Times New Roman"/>
                <w:color w:val="auto"/>
                <w:sz w:val="20"/>
                <w:szCs w:val="20"/>
              </w:rPr>
            </w:pPr>
            <w:r>
              <w:rPr>
                <w:rFonts w:ascii="Times New Roman" w:cs="Times New Roman" w:hAnsi="Times New Roman"/>
                <w:b/>
                <w:color w:val="auto"/>
                <w:sz w:val="20"/>
                <w:szCs w:val="20"/>
              </w:rPr>
              <w:t>13公用设施用地</w:t>
            </w:r>
          </w:p>
        </w:tc>
      </w:tr>
      <w:tr>
        <w:trPr>
          <w:cantSplit/>
          <w:trHeight w:val="285"/>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kern w:val="0"/>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w:t>
            </w:r>
            <w:r>
              <w:rPr>
                <w:rFonts w:ascii="Times New Roman" w:cs="Times New Roman" w:hAnsi="Times New Roman"/>
                <w:color w:val="auto"/>
                <w:sz w:val="20"/>
                <w:szCs w:val="20"/>
              </w:rPr>
              <w:t>02排水用地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r>
        <w:trPr>
          <w:cantSplit/>
          <w:trHeight w:val="233"/>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kern w:val="0"/>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w:t>
            </w:r>
            <w:r>
              <w:rPr>
                <w:rFonts w:ascii="Times New Roman" w:cs="Times New Roman" w:hAnsi="Times New Roman"/>
                <w:color w:val="auto"/>
                <w:sz w:val="20"/>
                <w:szCs w:val="20"/>
              </w:rPr>
              <w:t>03供电用地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r>
        <w:trPr>
          <w:cantSplit/>
          <w:trHeight w:val="209"/>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w:t>
            </w:r>
            <w:r>
              <w:rPr>
                <w:rFonts w:ascii="Times New Roman" w:cs="Times New Roman" w:hAnsi="Times New Roman"/>
                <w:color w:val="auto"/>
                <w:sz w:val="20"/>
                <w:szCs w:val="20"/>
              </w:rPr>
              <w:t>04供燃气用地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r>
        <w:trPr>
          <w:cantSplit/>
          <w:trHeight w:val="171"/>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w:t>
            </w:r>
            <w:r>
              <w:rPr>
                <w:rFonts w:ascii="Times New Roman" w:cs="Times New Roman" w:hAnsi="Times New Roman"/>
                <w:color w:val="auto"/>
                <w:sz w:val="20"/>
                <w:szCs w:val="20"/>
              </w:rPr>
              <w:t>05供热用地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r>
        <w:trPr>
          <w:cantSplit/>
          <w:trHeight w:val="261"/>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kern w:val="0"/>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w:t>
            </w:r>
            <w:r>
              <w:rPr>
                <w:rFonts w:ascii="Times New Roman" w:cs="Times New Roman" w:hAnsi="Times New Roman"/>
                <w:color w:val="auto"/>
                <w:sz w:val="20"/>
                <w:szCs w:val="20"/>
              </w:rPr>
              <w:t>06通信用地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r>
        <w:trPr>
          <w:cantSplit/>
          <w:trHeight w:val="261"/>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kern w:val="0"/>
                <w:sz w:val="20"/>
                <w:szCs w:val="20"/>
              </w:rPr>
            </w:pP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307邮政用地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r>
        <w:trPr>
          <w:cantSplit/>
          <w:trHeight w:val="186"/>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kern w:val="0"/>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308广播电视设施用地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r>
        <w:trPr>
          <w:cantSplit/>
          <w:trHeight w:val="186"/>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w:t>
            </w:r>
            <w:r>
              <w:rPr>
                <w:rFonts w:ascii="Times New Roman" w:cs="Times New Roman" w:hAnsi="Times New Roman"/>
                <w:color w:val="auto"/>
                <w:sz w:val="20"/>
                <w:szCs w:val="20"/>
              </w:rPr>
              <w:t>0</w:t>
            </w:r>
            <w:r>
              <w:rPr>
                <w:rFonts w:ascii="Times New Roman" w:cs="Times New Roman" w:hAnsi="Times New Roman"/>
                <w:color w:val="auto"/>
                <w:sz w:val="20"/>
                <w:szCs w:val="20"/>
              </w:rPr>
              <w:t>9</w:t>
            </w:r>
            <w:r>
              <w:rPr>
                <w:rFonts w:ascii="Times New Roman" w:cs="Times New Roman" w:hAnsi="Times New Roman"/>
                <w:color w:val="auto"/>
                <w:sz w:val="20"/>
                <w:szCs w:val="20"/>
              </w:rPr>
              <w:t>环卫用地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r>
        <w:trPr>
          <w:cantSplit/>
          <w:trHeight w:val="161"/>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w:t>
            </w:r>
            <w:r>
              <w:rPr>
                <w:rFonts w:ascii="Times New Roman" w:cs="Times New Roman" w:hAnsi="Times New Roman"/>
                <w:color w:val="auto"/>
                <w:sz w:val="20"/>
                <w:szCs w:val="20"/>
              </w:rPr>
              <w:t>310</w:t>
            </w:r>
            <w:r>
              <w:rPr>
                <w:rFonts w:ascii="Times New Roman" w:cs="Times New Roman" w:hAnsi="Times New Roman"/>
                <w:color w:val="auto"/>
                <w:sz w:val="20"/>
                <w:szCs w:val="20"/>
              </w:rPr>
              <w:t>消防用地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r>
        <w:trPr>
          <w:cantSplit/>
          <w:trHeight w:val="49"/>
        </w:trPr>
        <w:tc>
          <w:tcPr>
            <w:tcW w:w="760"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072"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709"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417" w:type="dxa"/>
            <w:vMerge/>
            <w:tcBorders>
              <w:top w:val="single" w:sz="4" w:space="0" w:color="auto"/>
              <w:left w:val="single" w:sz="4" w:space="0" w:color="auto"/>
              <w:bottom w:val="single" w:sz="4" w:space="0" w:color="auto"/>
              <w:right w:val="single" w:sz="4" w:space="0" w:color="auto"/>
            </w:tcBorders>
            <w:shd w:val="clear" w:color="auto" w:fill="D9D9D9"/>
            <w:noWrap/>
            <w:vAlign w:val="center"/>
          </w:tcPr>
          <w:p/>
        </w:tc>
        <w:tc>
          <w:tcPr>
            <w:tcW w:w="1808"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b/>
                <w:color w:val="auto"/>
                <w:sz w:val="20"/>
                <w:szCs w:val="20"/>
              </w:rPr>
            </w:pPr>
            <w:r>
              <w:rPr>
                <w:rFonts w:ascii="Times New Roman" w:cs="Times New Roman" w:hAnsi="Times New Roman"/>
                <w:b/>
                <w:color w:val="auto"/>
                <w:sz w:val="20"/>
                <w:szCs w:val="20"/>
              </w:rPr>
              <w:t>——</w:t>
            </w:r>
          </w:p>
        </w:tc>
        <w:tc>
          <w:tcPr>
            <w:tcW w:w="1900" w:type="dxa"/>
            <w:tcBorders>
              <w:top w:val="single" w:sz="4" w:space="0" w:color="auto"/>
              <w:left w:val="single" w:sz="4" w:space="0" w:color="auto"/>
              <w:bottom w:val="single" w:sz="4" w:space="0" w:color="auto"/>
              <w:right w:val="single" w:sz="4" w:space="0" w:color="auto"/>
            </w:tcBorders>
            <w:noWrap/>
            <w:vAlign w:val="center"/>
          </w:tcPr>
          <w:p>
            <w:pPr>
              <w:rPr>
                <w:rFonts w:ascii="Times New Roman" w:cs="Times New Roman" w:hAnsi="Times New Roman"/>
                <w:color w:val="auto"/>
                <w:sz w:val="20"/>
                <w:szCs w:val="20"/>
              </w:rPr>
            </w:pPr>
            <w:r>
              <w:rPr>
                <w:rFonts w:ascii="Times New Roman" w:cs="Times New Roman" w:hAnsi="Times New Roman"/>
                <w:color w:val="auto"/>
                <w:sz w:val="20"/>
                <w:szCs w:val="20"/>
              </w:rPr>
              <w:t>131</w:t>
            </w:r>
            <w:r>
              <w:rPr>
                <w:rFonts w:ascii="Times New Roman" w:cs="Times New Roman" w:hAnsi="Times New Roman"/>
                <w:color w:val="auto"/>
                <w:sz w:val="20"/>
                <w:szCs w:val="20"/>
                <w:lang w:val="en-US" w:eastAsia="zh-CN"/>
              </w:rPr>
              <w:t>2</w:t>
            </w:r>
            <w:r>
              <w:rPr>
                <w:rFonts w:ascii="Times New Roman" w:cs="Times New Roman" w:hAnsi="Times New Roman"/>
                <w:color w:val="auto"/>
                <w:sz w:val="20"/>
                <w:szCs w:val="20"/>
              </w:rPr>
              <w:t>其他公用设施用地</w:t>
            </w:r>
          </w:p>
        </w:tc>
        <w:tc>
          <w:tcPr>
            <w:tcW w:w="1429" w:type="dxa"/>
            <w:vMerge/>
            <w:tcBorders>
              <w:top w:val="single" w:sz="4" w:space="0" w:color="auto"/>
              <w:left w:val="single" w:sz="4" w:space="0" w:color="auto"/>
              <w:bottom w:val="single" w:sz="4" w:space="0" w:color="auto"/>
              <w:right w:val="single" w:sz="4" w:space="0" w:color="auto"/>
            </w:tcBorders>
            <w:noWrap/>
            <w:vAlign w:val="center"/>
          </w:tcPr>
          <w:p/>
        </w:tc>
      </w:tr>
    </w:tbl>
    <w:p>
      <w:pPr>
        <w:widowControl/>
        <w:spacing w:before="4" w:line="360" w:lineRule="auto"/>
        <w:ind w:right="351" w:firstLineChars="200" w:firstLine="420"/>
        <w:jc w:val="left"/>
        <w:rPr>
          <w:rFonts w:eastAsia="宋体" w:hint="eastAsia"/>
          <w:color w:val="auto"/>
          <w:kern w:val="0"/>
          <w:sz w:val="28"/>
          <w:szCs w:val="28"/>
          <w:lang w:val="en-US" w:eastAsia="zh-CN"/>
        </w:rPr>
      </w:pPr>
      <w:r>
        <w:rPr>
          <w:rFonts w:eastAsia="宋体" w:hint="eastAsia"/>
          <w:color w:val="auto"/>
          <w:lang w:eastAsia="zh-CN"/>
        </w:rPr>
        <w:t>注：在第三次全国国土调查工作分类中公用设施用地对应的用地分类代码为“</w:t>
      </w:r>
      <w:r>
        <w:rPr>
          <w:rFonts w:eastAsia="宋体" w:hint="eastAsia"/>
          <w:color w:val="auto"/>
          <w:lang w:val="en-US" w:eastAsia="zh-CN"/>
        </w:rPr>
        <w:t>0809</w:t>
      </w:r>
      <w:r>
        <w:rPr>
          <w:rFonts w:eastAsia="宋体" w:hint="eastAsia"/>
          <w:color w:val="auto"/>
          <w:lang w:eastAsia="zh-CN"/>
        </w:rPr>
        <w:t>”，在《国土空间调查、规划、用途管制用地用海分类指南》（</w:t>
      </w:r>
      <w:r>
        <w:rPr>
          <w:rFonts w:eastAsia="宋体" w:hint="eastAsia"/>
          <w:color w:val="auto"/>
          <w:lang w:val="en-US" w:eastAsia="zh-CN"/>
        </w:rPr>
        <w:t>2023版</w:t>
      </w:r>
      <w:r>
        <w:rPr>
          <w:rFonts w:eastAsia="宋体" w:hint="eastAsia"/>
          <w:color w:val="auto"/>
          <w:lang w:eastAsia="zh-CN"/>
        </w:rPr>
        <w:t>）中公用设施用地对应的二级类代码为“</w:t>
      </w:r>
      <w:r>
        <w:rPr>
          <w:rFonts w:eastAsia="宋体" w:hint="eastAsia"/>
          <w:color w:val="auto"/>
          <w:lang w:val="en-US" w:eastAsia="zh-CN"/>
        </w:rPr>
        <w:t>1303</w:t>
      </w:r>
      <w:r>
        <w:rPr>
          <w:rFonts w:eastAsia="宋体" w:hint="eastAsia"/>
          <w:color w:val="auto"/>
          <w:lang w:eastAsia="zh-CN"/>
        </w:rPr>
        <w:t>”供电用地。</w:t>
      </w:r>
    </w:p>
    <w:p>
      <w:pPr>
        <w:rPr>
          <w:color w:val="auto"/>
        </w:rPr>
      </w:pPr>
      <w:r>
        <w:rPr>
          <w:color w:val="auto"/>
        </w:rPr>
        <w:drawing>
          <wp:inline distT="0" distB="0" distL="114300" distR="114300">
            <wp:extent cx="2587625" cy="1732279"/>
            <wp:effectExtent l="0" t="0" r="8" b="6"/>
            <wp:docPr id="22" name="图片 1"/>
            <wp:cNvGraphicFramePr>
              <a:graphicFrameLocks noChangeAspect="1"/>
            </wp:cNvGraphicFramePr>
            <a:graphic>
              <a:graphicData uri="http://schemas.openxmlformats.org/drawingml/2006/picture">
                <pic:pic>
                  <pic:nvPicPr>
                    <pic:cNvPr id="24" name="图片 1 24"/>
                    <pic:cNvPicPr/>
                  </pic:nvPicPr>
                  <pic:blipFill>
                    <a:blip r:embed="rId10"/>
                    <a:stretch>
                      <a:fillRect/>
                    </a:stretch>
                  </pic:blipFill>
                  <pic:spPr>
                    <a:xfrm rot="0">
                      <a:off x="0" y="0"/>
                      <a:ext cx="2587625" cy="1732279"/>
                    </a:xfrm>
                    <a:prstGeom prst="rect"/>
                    <a:noFill/>
                    <a:ln w="9525" cmpd="sng" cap="flat">
                      <a:noFill/>
                      <a:prstDash val="solid"/>
                      <a:round/>
                    </a:ln>
                  </pic:spPr>
                </pic:pic>
              </a:graphicData>
            </a:graphic>
          </wp:inline>
        </w:drawing>
      </w:r>
      <w:r>
        <w:rPr>
          <w:rFonts w:hint="eastAsia"/>
          <w:color w:val="auto"/>
          <w:lang w:val="en-US" w:eastAsia="zh-CN"/>
        </w:rPr>
        <w:t xml:space="preserve"> </w:t>
      </w:r>
      <w:r>
        <w:rPr>
          <w:color w:val="auto"/>
        </w:rPr>
        <w:drawing>
          <wp:inline distT="0" distB="0" distL="114300" distR="114300">
            <wp:extent cx="2602864" cy="1728470"/>
            <wp:effectExtent l="0" t="0" r="7" b="5"/>
            <wp:docPr id="25" name="图片 3"/>
            <wp:cNvGraphicFramePr>
              <a:graphicFrameLocks noChangeAspect="1"/>
            </wp:cNvGraphicFramePr>
            <a:graphic>
              <a:graphicData uri="http://schemas.openxmlformats.org/drawingml/2006/picture">
                <pic:pic>
                  <pic:nvPicPr>
                    <pic:cNvPr id="27" name="图片 3 27"/>
                    <pic:cNvPicPr/>
                  </pic:nvPicPr>
                  <pic:blipFill>
                    <a:blip r:embed="rId11"/>
                    <a:stretch>
                      <a:fillRect/>
                    </a:stretch>
                  </pic:blipFill>
                  <pic:spPr>
                    <a:xfrm rot="0">
                      <a:off x="0" y="0"/>
                      <a:ext cx="2602864" cy="1728470"/>
                    </a:xfrm>
                    <a:prstGeom prst="rect"/>
                    <a:noFill/>
                    <a:ln w="9525" cmpd="sng" cap="flat">
                      <a:noFill/>
                      <a:prstDash val="solid"/>
                      <a:round/>
                    </a:ln>
                  </pic:spPr>
                </pic:pic>
              </a:graphicData>
            </a:graphic>
          </wp:inline>
        </w:drawing>
      </w:r>
    </w:p>
    <w:p>
      <w:pPr>
        <w:pStyle w:val="15"/>
        <w:rPr>
          <w:rFonts w:hint="eastAsia"/>
          <w:color w:val="auto"/>
          <w:lang w:val="en-US"/>
        </w:rPr>
      </w:pPr>
      <w:r>
        <w:rPr>
          <w:color w:val="auto"/>
        </w:rPr>
        <w:drawing>
          <wp:inline distT="0" distB="0" distL="114300" distR="114300">
            <wp:extent cx="2597150" cy="1741805"/>
            <wp:effectExtent l="0" t="0" r="8" b="5"/>
            <wp:docPr id="28" name="图片 4"/>
            <wp:cNvGraphicFramePr>
              <a:graphicFrameLocks noChangeAspect="1"/>
            </wp:cNvGraphicFramePr>
            <a:graphic>
              <a:graphicData uri="http://schemas.openxmlformats.org/drawingml/2006/picture">
                <pic:pic>
                  <pic:nvPicPr>
                    <pic:cNvPr id="30" name="图片 4 30"/>
                    <pic:cNvPicPr/>
                  </pic:nvPicPr>
                  <pic:blipFill>
                    <a:blip r:embed="rId12"/>
                    <a:stretch>
                      <a:fillRect/>
                    </a:stretch>
                  </pic:blipFill>
                  <pic:spPr>
                    <a:xfrm rot="0">
                      <a:off x="0" y="0"/>
                      <a:ext cx="2597150" cy="1741805"/>
                    </a:xfrm>
                    <a:prstGeom prst="rect"/>
                    <a:noFill/>
                    <a:ln w="9525" cmpd="sng" cap="flat">
                      <a:noFill/>
                      <a:prstDash val="solid"/>
                      <a:round/>
                    </a:ln>
                  </pic:spPr>
                </pic:pic>
              </a:graphicData>
            </a:graphic>
          </wp:inline>
        </w:drawing>
      </w:r>
      <w:r>
        <w:rPr>
          <w:rFonts w:hint="eastAsia"/>
          <w:color w:val="auto"/>
          <w:lang w:val="en-US" w:eastAsia="zh-CN"/>
        </w:rPr>
        <w:t xml:space="preserve"> </w:t>
      </w:r>
      <w:r>
        <w:rPr>
          <w:color w:val="auto"/>
        </w:rPr>
        <w:drawing>
          <wp:inline distT="0" distB="0" distL="114300" distR="114300">
            <wp:extent cx="2559050" cy="1826895"/>
            <wp:effectExtent l="0" t="0" r="7" b="28"/>
            <wp:docPr id="31" name="图片 5"/>
            <wp:cNvGraphicFramePr>
              <a:graphicFrameLocks noChangeAspect="1"/>
            </wp:cNvGraphicFramePr>
            <a:graphic>
              <a:graphicData uri="http://schemas.openxmlformats.org/drawingml/2006/picture">
                <pic:pic>
                  <pic:nvPicPr>
                    <pic:cNvPr id="33" name="图片 5 33"/>
                    <pic:cNvPicPr/>
                  </pic:nvPicPr>
                  <pic:blipFill>
                    <a:blip r:embed="rId13"/>
                    <a:stretch>
                      <a:fillRect/>
                    </a:stretch>
                  </pic:blipFill>
                  <pic:spPr>
                    <a:xfrm rot="0">
                      <a:off x="0" y="0"/>
                      <a:ext cx="2559050" cy="1826895"/>
                    </a:xfrm>
                    <a:prstGeom prst="rect"/>
                    <a:noFill/>
                    <a:ln w="9525" cmpd="sng" cap="flat">
                      <a:noFill/>
                      <a:prstDash val="solid"/>
                      <a:round/>
                    </a:ln>
                  </pic:spPr>
                </pic:pic>
              </a:graphicData>
            </a:graphic>
          </wp:inline>
        </w:drawing>
      </w:r>
    </w:p>
    <w:p>
      <w:pPr>
        <w:pStyle w:val="18"/>
        <w:autoSpaceDE w:val="0"/>
        <w:autoSpaceDN w:val="0"/>
        <w:spacing w:before="4" w:line="360" w:lineRule="auto"/>
        <w:ind w:right="351"/>
        <w:jc w:val="center"/>
        <w:rPr>
          <w:rFonts w:hint="eastAsia"/>
          <w:b/>
          <w:bCs/>
          <w:color w:val="auto"/>
          <w:lang w:val="en-US" w:eastAsia="zh-CN"/>
        </w:rPr>
      </w:pPr>
      <w:r>
        <w:rPr>
          <w:rFonts w:hint="eastAsia"/>
          <w:b/>
          <w:bCs/>
          <w:color w:val="auto"/>
          <w:lang w:val="en-US" w:eastAsia="zh-CN"/>
        </w:rPr>
        <w:t>现状部分风电机组地块及周边环境</w:t>
      </w:r>
      <w:r>
        <w:rPr>
          <w:rFonts w:hint="eastAsia"/>
          <w:b/>
          <w:bCs/>
          <w:color w:val="auto"/>
          <w:lang w:val="en-US"/>
        </w:rPr>
        <w:t>航拍</w:t>
      </w:r>
      <w:r>
        <w:rPr>
          <w:rFonts w:hint="eastAsia"/>
          <w:b/>
          <w:bCs/>
          <w:color w:val="auto"/>
          <w:lang w:val="en-US" w:eastAsia="zh-CN"/>
        </w:rPr>
        <w:t>图</w:t>
      </w:r>
    </w:p>
    <w:p>
      <w:pPr>
        <w:pStyle w:val="18"/>
        <w:spacing w:line="420" w:lineRule="auto"/>
        <w:ind w:firstLine="0"/>
        <w:rPr>
          <w:rFonts w:ascii="宋体" w:eastAsia="宋体" w:cs="宋体" w:hAnsi="宋体"/>
          <w:color w:val="auto"/>
          <w:kern w:val="0"/>
          <w:sz w:val="24"/>
        </w:rPr>
      </w:pPr>
      <w:r>
        <w:rPr>
          <w:rFonts w:eastAsia="宋体" w:hint="eastAsia"/>
          <w:color w:val="auto"/>
          <w:kern w:val="0"/>
          <w:sz w:val="28"/>
          <w:szCs w:val="28"/>
          <w:lang w:val="en-US" w:eastAsia="zh-CN"/>
        </w:rPr>
        <w:drawing>
          <wp:inline distT="0" distB="0" distL="114300" distR="114300">
            <wp:extent cx="5270499" cy="3524250"/>
            <wp:effectExtent l="0" t="0" r="16" b="41"/>
            <wp:docPr id="34" name="图片 27" descr="90856fa4-4f49-43fb-9d65-8923e66a7963"/>
            <wp:cNvGraphicFramePr>
              <a:graphicFrameLocks noChangeAspect="1"/>
            </wp:cNvGraphicFramePr>
            <a:graphic>
              <a:graphicData uri="http://schemas.openxmlformats.org/drawingml/2006/picture">
                <pic:pic>
                  <pic:nvPicPr>
                    <pic:cNvPr id="36" name="图片 27 36"/>
                    <pic:cNvPicPr/>
                  </pic:nvPicPr>
                  <pic:blipFill>
                    <a:blip r:embed="rId14"/>
                    <a:stretch>
                      <a:fillRect/>
                    </a:stretch>
                  </pic:blipFill>
                  <pic:spPr>
                    <a:xfrm rot="0">
                      <a:off x="0" y="0"/>
                      <a:ext cx="5270499" cy="3524250"/>
                    </a:xfrm>
                    <a:prstGeom prst="rect"/>
                    <a:noFill/>
                    <a:ln w="9525" cmpd="sng" cap="flat">
                      <a:noFill/>
                      <a:prstDash val="solid"/>
                      <a:miter/>
                    </a:ln>
                  </pic:spPr>
                </pic:pic>
              </a:graphicData>
            </a:graphic>
          </wp:inline>
        </w:drawing>
      </w:r>
    </w:p>
    <w:p>
      <w:pPr>
        <w:pStyle w:val="18"/>
        <w:autoSpaceDE w:val="0"/>
        <w:autoSpaceDN w:val="0"/>
        <w:spacing w:before="4" w:line="360" w:lineRule="auto"/>
        <w:ind w:right="351"/>
        <w:jc w:val="center"/>
        <w:rPr>
          <w:color w:val="auto"/>
          <w:lang w:val="en-US"/>
        </w:rPr>
      </w:pPr>
      <w:r>
        <w:rPr>
          <w:rFonts w:hint="eastAsia"/>
          <w:b/>
          <w:bCs/>
          <w:color w:val="auto"/>
          <w:lang w:val="en-US" w:eastAsia="zh-CN"/>
        </w:rPr>
        <w:t>现状升压站地块及周边环境</w:t>
      </w:r>
      <w:r>
        <w:rPr>
          <w:rFonts w:hint="eastAsia"/>
          <w:b/>
          <w:bCs/>
          <w:color w:val="auto"/>
          <w:lang w:val="en-US"/>
        </w:rPr>
        <w:t>航拍</w:t>
      </w:r>
      <w:r>
        <w:rPr>
          <w:rFonts w:hint="eastAsia"/>
          <w:b/>
          <w:bCs/>
          <w:color w:val="auto"/>
          <w:lang w:val="en-US" w:eastAsia="zh-CN"/>
        </w:rPr>
        <w:t>图</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38" w:name="_Toc23824"/>
      <w:r>
        <w:rPr>
          <w:rFonts w:ascii="宋体" w:eastAsia="宋体" w:cs="宋体" w:hAnsi="宋体" w:hint="eastAsia"/>
          <w:bCs/>
          <w:color w:val="auto"/>
          <w:sz w:val="32"/>
          <w:szCs w:val="32"/>
          <w:lang w:val="en-US" w:eastAsia="zh-CN"/>
        </w:rPr>
        <w:t>2.4周边区域情况</w:t>
      </w:r>
      <w:bookmarkEnd w:id="38"/>
    </w:p>
    <w:p>
      <w:pPr>
        <w:widowControl/>
        <w:spacing w:before="4" w:line="360" w:lineRule="auto"/>
        <w:ind w:left="118" w:right="351" w:firstLineChars="200" w:firstLine="560"/>
        <w:jc w:val="left"/>
        <w:rPr>
          <w:rFonts w:hint="eastAsia"/>
          <w:color w:val="auto"/>
          <w:kern w:val="0"/>
          <w:sz w:val="28"/>
          <w:szCs w:val="28"/>
          <w:lang w:val="en-US" w:eastAsia="zh-CN"/>
        </w:rPr>
      </w:pPr>
      <w:r>
        <w:rPr>
          <w:rFonts w:ascii="宋体" w:eastAsia="宋体" w:cs="宋体" w:hAnsi="宋体" w:hint="eastAsia"/>
          <w:color w:val="auto"/>
          <w:kern w:val="0"/>
          <w:sz w:val="28"/>
          <w:szCs w:val="28"/>
          <w:lang w:eastAsia="zh-CN"/>
        </w:rPr>
        <w:t>钦北区古道岭风电场一期工程项目用地</w:t>
      </w:r>
      <w:r>
        <w:rPr>
          <w:rFonts w:ascii="宋体" w:eastAsia="宋体" w:cs="宋体" w:hAnsi="宋体" w:hint="eastAsia"/>
          <w:color w:val="auto"/>
          <w:kern w:val="0"/>
          <w:sz w:val="28"/>
          <w:szCs w:val="28"/>
        </w:rPr>
        <w:t>周边主要为钦北区</w:t>
      </w:r>
      <w:r>
        <w:rPr>
          <w:rFonts w:ascii="宋体" w:eastAsia="宋体" w:cs="宋体" w:hAnsi="宋体" w:hint="eastAsia"/>
          <w:color w:val="auto"/>
          <w:kern w:val="0"/>
          <w:sz w:val="28"/>
          <w:szCs w:val="28"/>
          <w:lang w:eastAsia="zh-CN"/>
        </w:rPr>
        <w:t>大垌镇平山村村民委员会，</w:t>
      </w:r>
      <w:r>
        <w:rPr>
          <w:rFonts w:ascii="宋体" w:eastAsia="宋体" w:cs="宋体" w:hAnsi="宋体" w:hint="eastAsia"/>
          <w:color w:val="auto"/>
          <w:kern w:val="0"/>
          <w:sz w:val="28"/>
          <w:szCs w:val="28"/>
        </w:rPr>
        <w:t>小董镇</w:t>
      </w:r>
      <w:r>
        <w:rPr>
          <w:rFonts w:ascii="宋体" w:eastAsia="宋体" w:cs="宋体" w:hAnsi="宋体" w:hint="eastAsia"/>
          <w:color w:val="auto"/>
          <w:kern w:val="0"/>
          <w:sz w:val="28"/>
          <w:szCs w:val="28"/>
          <w:lang w:eastAsia="zh-CN"/>
        </w:rPr>
        <w:t>榃头</w:t>
      </w:r>
      <w:r>
        <w:rPr>
          <w:rFonts w:ascii="宋体" w:eastAsia="宋体" w:cs="宋体" w:hAnsi="宋体" w:hint="eastAsia"/>
          <w:color w:val="auto"/>
          <w:kern w:val="0"/>
          <w:sz w:val="28"/>
          <w:szCs w:val="28"/>
        </w:rPr>
        <w:t>村</w:t>
      </w:r>
      <w:r>
        <w:rPr>
          <w:rFonts w:ascii="宋体" w:eastAsia="宋体" w:cs="宋体" w:hAnsi="宋体" w:hint="eastAsia"/>
          <w:color w:val="auto"/>
          <w:kern w:val="0"/>
          <w:sz w:val="28"/>
          <w:szCs w:val="28"/>
          <w:lang w:eastAsia="zh-CN"/>
        </w:rPr>
        <w:t>、那学</w:t>
      </w:r>
      <w:r>
        <w:rPr>
          <w:rFonts w:ascii="宋体" w:eastAsia="宋体" w:cs="宋体" w:hAnsi="宋体" w:hint="eastAsia"/>
          <w:color w:val="auto"/>
          <w:kern w:val="0"/>
          <w:sz w:val="28"/>
          <w:szCs w:val="28"/>
        </w:rPr>
        <w:t>村</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那道村村民委员会</w:t>
      </w:r>
      <w:r>
        <w:rPr>
          <w:rFonts w:ascii="宋体" w:eastAsia="宋体" w:cs="宋体" w:hAnsi="宋体" w:hint="eastAsia"/>
          <w:color w:val="auto"/>
          <w:kern w:val="0"/>
          <w:sz w:val="28"/>
          <w:szCs w:val="28"/>
          <w:lang w:eastAsia="zh-CN"/>
        </w:rPr>
        <w:t>，平吉镇贤架村村民委员会的</w:t>
      </w:r>
      <w:r>
        <w:rPr>
          <w:rFonts w:ascii="宋体" w:eastAsia="宋体" w:cs="宋体" w:hAnsi="宋体" w:hint="eastAsia"/>
          <w:color w:val="auto"/>
          <w:kern w:val="0"/>
          <w:sz w:val="28"/>
          <w:szCs w:val="28"/>
        </w:rPr>
        <w:t>集体农用地。山坡自然坡度</w:t>
      </w:r>
      <w:r>
        <w:rPr>
          <w:rFonts w:ascii="宋体" w:eastAsia="宋体" w:cs="宋体" w:hAnsi="宋体" w:hint="eastAsia"/>
          <w:color w:val="auto"/>
          <w:kern w:val="0"/>
          <w:sz w:val="28"/>
          <w:szCs w:val="28"/>
          <w:lang w:eastAsia="zh-CN"/>
        </w:rPr>
        <w:t>约为</w:t>
      </w:r>
      <w:r>
        <w:rPr>
          <w:rFonts w:ascii="宋体" w:eastAsia="宋体" w:cs="宋体" w:hAnsi="宋体" w:hint="eastAsia"/>
          <w:color w:val="auto"/>
          <w:kern w:val="0"/>
          <w:sz w:val="28"/>
          <w:szCs w:val="28"/>
        </w:rPr>
        <w:t>15°～35°不等，局部达40°～50°。</w:t>
      </w:r>
      <w:r>
        <w:rPr>
          <w:rFonts w:ascii="宋体" w:eastAsia="宋体" w:cs="宋体" w:hAnsi="宋体" w:hint="eastAsia"/>
          <w:color w:val="auto"/>
          <w:kern w:val="0"/>
          <w:sz w:val="28"/>
          <w:szCs w:val="28"/>
          <w:lang w:eastAsia="zh-CN"/>
        </w:rPr>
        <w:t>本工程风电机组及升压站用地均基本规划布置于山脊之上。场址周边</w:t>
      </w:r>
      <w:r>
        <w:rPr>
          <w:rFonts w:ascii="宋体" w:eastAsia="宋体" w:cs="宋体" w:hAnsi="宋体" w:hint="eastAsia"/>
          <w:color w:val="auto"/>
          <w:kern w:val="0"/>
          <w:sz w:val="28"/>
          <w:szCs w:val="28"/>
        </w:rPr>
        <w:t>植被较发育，主要为杂树、灌木林</w:t>
      </w:r>
      <w:r>
        <w:rPr>
          <w:rFonts w:ascii="宋体" w:eastAsia="宋体" w:cs="宋体" w:hAnsi="宋体" w:hint="eastAsia"/>
          <w:color w:val="auto"/>
          <w:kern w:val="0"/>
          <w:sz w:val="28"/>
          <w:szCs w:val="28"/>
          <w:lang w:eastAsia="zh-CN"/>
        </w:rPr>
        <w:t>等。</w:t>
      </w:r>
      <w:r>
        <w:rPr>
          <w:rFonts w:ascii="宋体" w:eastAsia="宋体" w:cs="宋体" w:hAnsi="宋体" w:hint="eastAsia"/>
          <w:color w:val="auto"/>
          <w:kern w:val="0"/>
          <w:sz w:val="28"/>
          <w:szCs w:val="28"/>
        </w:rPr>
        <w:t>其中，</w:t>
      </w:r>
      <w:r>
        <w:rPr>
          <w:rFonts w:ascii="宋体" w:eastAsia="宋体" w:cs="宋体" w:hAnsi="宋体" w:hint="eastAsia"/>
          <w:color w:val="auto"/>
          <w:kern w:val="0"/>
          <w:sz w:val="28"/>
          <w:szCs w:val="28"/>
          <w:lang w:eastAsia="zh-CN"/>
        </w:rPr>
        <w:t>升压站地块周边</w:t>
      </w:r>
      <w:r>
        <w:rPr>
          <w:rFonts w:ascii="宋体" w:eastAsia="宋体" w:cs="宋体" w:hAnsi="宋体" w:hint="eastAsia"/>
          <w:color w:val="auto"/>
          <w:kern w:val="0"/>
          <w:sz w:val="28"/>
          <w:szCs w:val="28"/>
        </w:rPr>
        <w:t>大部分为乔木林地，地块的东面和北面有少部分灌木林地及施工临建设施用地，</w:t>
      </w:r>
      <w:r>
        <w:rPr>
          <w:rFonts w:ascii="宋体" w:eastAsia="宋体" w:cs="宋体" w:hAnsi="宋体" w:hint="eastAsia"/>
          <w:color w:val="auto"/>
          <w:kern w:val="0"/>
          <w:sz w:val="28"/>
          <w:szCs w:val="28"/>
          <w:lang w:eastAsia="zh-CN"/>
        </w:rPr>
        <w:t>连接外部交通的主要道路为在现有农村道路基础上扩宽的风电场施工道路</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升压站地块现状取水水源位于用地东南面约</w:t>
      </w:r>
      <w:r>
        <w:rPr>
          <w:rFonts w:ascii="宋体" w:eastAsia="宋体" w:cs="宋体" w:hAnsi="宋体" w:hint="eastAsia"/>
          <w:color w:val="auto"/>
          <w:kern w:val="0"/>
          <w:sz w:val="28"/>
          <w:szCs w:val="28"/>
          <w:lang w:val="en-US" w:eastAsia="zh-CN"/>
        </w:rPr>
        <w:t>400米处的水井。电力、电信等基础设施已接至场区附近。</w:t>
      </w:r>
      <w:r>
        <w:rPr>
          <w:rFonts w:hint="eastAsia"/>
          <w:color w:val="auto"/>
          <w:sz w:val="28"/>
          <w:szCs w:val="28"/>
          <w:lang w:val="en-US" w:eastAsia="zh-CN"/>
        </w:rPr>
        <w:t>周边较集中的居民点与各风电机组及升压站用地的距离均超过600米</w:t>
      </w:r>
      <w:r>
        <w:rPr>
          <w:rFonts w:hint="eastAsia"/>
          <w:color w:val="auto"/>
          <w:kern w:val="0"/>
          <w:sz w:val="28"/>
          <w:szCs w:val="28"/>
          <w:lang w:val="en-US" w:eastAsia="zh-CN"/>
        </w:rPr>
        <w:t>。附近也无其他大型专项设施。</w:t>
      </w:r>
    </w:p>
    <w:p>
      <w:pPr>
        <w:pStyle w:val="18"/>
        <w:rPr>
          <w:rFonts w:ascii="宋体" w:eastAsia="宋体" w:cs="宋体" w:hAnsi="宋体" w:hint="eastAsia"/>
          <w:color w:val="auto"/>
          <w:kern w:val="0"/>
          <w:sz w:val="28"/>
          <w:szCs w:val="28"/>
        </w:rPr>
      </w:pPr>
      <w:r>
        <w:rPr>
          <w:rFonts w:eastAsia="宋体" w:hint="eastAsia"/>
          <w:color w:val="auto"/>
          <w:lang w:eastAsia="zh-CN"/>
        </w:rPr>
        <w:drawing>
          <wp:inline distT="0" distB="0" distL="114300" distR="114300">
            <wp:extent cx="5099050" cy="3881755"/>
            <wp:effectExtent l="0" t="0" r="14" b="4"/>
            <wp:docPr id="37" name="图片 29" descr="55555"/>
            <wp:cNvGraphicFramePr>
              <a:graphicFrameLocks noChangeAspect="1"/>
            </wp:cNvGraphicFramePr>
            <a:graphic>
              <a:graphicData uri="http://schemas.openxmlformats.org/drawingml/2006/picture">
                <pic:pic>
                  <pic:nvPicPr>
                    <pic:cNvPr id="39" name="图片 29 39"/>
                    <pic:cNvPicPr/>
                  </pic:nvPicPr>
                  <pic:blipFill>
                    <a:blip r:embed="rId15"/>
                    <a:stretch>
                      <a:fillRect/>
                    </a:stretch>
                  </pic:blipFill>
                  <pic:spPr>
                    <a:xfrm rot="0">
                      <a:off x="0" y="0"/>
                      <a:ext cx="5099050" cy="3881755"/>
                    </a:xfrm>
                    <a:prstGeom prst="rect"/>
                    <a:noFill/>
                    <a:ln w="9525" cmpd="sng" cap="flat">
                      <a:noFill/>
                      <a:prstDash val="solid"/>
                      <a:miter/>
                    </a:ln>
                  </pic:spPr>
                </pic:pic>
              </a:graphicData>
            </a:graphic>
          </wp:inline>
        </w:drawing>
      </w:r>
    </w:p>
    <w:p>
      <w:pPr>
        <w:widowControl/>
        <w:spacing w:before="4" w:line="360" w:lineRule="auto"/>
        <w:ind w:right="351"/>
        <w:jc w:val="left"/>
        <w:rPr>
          <w:rFonts w:ascii="宋体" w:eastAsia="宋体" w:cs="宋体" w:hAnsi="宋体" w:hint="eastAsia"/>
          <w:color w:val="auto"/>
          <w:kern w:val="0"/>
          <w:sz w:val="28"/>
          <w:szCs w:val="28"/>
        </w:rPr>
      </w:pPr>
      <w:r>
        <w:rPr>
          <w:color w:val="auto"/>
        </w:rPr>
        <w:drawing>
          <wp:inline distT="0" distB="0" distL="114300" distR="114300">
            <wp:extent cx="4987290" cy="3745865"/>
            <wp:effectExtent l="0" t="0" r="19" b="26"/>
            <wp:docPr id="40" name="图片 1"/>
            <wp:cNvGraphicFramePr>
              <a:graphicFrameLocks noChangeAspect="1"/>
            </wp:cNvGraphicFramePr>
            <a:graphic>
              <a:graphicData uri="http://schemas.openxmlformats.org/drawingml/2006/picture">
                <pic:pic>
                  <pic:nvPicPr>
                    <pic:cNvPr id="42" name="图片 1 42"/>
                    <pic:cNvPicPr/>
                  </pic:nvPicPr>
                  <pic:blipFill>
                    <a:blip r:embed="rId16"/>
                    <a:stretch>
                      <a:fillRect/>
                    </a:stretch>
                  </pic:blipFill>
                  <pic:spPr>
                    <a:xfrm rot="0">
                      <a:off x="0" y="0"/>
                      <a:ext cx="4987290" cy="3745865"/>
                    </a:xfrm>
                    <a:prstGeom prst="rect"/>
                    <a:noFill/>
                    <a:ln w="9525" cmpd="sng" cap="flat">
                      <a:noFill/>
                      <a:prstDash val="solid"/>
                      <a:round/>
                    </a:ln>
                  </pic:spPr>
                </pic:pic>
              </a:graphicData>
            </a:graphic>
          </wp:inline>
        </w:drawing>
      </w:r>
    </w:p>
    <w:p>
      <w:pPr>
        <w:widowControl/>
        <w:spacing w:before="4" w:line="360" w:lineRule="auto"/>
        <w:ind w:right="351"/>
        <w:jc w:val="center"/>
        <w:rPr>
          <w:rFonts w:hint="eastAsia"/>
          <w:b/>
          <w:bCs/>
          <w:color w:val="auto"/>
          <w:sz w:val="24"/>
          <w:lang w:eastAsia="zh-CN"/>
        </w:rPr>
      </w:pPr>
      <w:r>
        <w:rPr>
          <w:rFonts w:hint="eastAsia"/>
          <w:b/>
          <w:bCs/>
          <w:color w:val="auto"/>
          <w:sz w:val="24"/>
          <w:lang w:eastAsia="zh-CN"/>
        </w:rPr>
        <w:t>现状风电场区与周边区域情况</w:t>
      </w:r>
    </w:p>
    <w:p>
      <w:pPr>
        <w:pStyle w:val="15"/>
        <w:rPr>
          <w:rFonts w:hint="eastAsia"/>
          <w:color w:val="auto"/>
          <w:lang w:eastAsia="zh-CN"/>
        </w:rPr>
      </w:pPr>
      <w:r>
        <w:rPr>
          <w:color w:val="auto"/>
        </w:rPr>
        <w:drawing>
          <wp:inline distT="0" distB="0" distL="114300" distR="114300">
            <wp:extent cx="2574925" cy="1936115"/>
            <wp:effectExtent l="0" t="0" r="24" b="2"/>
            <wp:docPr id="43" name="图片 6"/>
            <wp:cNvGraphicFramePr>
              <a:graphicFrameLocks noChangeAspect="1"/>
            </wp:cNvGraphicFramePr>
            <a:graphic>
              <a:graphicData uri="http://schemas.openxmlformats.org/drawingml/2006/picture">
                <pic:pic>
                  <pic:nvPicPr>
                    <pic:cNvPr id="45" name="图片 6 45"/>
                    <pic:cNvPicPr/>
                  </pic:nvPicPr>
                  <pic:blipFill>
                    <a:blip r:embed="rId17"/>
                    <a:stretch>
                      <a:fillRect/>
                    </a:stretch>
                  </pic:blipFill>
                  <pic:spPr>
                    <a:xfrm rot="0">
                      <a:off x="0" y="0"/>
                      <a:ext cx="2574925" cy="1936115"/>
                    </a:xfrm>
                    <a:prstGeom prst="rect"/>
                    <a:noFill/>
                    <a:ln w="9525" cmpd="sng" cap="flat">
                      <a:noFill/>
                      <a:prstDash val="solid"/>
                      <a:round/>
                    </a:ln>
                  </pic:spPr>
                </pic:pic>
              </a:graphicData>
            </a:graphic>
          </wp:inline>
        </w:drawing>
      </w:r>
      <w:r>
        <w:rPr>
          <w:rFonts w:hint="eastAsia"/>
          <w:color w:val="auto"/>
          <w:lang w:val="en-US" w:eastAsia="zh-CN"/>
        </w:rPr>
        <w:t xml:space="preserve"> </w:t>
      </w:r>
      <w:r>
        <w:rPr>
          <w:color w:val="auto"/>
        </w:rPr>
        <w:drawing>
          <wp:inline distT="0" distB="0" distL="114300" distR="114300">
            <wp:extent cx="2581910" cy="1937385"/>
            <wp:effectExtent l="0" t="0" r="8" b="30"/>
            <wp:docPr id="46" name="图片 7"/>
            <wp:cNvGraphicFramePr>
              <a:graphicFrameLocks noChangeAspect="1"/>
            </wp:cNvGraphicFramePr>
            <a:graphic>
              <a:graphicData uri="http://schemas.openxmlformats.org/drawingml/2006/picture">
                <pic:pic>
                  <pic:nvPicPr>
                    <pic:cNvPr id="48" name="图片 7 48"/>
                    <pic:cNvPicPr/>
                  </pic:nvPicPr>
                  <pic:blipFill>
                    <a:blip r:embed="rId18"/>
                    <a:stretch>
                      <a:fillRect/>
                    </a:stretch>
                  </pic:blipFill>
                  <pic:spPr>
                    <a:xfrm rot="0">
                      <a:off x="0" y="0"/>
                      <a:ext cx="2581910" cy="1937385"/>
                    </a:xfrm>
                    <a:prstGeom prst="rect"/>
                    <a:noFill/>
                    <a:ln w="9525" cmpd="sng" cap="flat">
                      <a:noFill/>
                      <a:prstDash val="solid"/>
                      <a:round/>
                    </a:ln>
                  </pic:spPr>
                </pic:pic>
              </a:graphicData>
            </a:graphic>
          </wp:inline>
        </w:drawing>
      </w:r>
    </w:p>
    <w:p>
      <w:pPr>
        <w:widowControl/>
        <w:spacing w:before="4" w:line="360" w:lineRule="auto"/>
        <w:ind w:right="351"/>
        <w:jc w:val="center"/>
        <w:rPr>
          <w:rFonts w:hint="eastAsia"/>
          <w:b/>
          <w:bCs/>
          <w:color w:val="auto"/>
          <w:sz w:val="24"/>
          <w:lang w:eastAsia="zh-CN"/>
        </w:rPr>
      </w:pPr>
      <w:r>
        <w:rPr>
          <w:rFonts w:hint="eastAsia"/>
          <w:b/>
          <w:bCs/>
          <w:color w:val="auto"/>
          <w:sz w:val="24"/>
          <w:lang w:eastAsia="zh-CN"/>
        </w:rPr>
        <w:t>场区南部进场道路与现状村庄道路连接</w:t>
      </w:r>
    </w:p>
    <w:p>
      <w:pPr>
        <w:pStyle w:val="18"/>
        <w:rPr>
          <w:rFonts w:hint="eastAsia"/>
          <w:color w:val="auto"/>
          <w:lang w:eastAsia="zh-CN"/>
        </w:rPr>
      </w:pPr>
    </w:p>
    <w:p>
      <w:pPr>
        <w:pStyle w:val="1"/>
        <w:numPr>
          <w:ilvl w:val="0"/>
          <w:numId w:val="0"/>
        </w:numPr>
        <w:spacing w:before="260" w:line="360" w:lineRule="auto"/>
        <w:ind w:left="420" w:right="351"/>
        <w:jc w:val="center"/>
        <w:rPr>
          <w:rFonts w:ascii="宋体" w:eastAsia="宋体" w:cs="宋体" w:hAnsi="宋体" w:hint="eastAsia"/>
          <w:color w:val="auto"/>
          <w:sz w:val="30"/>
          <w:szCs w:val="30"/>
          <w:lang w:val="en-US" w:eastAsia="zh-CN"/>
        </w:rPr>
      </w:pPr>
      <w:bookmarkStart w:id="39" w:name="_Toc20910"/>
      <w:r>
        <w:rPr>
          <w:rFonts w:ascii="宋体" w:eastAsia="宋体" w:cs="宋体" w:hAnsi="宋体" w:hint="eastAsia"/>
          <w:bCs/>
          <w:color w:val="auto"/>
          <w:sz w:val="32"/>
          <w:szCs w:val="32"/>
          <w:lang w:eastAsia="zh-CN"/>
        </w:rPr>
        <w:t>第三章</w:t>
      </w:r>
      <w:r>
        <w:rPr>
          <w:rFonts w:ascii="宋体" w:eastAsia="宋体" w:cs="宋体" w:hAnsi="宋体" w:hint="eastAsia"/>
          <w:bCs/>
          <w:color w:val="auto"/>
          <w:sz w:val="32"/>
          <w:szCs w:val="32"/>
          <w:lang w:val="en-US" w:eastAsia="zh-CN"/>
        </w:rPr>
        <w:t xml:space="preserve"> </w:t>
      </w:r>
      <w:r>
        <w:rPr>
          <w:rFonts w:ascii="宋体" w:eastAsia="宋体" w:cs="宋体" w:hAnsi="宋体" w:hint="eastAsia"/>
          <w:bCs/>
          <w:color w:val="auto"/>
          <w:sz w:val="32"/>
          <w:szCs w:val="32"/>
        </w:rPr>
        <w:t>用地布局规划</w:t>
      </w:r>
      <w:bookmarkEnd w:id="39"/>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40" w:name="_Toc26344"/>
      <w:r>
        <w:rPr>
          <w:rFonts w:ascii="宋体" w:eastAsia="宋体" w:cs="宋体" w:hAnsi="宋体" w:hint="eastAsia"/>
          <w:bCs/>
          <w:color w:val="auto"/>
          <w:sz w:val="32"/>
          <w:szCs w:val="32"/>
          <w:lang w:val="en-US" w:eastAsia="zh-CN"/>
        </w:rPr>
        <w:t>3.1规划依据</w:t>
      </w:r>
      <w:bookmarkEnd w:id="40"/>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电力工程项目建设用地指标(风电场)</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建标(2011)209号</w:t>
      </w:r>
      <w:r>
        <w:rPr>
          <w:rFonts w:ascii="宋体" w:eastAsia="宋体" w:cs="宋体" w:hAnsi="宋体" w:hint="eastAsia"/>
          <w:color w:val="auto"/>
          <w:kern w:val="0"/>
          <w:sz w:val="28"/>
          <w:szCs w:val="28"/>
          <w:lang w:eastAsia="zh-CN"/>
        </w:rPr>
        <w:t>；</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《风电场工程设计导则</w:t>
      </w:r>
      <w:r>
        <w:rPr>
          <w:rFonts w:ascii="宋体" w:eastAsia="宋体" w:cs="宋体" w:hAnsi="宋体" w:hint="eastAsia"/>
          <w:color w:val="auto"/>
          <w:kern w:val="0"/>
          <w:sz w:val="28"/>
          <w:szCs w:val="28"/>
          <w:lang w:eastAsia="zh-CN"/>
        </w:rPr>
        <w:t>（试行）</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《风</w:t>
      </w:r>
      <w:r>
        <w:rPr>
          <w:rFonts w:ascii="宋体" w:eastAsia="宋体" w:cs="宋体" w:hAnsi="宋体" w:hint="eastAsia"/>
          <w:color w:val="auto"/>
          <w:kern w:val="0"/>
          <w:sz w:val="28"/>
          <w:szCs w:val="28"/>
          <w:lang w:val="en-US" w:eastAsia="zh-CN"/>
        </w:rPr>
        <w:t>力发电场设计规范</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w:t>
      </w:r>
      <w:r>
        <w:rPr>
          <w:rFonts w:ascii="宋体" w:eastAsia="宋体" w:cs="宋体" w:hAnsi="宋体"/>
          <w:color w:val="auto"/>
          <w:kern w:val="0"/>
          <w:sz w:val="28"/>
          <w:szCs w:val="28"/>
        </w:rPr>
        <w:t>GB</w:t>
      </w:r>
      <w:r>
        <w:rPr>
          <w:rFonts w:ascii="宋体" w:eastAsia="宋体" w:cs="宋体" w:hAnsi="宋体" w:hint="eastAsia"/>
          <w:color w:val="auto"/>
          <w:kern w:val="0"/>
          <w:sz w:val="28"/>
          <w:szCs w:val="28"/>
          <w:lang w:eastAsia="zh-CN"/>
        </w:rPr>
        <w:t>5</w:t>
      </w:r>
      <w:r>
        <w:rPr>
          <w:rFonts w:ascii="宋体" w:eastAsia="宋体" w:cs="宋体" w:hAnsi="宋体" w:hint="eastAsia"/>
          <w:color w:val="auto"/>
          <w:kern w:val="0"/>
          <w:sz w:val="28"/>
          <w:szCs w:val="28"/>
          <w:lang w:val="en-US" w:eastAsia="zh-CN"/>
        </w:rPr>
        <w:t>1096</w:t>
      </w:r>
      <w:r>
        <w:rPr>
          <w:rFonts w:ascii="宋体" w:eastAsia="宋体" w:cs="宋体" w:hAnsi="宋体"/>
          <w:color w:val="auto"/>
          <w:kern w:val="0"/>
          <w:sz w:val="28"/>
          <w:szCs w:val="28"/>
        </w:rPr>
        <w:t>-201</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《建筑设计防火规范》（</w:t>
      </w:r>
      <w:r>
        <w:rPr>
          <w:rFonts w:ascii="宋体" w:eastAsia="宋体" w:cs="宋体" w:hAnsi="宋体"/>
          <w:color w:val="auto"/>
          <w:kern w:val="0"/>
          <w:sz w:val="28"/>
          <w:szCs w:val="28"/>
        </w:rPr>
        <w:t>GB50016-2014）（2018版）</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Times New Roman"/>
          <w:color w:val="auto"/>
          <w:kern w:val="0"/>
          <w:sz w:val="24"/>
          <w:szCs w:val="24"/>
        </w:rPr>
      </w:pPr>
      <w:r>
        <w:rPr>
          <w:rFonts w:ascii="宋体" w:eastAsia="宋体" w:cs="宋体" w:hAnsi="宋体" w:hint="eastAsia"/>
          <w:color w:val="auto"/>
          <w:kern w:val="0"/>
          <w:sz w:val="28"/>
          <w:szCs w:val="28"/>
        </w:rPr>
        <w:t>《建筑防火通用规范》</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GB55037-2022</w:t>
      </w:r>
      <w:r>
        <w:rPr>
          <w:rFonts w:ascii="宋体" w:eastAsia="宋体" w:cs="宋体" w:hAnsi="宋体" w:hint="eastAsia"/>
          <w:color w:val="auto"/>
          <w:kern w:val="0"/>
          <w:sz w:val="28"/>
          <w:szCs w:val="28"/>
          <w:lang w:eastAsia="zh-CN"/>
        </w:rPr>
        <w:t>）</w:t>
      </w:r>
      <w:r>
        <w:rPr>
          <w:rFonts w:ascii="宋体" w:eastAsia="宋体" w:cs="宋体" w:hAnsi="宋体"/>
          <w:color w:val="auto"/>
          <w:kern w:val="0"/>
          <w:sz w:val="28"/>
          <w:szCs w:val="28"/>
        </w:rPr>
        <w:t>；</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《钦州市城市规划技术标准与准则》（</w:t>
      </w:r>
      <w:r>
        <w:rPr>
          <w:rFonts w:ascii="宋体" w:eastAsia="宋体" w:cs="宋体" w:hAnsi="宋体"/>
          <w:color w:val="auto"/>
          <w:kern w:val="0"/>
          <w:sz w:val="28"/>
          <w:szCs w:val="28"/>
        </w:rPr>
        <w:t>2015</w:t>
      </w:r>
      <w:r>
        <w:rPr>
          <w:rFonts w:ascii="宋体" w:eastAsia="宋体" w:cs="宋体" w:hAnsi="宋体" w:hint="eastAsia"/>
          <w:color w:val="auto"/>
          <w:kern w:val="0"/>
          <w:sz w:val="28"/>
          <w:szCs w:val="28"/>
        </w:rPr>
        <w:t>年版）；</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《国土空间调查、规划、用途管制用地用海分类指南》</w:t>
      </w:r>
      <w:r>
        <w:rPr>
          <w:rFonts w:ascii="宋体" w:eastAsia="宋体" w:cs="宋体" w:hAnsi="宋体"/>
          <w:color w:val="auto"/>
          <w:kern w:val="0"/>
          <w:sz w:val="28"/>
          <w:szCs w:val="28"/>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《第三次全国国土调查技术规程》（TD/T 1055—2019）</w:t>
      </w:r>
      <w:r>
        <w:rPr>
          <w:rFonts w:ascii="宋体" w:eastAsia="宋体" w:cs="宋体" w:hAnsi="宋体"/>
          <w:color w:val="auto"/>
          <w:kern w:val="0"/>
          <w:sz w:val="28"/>
          <w:szCs w:val="28"/>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其他相关国家、自治区和钦州市的规划标准、规范</w:t>
      </w:r>
      <w:r>
        <w:rPr>
          <w:rFonts w:ascii="宋体" w:eastAsia="宋体" w:cs="宋体" w:hAnsi="宋体" w:hint="eastAsia"/>
          <w:color w:val="auto"/>
          <w:kern w:val="0"/>
          <w:sz w:val="28"/>
          <w:szCs w:val="28"/>
          <w:lang w:eastAsia="zh-CN"/>
        </w:rPr>
        <w:t>。</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41" w:name="_Toc23081"/>
      <w:r>
        <w:rPr>
          <w:rFonts w:ascii="宋体" w:eastAsia="宋体" w:cs="宋体" w:hAnsi="宋体" w:hint="eastAsia"/>
          <w:bCs/>
          <w:color w:val="auto"/>
          <w:sz w:val="32"/>
          <w:szCs w:val="32"/>
          <w:lang w:val="en-US" w:eastAsia="zh-CN"/>
        </w:rPr>
        <w:t>3.2规划原则</w:t>
      </w:r>
      <w:bookmarkEnd w:id="41"/>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风电场工程项目建设应根据风电行业发展的需要，在综合考虑风能资源、场址、电力市场、接入系统和资金筹措能力等建设条件的同时，体现科学、合理和节约集约用地的原则</w:t>
      </w:r>
      <w:r>
        <w:rPr>
          <w:rFonts w:ascii="宋体" w:eastAsia="宋体" w:cs="宋体" w:hAnsi="宋体" w:hint="eastAsia"/>
          <w:color w:val="auto"/>
          <w:kern w:val="0"/>
          <w:sz w:val="28"/>
          <w:szCs w:val="28"/>
          <w:lang w:eastAsia="zh-CN"/>
        </w:rPr>
        <w:t>。</w:t>
      </w:r>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）风电场工程项目建设用地应符合国家土地利用总体规划的要求，尽量使用荒地、未利用地，少占或不占耕地、林地，并尽量避开省级及以上政府部门依法批准的特殊保护区域。</w:t>
      </w:r>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）风电机组布置应充分利用风能资源、地形、地质条件，合理布置，在满足安全运行、管理方便、技术先进和经济合理等条件下，少占土地。</w:t>
      </w:r>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lang w:eastAsia="zh-CN"/>
        </w:rPr>
        <w:t>）风电场工程项目建设在技术经济合理的条件下，应优先采用单机容量大的风电机组，以达到减少占用土地的目的。</w:t>
      </w:r>
    </w:p>
    <w:p>
      <w:pPr>
        <w:widowControl/>
        <w:spacing w:before="4" w:line="360" w:lineRule="auto"/>
        <w:ind w:left="0" w:right="351" w:firstLineChars="200" w:firstLine="560"/>
        <w:jc w:val="left"/>
        <w:rPr>
          <w:rFonts w:hint="eastAsia"/>
          <w:color w:val="auto"/>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lang w:eastAsia="zh-CN"/>
        </w:rPr>
        <w:t>）分期建设的风电场工程项目建设用地，应统筹规划，分期征用。近期建设用地应合理集中，可适当预留远期建设发展所需升压变电站及运行管理中心用地，但应严格控制。</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42" w:name="_Toc774"/>
      <w:r>
        <w:rPr>
          <w:rFonts w:ascii="宋体" w:eastAsia="宋体" w:cs="宋体" w:hAnsi="宋体" w:hint="eastAsia"/>
          <w:bCs/>
          <w:color w:val="auto"/>
          <w:sz w:val="32"/>
          <w:szCs w:val="32"/>
          <w:lang w:val="en-US" w:eastAsia="zh-CN"/>
        </w:rPr>
        <w:t>3.3土地利用规划</w:t>
      </w:r>
      <w:bookmarkEnd w:id="42"/>
    </w:p>
    <w:p>
      <w:pPr>
        <w:pStyle w:val="18"/>
        <w:widowControl/>
        <w:autoSpaceDE w:val="0"/>
        <w:autoSpaceDN w:val="0"/>
        <w:spacing w:before="4" w:line="420" w:lineRule="auto"/>
        <w:ind w:left="118" w:right="351" w:firstLineChars="200" w:firstLine="560"/>
        <w:jc w:val="left"/>
        <w:rPr>
          <w:rFonts w:ascii="宋体" w:eastAsia="宋体" w:cs="宋体" w:hAnsi="宋体" w:hint="eastAsia"/>
          <w:color w:val="auto"/>
          <w:kern w:val="0"/>
          <w:sz w:val="28"/>
          <w:szCs w:val="28"/>
          <w:lang w:eastAsia="zh-CN"/>
        </w:rPr>
      </w:pPr>
      <w:r>
        <w:rPr>
          <w:rFonts w:hint="eastAsia"/>
          <w:b/>
          <w:bCs/>
          <w:color w:val="auto"/>
          <w:sz w:val="28"/>
          <w:szCs w:val="28"/>
          <w:lang w:val="en-US" w:eastAsia="zh-CN"/>
        </w:rPr>
        <w:t>3.3.1 用地性质</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本规划为钦北区古道岭风电场一期工程项目独立地块控制性详细规划，项目用地位于钦北区小董镇、平吉镇、大垌镇交界区域，目前</w:t>
      </w:r>
      <w:r>
        <w:rPr>
          <w:rFonts w:ascii="宋体" w:eastAsia="宋体" w:cs="宋体" w:hAnsi="宋体" w:hint="eastAsia"/>
          <w:color w:val="auto"/>
          <w:kern w:val="0"/>
          <w:sz w:val="28"/>
          <w:szCs w:val="28"/>
        </w:rPr>
        <w:t>地块已纳入</w:t>
      </w:r>
      <w:r>
        <w:rPr>
          <w:rFonts w:ascii="宋体" w:eastAsia="宋体" w:cs="宋体" w:hAnsi="宋体" w:hint="eastAsia"/>
          <w:color w:val="auto"/>
          <w:kern w:val="0"/>
          <w:sz w:val="28"/>
          <w:szCs w:val="28"/>
          <w:lang w:eastAsia="zh-CN"/>
        </w:rPr>
        <w:t>钦州市</w:t>
      </w:r>
      <w:r>
        <w:rPr>
          <w:rFonts w:ascii="宋体" w:eastAsia="宋体" w:cs="宋体" w:hAnsi="宋体" w:hint="eastAsia"/>
          <w:color w:val="auto"/>
          <w:kern w:val="0"/>
          <w:sz w:val="28"/>
          <w:szCs w:val="28"/>
        </w:rPr>
        <w:t>国土空间总体规划</w:t>
      </w:r>
      <w:r>
        <w:rPr>
          <w:rFonts w:ascii="宋体" w:eastAsia="宋体" w:cs="宋体" w:hAnsi="宋体" w:hint="eastAsia"/>
          <w:color w:val="auto"/>
          <w:kern w:val="0"/>
          <w:sz w:val="28"/>
          <w:szCs w:val="28"/>
          <w:lang w:eastAsia="zh-CN"/>
        </w:rPr>
        <w:t>，规划地块用地性质为一级类“公用设施用地”（代码13）中的二级类——“供电用地”（代码1303）。</w:t>
      </w:r>
    </w:p>
    <w:p>
      <w:pPr>
        <w:widowControl/>
        <w:spacing w:before="4" w:line="360" w:lineRule="auto"/>
        <w:ind w:left="118" w:right="351" w:firstLineChars="200" w:firstLine="560"/>
        <w:jc w:val="left"/>
        <w:rPr>
          <w:rFonts w:ascii="宋体" w:eastAsia="宋体" w:cs="宋体" w:hAnsi="宋体" w:hint="eastAsia"/>
          <w:b/>
          <w:bCs/>
          <w:color w:val="auto"/>
          <w:kern w:val="2"/>
          <w:sz w:val="28"/>
          <w:szCs w:val="28"/>
          <w:lang w:val="en-US" w:eastAsia="zh-CN" w:bidi="zh-CN"/>
        </w:rPr>
      </w:pPr>
      <w:r>
        <w:rPr>
          <w:rFonts w:ascii="宋体" w:eastAsia="宋体" w:cs="宋体" w:hAnsi="宋体" w:hint="eastAsia"/>
          <w:b/>
          <w:bCs/>
          <w:color w:val="auto"/>
          <w:kern w:val="2"/>
          <w:sz w:val="28"/>
          <w:szCs w:val="28"/>
          <w:lang w:val="en-US" w:eastAsia="zh-CN" w:bidi="zh-CN"/>
        </w:rPr>
        <w:t>3.3.2 功能分区</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钦北区古道岭风电场一期工程整个项目场址涉及的区域范围：东西跨度约</w:t>
      </w:r>
      <w:r>
        <w:rPr>
          <w:rFonts w:ascii="宋体" w:eastAsia="宋体" w:cs="宋体" w:hAnsi="宋体" w:hint="eastAsia"/>
          <w:color w:val="auto"/>
          <w:kern w:val="0"/>
          <w:sz w:val="28"/>
          <w:szCs w:val="28"/>
          <w:lang w:val="en-US" w:eastAsia="zh-CN"/>
        </w:rPr>
        <w:t>6</w:t>
      </w:r>
      <w:r>
        <w:rPr>
          <w:rFonts w:ascii="宋体" w:eastAsia="宋体" w:cs="宋体" w:hAnsi="宋体" w:hint="eastAsia"/>
          <w:color w:val="auto"/>
          <w:kern w:val="0"/>
          <w:sz w:val="28"/>
          <w:szCs w:val="28"/>
          <w:lang w:eastAsia="zh-CN"/>
        </w:rPr>
        <w:t>km，南北跨度约</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lang w:eastAsia="zh-CN"/>
        </w:rPr>
        <w:t>km。共规划安装16组风电机组，并在场址范围内规划建设一座110kV升压站。风电场内由一条东西向的施工干道连接各零散地块，呈树枝状布局。本规划在用地现状实际地形的基础上，参照《</w:t>
      </w:r>
      <w:r>
        <w:rPr>
          <w:rFonts w:ascii="宋体" w:eastAsia="宋体" w:cs="宋体" w:hAnsi="宋体" w:hint="eastAsia"/>
          <w:color w:val="auto"/>
          <w:kern w:val="0"/>
          <w:sz w:val="28"/>
          <w:szCs w:val="28"/>
        </w:rPr>
        <w:t>电力工程项目建设用地指标(风电场)</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建标(2011)209号</w:t>
      </w:r>
      <w:r>
        <w:rPr>
          <w:rFonts w:ascii="宋体" w:eastAsia="宋体" w:cs="宋体" w:hAnsi="宋体" w:hint="eastAsia"/>
          <w:color w:val="auto"/>
          <w:kern w:val="0"/>
          <w:sz w:val="28"/>
          <w:szCs w:val="28"/>
          <w:lang w:eastAsia="zh-CN"/>
        </w:rPr>
        <w:t>和</w:t>
      </w:r>
      <w:r>
        <w:rPr>
          <w:rFonts w:ascii="宋体" w:eastAsia="宋体" w:cs="宋体" w:hAnsi="宋体" w:hint="eastAsia"/>
          <w:color w:val="auto"/>
          <w:kern w:val="0"/>
          <w:sz w:val="28"/>
          <w:szCs w:val="28"/>
        </w:rPr>
        <w:t>《风电场工程设计导则》</w:t>
      </w:r>
      <w:r>
        <w:rPr>
          <w:rFonts w:ascii="宋体" w:eastAsia="宋体" w:cs="宋体" w:hAnsi="宋体" w:hint="eastAsia"/>
          <w:color w:val="auto"/>
          <w:kern w:val="0"/>
          <w:sz w:val="28"/>
          <w:szCs w:val="28"/>
          <w:lang w:eastAsia="zh-CN"/>
        </w:rPr>
        <w:t>，对地块建设用地按规范进行规划布局及管控，合理的将风电场项目用地划分功能分区，主要分为变电生产区、运行管理中心区、场内道路交通区等功能分区。</w:t>
      </w:r>
    </w:p>
    <w:p>
      <w:pPr>
        <w:widowControl/>
        <w:spacing w:before="4" w:line="360" w:lineRule="auto"/>
        <w:ind w:left="118" w:right="351" w:firstLineChars="200" w:firstLine="560"/>
        <w:jc w:val="left"/>
        <w:rPr>
          <w:rFonts w:ascii="宋体" w:eastAsia="宋体" w:cs="宋体" w:hAnsi="宋体" w:hint="eastAsia"/>
          <w:b/>
          <w:bCs/>
          <w:color w:val="auto"/>
          <w:kern w:val="2"/>
          <w:sz w:val="28"/>
          <w:szCs w:val="28"/>
          <w:lang w:val="en-US" w:eastAsia="zh-CN" w:bidi="zh-CN"/>
        </w:rPr>
      </w:pPr>
      <w:r>
        <w:rPr>
          <w:rFonts w:ascii="宋体" w:eastAsia="宋体" w:cs="宋体" w:hAnsi="宋体" w:hint="eastAsia"/>
          <w:b/>
          <w:bCs/>
          <w:color w:val="auto"/>
          <w:kern w:val="2"/>
          <w:sz w:val="28"/>
          <w:szCs w:val="28"/>
          <w:lang w:val="en-US" w:eastAsia="zh-CN" w:bidi="zh-CN"/>
        </w:rPr>
        <w:t>3.3.3 用地布局</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（1）风电场</w:t>
      </w:r>
      <w:r>
        <w:rPr>
          <w:rFonts w:ascii="宋体" w:eastAsia="宋体" w:cs="宋体" w:hAnsi="宋体" w:hint="eastAsia"/>
          <w:color w:val="auto"/>
          <w:kern w:val="0"/>
          <w:sz w:val="28"/>
          <w:szCs w:val="28"/>
          <w:lang w:eastAsia="zh-CN"/>
        </w:rPr>
        <w:t>总体布局</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规划风力发电场总体布局主要由以下部分组成：</w:t>
      </w:r>
    </w:p>
    <w:p>
      <w:pPr>
        <w:widowControl/>
        <w:spacing w:before="4" w:line="360" w:lineRule="auto"/>
        <w:ind w:leftChars="200" w:left="420" w:right="351" w:firstLineChars="100" w:firstLine="28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风力发电机组的布置；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风力发电机组变电单元（箱变）布置；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升压站建筑物及变电站设备布置；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lang w:eastAsia="zh-CN"/>
        </w:rPr>
        <w:t>场区集电线路布置；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lang w:eastAsia="zh-CN"/>
        </w:rPr>
        <w:t>中央监控通信系统布置；</w:t>
      </w:r>
    </w:p>
    <w:p>
      <w:pPr>
        <w:widowControl/>
        <w:spacing w:before="4" w:line="360" w:lineRule="auto"/>
        <w:ind w:left="118" w:right="351" w:firstLineChars="200" w:firstLine="560"/>
        <w:jc w:val="left"/>
        <w:rPr>
          <w:rFonts w:hint="eastAsia"/>
          <w:color w:val="auto"/>
          <w:lang w:eastAsia="zh-CN"/>
        </w:rPr>
      </w:pPr>
      <w:r>
        <w:rPr>
          <w:rFonts w:ascii="宋体" w:eastAsia="宋体" w:cs="宋体" w:hAnsi="宋体" w:hint="eastAsia"/>
          <w:color w:val="auto"/>
          <w:kern w:val="0"/>
          <w:sz w:val="28"/>
          <w:szCs w:val="28"/>
          <w:lang w:val="en-US" w:eastAsia="zh-CN"/>
        </w:rPr>
        <w:t>6）</w:t>
      </w:r>
      <w:r>
        <w:rPr>
          <w:rFonts w:ascii="宋体" w:eastAsia="宋体" w:cs="宋体" w:hAnsi="宋体" w:hint="eastAsia"/>
          <w:color w:val="auto"/>
          <w:kern w:val="0"/>
          <w:sz w:val="28"/>
          <w:szCs w:val="28"/>
          <w:lang w:eastAsia="zh-CN"/>
        </w:rPr>
        <w:t>场区道路；</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7）</w:t>
      </w:r>
      <w:r>
        <w:rPr>
          <w:rFonts w:ascii="宋体" w:eastAsia="宋体" w:cs="宋体" w:hAnsi="宋体" w:hint="eastAsia"/>
          <w:color w:val="auto"/>
          <w:kern w:val="0"/>
          <w:sz w:val="28"/>
          <w:szCs w:val="28"/>
          <w:lang w:eastAsia="zh-CN"/>
        </w:rPr>
        <w:t>其他防护及供应设施（防洪、防雷、防火、供水等）。</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风电机组和变电单元（箱变）用地布局</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风电场</w:t>
      </w:r>
      <w:r>
        <w:rPr>
          <w:rFonts w:ascii="宋体" w:eastAsia="宋体" w:cs="宋体" w:hAnsi="宋体" w:hint="eastAsia"/>
          <w:color w:val="auto"/>
          <w:kern w:val="0"/>
          <w:sz w:val="28"/>
          <w:szCs w:val="28"/>
          <w:lang w:val="en-US" w:eastAsia="zh-CN"/>
        </w:rPr>
        <w:t>16组</w:t>
      </w:r>
      <w:r>
        <w:rPr>
          <w:rFonts w:ascii="宋体" w:eastAsia="宋体" w:cs="宋体" w:hAnsi="宋体" w:hint="eastAsia"/>
          <w:color w:val="auto"/>
          <w:kern w:val="0"/>
          <w:sz w:val="28"/>
          <w:szCs w:val="28"/>
          <w:lang w:eastAsia="zh-CN"/>
        </w:rPr>
        <w:t>风电机组用地零星分布于钦北区小董镇、平吉镇、大垌镇交界处一带的山脊或山包区域，整体呈树枝状布局，大部分风电机组之间的距离在</w:t>
      </w:r>
      <w:r>
        <w:rPr>
          <w:rFonts w:ascii="宋体" w:eastAsia="宋体" w:cs="宋体" w:hAnsi="宋体" w:hint="eastAsia"/>
          <w:color w:val="auto"/>
          <w:kern w:val="0"/>
          <w:sz w:val="28"/>
          <w:szCs w:val="28"/>
          <w:lang w:val="en-US" w:eastAsia="zh-CN"/>
        </w:rPr>
        <w:t>300～500米之间，</w:t>
      </w:r>
      <w:r>
        <w:rPr>
          <w:rFonts w:ascii="宋体" w:eastAsia="宋体" w:cs="宋体" w:hAnsi="宋体" w:hint="eastAsia"/>
          <w:color w:val="auto"/>
          <w:kern w:val="0"/>
          <w:sz w:val="28"/>
          <w:szCs w:val="28"/>
          <w:lang w:eastAsia="zh-CN"/>
        </w:rPr>
        <w:t>用地相对较为集中。</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每组风电机组用地分别由</w:t>
      </w:r>
      <w:r>
        <w:rPr>
          <w:rFonts w:ascii="宋体" w:eastAsia="宋体" w:cs="宋体" w:hAnsi="宋体" w:hint="eastAsia"/>
          <w:color w:val="auto"/>
          <w:kern w:val="0"/>
          <w:sz w:val="28"/>
          <w:szCs w:val="28"/>
          <w:lang w:val="en-US" w:eastAsia="zh-CN"/>
        </w:rPr>
        <w:t>1个</w:t>
      </w:r>
      <w:r>
        <w:rPr>
          <w:rFonts w:ascii="宋体" w:eastAsia="宋体" w:cs="宋体" w:hAnsi="宋体" w:hint="eastAsia"/>
          <w:color w:val="auto"/>
          <w:kern w:val="0"/>
          <w:sz w:val="28"/>
          <w:szCs w:val="28"/>
          <w:lang w:eastAsia="zh-CN"/>
        </w:rPr>
        <w:t>风机和</w:t>
      </w:r>
      <w:r>
        <w:rPr>
          <w:rFonts w:ascii="宋体" w:eastAsia="宋体" w:cs="宋体" w:hAnsi="宋体" w:hint="eastAsia"/>
          <w:color w:val="auto"/>
          <w:kern w:val="0"/>
          <w:sz w:val="28"/>
          <w:szCs w:val="28"/>
          <w:lang w:val="en-US" w:eastAsia="zh-CN"/>
        </w:rPr>
        <w:t>1个</w:t>
      </w:r>
      <w:r>
        <w:rPr>
          <w:rFonts w:ascii="宋体" w:eastAsia="宋体" w:cs="宋体" w:hAnsi="宋体" w:hint="eastAsia"/>
          <w:color w:val="auto"/>
          <w:kern w:val="0"/>
          <w:sz w:val="28"/>
          <w:szCs w:val="28"/>
          <w:lang w:eastAsia="zh-CN"/>
        </w:rPr>
        <w:t>箱变的单独地块组成。</w:t>
      </w:r>
      <w:r>
        <w:rPr>
          <w:rFonts w:ascii="宋体" w:eastAsia="宋体" w:cs="宋体" w:hAnsi="宋体" w:hint="eastAsia"/>
          <w:color w:val="auto"/>
          <w:kern w:val="0"/>
          <w:sz w:val="28"/>
          <w:szCs w:val="28"/>
          <w:lang w:val="en-US" w:eastAsia="zh-CN"/>
        </w:rPr>
        <w:t>16个风机地块占地面积共4471.26平方米，16个</w:t>
      </w:r>
      <w:r>
        <w:rPr>
          <w:rFonts w:ascii="宋体" w:eastAsia="宋体" w:cs="宋体" w:hAnsi="宋体" w:hint="eastAsia"/>
          <w:color w:val="auto"/>
          <w:kern w:val="0"/>
          <w:sz w:val="28"/>
          <w:szCs w:val="28"/>
          <w:lang w:eastAsia="zh-CN"/>
        </w:rPr>
        <w:t>箱变地块</w:t>
      </w:r>
      <w:r>
        <w:rPr>
          <w:rFonts w:ascii="宋体" w:eastAsia="宋体" w:cs="宋体" w:hAnsi="宋体" w:hint="eastAsia"/>
          <w:color w:val="auto"/>
          <w:kern w:val="0"/>
          <w:sz w:val="28"/>
          <w:szCs w:val="28"/>
          <w:lang w:val="en-US" w:eastAsia="zh-CN"/>
        </w:rPr>
        <w:t>占地面积共416平方米，</w:t>
      </w:r>
      <w:r>
        <w:rPr>
          <w:rFonts w:ascii="宋体" w:eastAsia="宋体" w:cs="宋体" w:hAnsi="宋体" w:hint="eastAsia"/>
          <w:color w:val="auto"/>
          <w:kern w:val="0"/>
          <w:sz w:val="28"/>
          <w:szCs w:val="28"/>
          <w:lang w:eastAsia="zh-CN"/>
        </w:rPr>
        <w:t>其中：</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1）风机占地276.45㎡/个的地块共14个，每个地块内安装1台单机容量为3000kW的风机，地块形状呈圆形；</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2）风机占地300.48㎡/个的地块共2个，每个地块内安装1台单机容量为4000kW的风机，地块形状呈圆形；</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箱变占地</w:t>
      </w:r>
      <w:r>
        <w:rPr>
          <w:rFonts w:ascii="宋体" w:eastAsia="宋体" w:cs="宋体" w:hAnsi="宋体" w:hint="eastAsia"/>
          <w:color w:val="auto"/>
          <w:kern w:val="0"/>
          <w:sz w:val="28"/>
          <w:szCs w:val="28"/>
          <w:lang w:val="en-US" w:eastAsia="zh-CN"/>
        </w:rPr>
        <w:t>26㎡/个的地块共16个，地块形状呈矩形（5.2m×5m），在每个</w:t>
      </w:r>
      <w:r>
        <w:rPr>
          <w:rFonts w:ascii="宋体" w:eastAsia="宋体" w:cs="宋体" w:hAnsi="宋体" w:hint="eastAsia"/>
          <w:color w:val="auto"/>
          <w:kern w:val="0"/>
          <w:sz w:val="28"/>
          <w:szCs w:val="28"/>
          <w:lang w:eastAsia="zh-CN"/>
        </w:rPr>
        <w:t>箱变地块内</w:t>
      </w:r>
      <w:r>
        <w:rPr>
          <w:rFonts w:ascii="宋体" w:eastAsia="宋体" w:cs="宋体" w:hAnsi="宋体" w:hint="eastAsia"/>
          <w:color w:val="auto"/>
          <w:kern w:val="0"/>
          <w:sz w:val="28"/>
          <w:szCs w:val="28"/>
          <w:lang w:val="en-US" w:eastAsia="zh-CN"/>
        </w:rPr>
        <w:t>配备一台35kV箱式变压器。</w:t>
      </w:r>
    </w:p>
    <w:p>
      <w:pPr>
        <w:pStyle w:val="15"/>
        <w:ind w:firstLineChars="200" w:firstLine="560"/>
        <w:rPr>
          <w:rFonts w:hint="eastAsia"/>
          <w:color w:val="auto"/>
          <w:lang w:eastAsia="zh-CN"/>
        </w:rPr>
      </w:pPr>
      <w:r>
        <w:rPr>
          <w:rFonts w:ascii="宋体" w:eastAsia="宋体" w:cs="宋体" w:hAnsi="宋体" w:hint="eastAsia"/>
          <w:color w:val="auto"/>
          <w:kern w:val="0"/>
          <w:sz w:val="28"/>
          <w:szCs w:val="28"/>
          <w:lang w:eastAsia="zh-CN"/>
        </w:rPr>
        <w:t>本工程风力发电机与35</w:t>
      </w:r>
      <w:r>
        <w:rPr>
          <w:rFonts w:cs="宋体" w:hAnsi="宋体" w:hint="eastAsia"/>
          <w:color w:val="auto"/>
          <w:kern w:val="0"/>
          <w:sz w:val="28"/>
          <w:szCs w:val="28"/>
          <w:lang w:eastAsia="zh-CN"/>
        </w:rPr>
        <w:t>kV</w:t>
      </w:r>
      <w:r>
        <w:rPr>
          <w:rFonts w:ascii="宋体" w:eastAsia="宋体" w:cs="宋体" w:hAnsi="宋体" w:hint="eastAsia"/>
          <w:color w:val="auto"/>
          <w:kern w:val="0"/>
          <w:sz w:val="28"/>
          <w:szCs w:val="28"/>
          <w:lang w:eastAsia="zh-CN"/>
        </w:rPr>
        <w:t xml:space="preserve"> 箱式变电站组合方式采用一机一变方案，即每台风机配备一台箱式变电站，布置于风机基础电缆埋管的出线侧。各风电机组以35</w:t>
      </w:r>
      <w:r>
        <w:rPr>
          <w:rFonts w:cs="宋体" w:hAnsi="宋体" w:hint="eastAsia"/>
          <w:color w:val="auto"/>
          <w:kern w:val="0"/>
          <w:sz w:val="28"/>
          <w:szCs w:val="28"/>
          <w:lang w:eastAsia="zh-CN"/>
        </w:rPr>
        <w:t>kV</w:t>
      </w:r>
      <w:r>
        <w:rPr>
          <w:rFonts w:ascii="宋体" w:eastAsia="宋体" w:cs="宋体" w:hAnsi="宋体" w:hint="eastAsia"/>
          <w:color w:val="auto"/>
          <w:kern w:val="0"/>
          <w:sz w:val="28"/>
          <w:szCs w:val="28"/>
          <w:lang w:eastAsia="zh-CN"/>
        </w:rPr>
        <w:t>集电线路接入升压站</w:t>
      </w:r>
      <w:r>
        <w:rPr>
          <w:rFonts w:cs="宋体" w:hAnsi="宋体" w:hint="eastAsia"/>
          <w:color w:val="auto"/>
          <w:kern w:val="0"/>
          <w:sz w:val="28"/>
          <w:szCs w:val="28"/>
          <w:lang w:eastAsia="zh-CN"/>
        </w:rPr>
        <w:t>用地</w:t>
      </w:r>
      <w:r>
        <w:rPr>
          <w:rFonts w:ascii="宋体" w:eastAsia="宋体" w:cs="宋体" w:hAnsi="宋体" w:hint="eastAsia"/>
          <w:color w:val="auto"/>
          <w:kern w:val="0"/>
          <w:sz w:val="28"/>
          <w:szCs w:val="28"/>
          <w:lang w:eastAsia="zh-CN"/>
        </w:rPr>
        <w:t>。从升压站以110</w:t>
      </w:r>
      <w:r>
        <w:rPr>
          <w:rFonts w:cs="宋体" w:hAnsi="宋体" w:hint="eastAsia"/>
          <w:color w:val="auto"/>
          <w:kern w:val="0"/>
          <w:sz w:val="28"/>
          <w:szCs w:val="28"/>
          <w:lang w:eastAsia="zh-CN"/>
        </w:rPr>
        <w:t>kV</w:t>
      </w:r>
      <w:r>
        <w:rPr>
          <w:rFonts w:ascii="宋体" w:eastAsia="宋体" w:cs="宋体" w:hAnsi="宋体" w:hint="eastAsia"/>
          <w:color w:val="auto"/>
          <w:kern w:val="0"/>
          <w:sz w:val="28"/>
          <w:szCs w:val="28"/>
          <w:lang w:eastAsia="zh-CN"/>
        </w:rPr>
        <w:t>等级电压接入电网系统</w:t>
      </w:r>
      <w:r>
        <w:rPr>
          <w:rFonts w:cs="宋体" w:hAnsi="宋体" w:hint="eastAsia"/>
          <w:color w:val="auto"/>
          <w:kern w:val="0"/>
          <w:sz w:val="28"/>
          <w:szCs w:val="28"/>
          <w:lang w:eastAsia="zh-CN"/>
        </w:rPr>
        <w:t>。</w:t>
      </w:r>
    </w:p>
    <w:p>
      <w:pPr>
        <w:widowControl/>
        <w:spacing w:before="4" w:line="360" w:lineRule="auto"/>
        <w:ind w:left="118" w:right="351" w:firstLineChars="200" w:firstLine="560"/>
        <w:jc w:val="left"/>
        <w:rPr>
          <w:rFonts w:hint="eastAsia"/>
          <w:color w:val="auto"/>
          <w:lang w:eastAsia="zh-CN"/>
        </w:rPr>
      </w:pP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升压站用地布局</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eastAsia="zh-CN"/>
        </w:rPr>
        <w:t>本项目规划的升压站属110kV变电站，为钦北地区的中心站。升压站平面上呈矩形布置，南北偏东朝向，规划范围面积为</w:t>
      </w:r>
      <w:r>
        <w:rPr>
          <w:rFonts w:ascii="宋体" w:eastAsia="宋体" w:cs="宋体" w:hAnsi="宋体" w:hint="eastAsia"/>
          <w:color w:val="auto"/>
          <w:kern w:val="0"/>
          <w:sz w:val="28"/>
          <w:szCs w:val="28"/>
          <w:lang w:val="en-US" w:eastAsia="zh-CN"/>
        </w:rPr>
        <w:t>6017.44平方米，其中东面的209.44平方米长条形用地为升压站的站前进站道路用地，站内</w:t>
      </w:r>
      <w:r>
        <w:rPr>
          <w:rFonts w:ascii="宋体" w:eastAsia="宋体" w:cs="宋体" w:hAnsi="宋体" w:hint="eastAsia"/>
          <w:color w:val="auto"/>
          <w:kern w:val="0"/>
          <w:sz w:val="28"/>
          <w:szCs w:val="28"/>
          <w:lang w:eastAsia="zh-CN"/>
        </w:rPr>
        <w:t>地块南北长约</w:t>
      </w:r>
      <w:r>
        <w:rPr>
          <w:rFonts w:ascii="宋体" w:eastAsia="宋体" w:cs="宋体" w:hAnsi="宋体" w:hint="eastAsia"/>
          <w:color w:val="auto"/>
          <w:kern w:val="0"/>
          <w:sz w:val="28"/>
          <w:szCs w:val="28"/>
          <w:lang w:val="en-US" w:eastAsia="zh-CN"/>
        </w:rPr>
        <w:t>88米，东西长约66米。升压站地块内主要布局规划</w:t>
      </w:r>
      <w:r>
        <w:rPr>
          <w:rFonts w:ascii="宋体" w:eastAsia="宋体" w:cs="宋体" w:hAnsi="宋体" w:hint="eastAsia"/>
          <w:color w:val="auto"/>
          <w:kern w:val="0"/>
          <w:sz w:val="28"/>
          <w:szCs w:val="28"/>
          <w:lang w:eastAsia="zh-CN"/>
        </w:rPr>
        <w:t>运行管理中心用地</w:t>
      </w:r>
      <w:r>
        <w:rPr>
          <w:rFonts w:ascii="宋体" w:eastAsia="宋体" w:cs="宋体" w:hAnsi="宋体" w:hint="eastAsia"/>
          <w:color w:val="auto"/>
          <w:kern w:val="0"/>
          <w:sz w:val="28"/>
          <w:szCs w:val="28"/>
          <w:lang w:val="en-US" w:eastAsia="zh-CN"/>
        </w:rPr>
        <w:t>、</w:t>
      </w:r>
      <w:r>
        <w:rPr>
          <w:rFonts w:ascii="宋体" w:eastAsia="宋体" w:cs="宋体" w:hAnsi="宋体" w:hint="eastAsia"/>
          <w:color w:val="auto"/>
          <w:kern w:val="0"/>
          <w:sz w:val="28"/>
          <w:szCs w:val="28"/>
          <w:lang w:eastAsia="zh-CN"/>
        </w:rPr>
        <w:t>升压变电生产</w:t>
      </w:r>
      <w:r>
        <w:rPr>
          <w:rFonts w:ascii="宋体" w:eastAsia="宋体" w:cs="宋体" w:hAnsi="宋体" w:hint="eastAsia"/>
          <w:color w:val="auto"/>
          <w:kern w:val="0"/>
          <w:sz w:val="28"/>
          <w:szCs w:val="28"/>
          <w:lang w:val="en-US" w:eastAsia="zh-CN"/>
        </w:rPr>
        <w:t>用地、站内道路用地、站前交通用地、绿地等建设用地，远期规划运行人员共约46人。</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运行管理中心用地</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运行管理中心用地包括生产建筑及辅助生产建筑用地和生活服务设施用地。生产建筑及辅助生产建筑用地主要包括风电场中控室、继保室、蓄电池室、通信室、办公室、会议室等。生活服务设施用地包括职工宿舍、食堂、活动中心等设施用地。参</w:t>
      </w:r>
      <w:r>
        <w:rPr>
          <w:rFonts w:ascii="宋体" w:eastAsia="宋体" w:cs="宋体" w:hAnsi="宋体" w:hint="eastAsia"/>
          <w:color w:val="auto"/>
          <w:kern w:val="0"/>
          <w:sz w:val="28"/>
          <w:szCs w:val="28"/>
          <w:lang w:val="en-US" w:eastAsia="zh-CN"/>
        </w:rPr>
        <w:t>照《风电场工程设计导则》第5.5.4.2.2条：“主控制楼与办公楼合建的综合楼根据规模和需要可采用一层～三层建筑……”</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根据场址现状地形和升压站远期规模，在地块北面拟规划一栋三层综合楼，主要为管理人员和生产人员的办公、生活场地。一期企业定员共32人，其中办公管理人员10人，生产人员22人；远期规划企业定员共约46人，规划布局符合《风电场工程设计导则》，其余未设置的辅助生产等用房根据规范导则同步合理布局。</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升压变电生产</w:t>
      </w:r>
      <w:r>
        <w:rPr>
          <w:rFonts w:ascii="宋体" w:eastAsia="宋体" w:cs="宋体" w:hAnsi="宋体" w:hint="eastAsia"/>
          <w:color w:val="auto"/>
          <w:kern w:val="0"/>
          <w:sz w:val="28"/>
          <w:szCs w:val="28"/>
          <w:lang w:val="en-US" w:eastAsia="zh-CN"/>
        </w:rPr>
        <w:t>用地</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eastAsia="zh-CN"/>
        </w:rPr>
        <w:t>升压变电生产</w:t>
      </w:r>
      <w:r>
        <w:rPr>
          <w:rFonts w:ascii="宋体" w:eastAsia="宋体" w:cs="宋体" w:hAnsi="宋体" w:hint="eastAsia"/>
          <w:color w:val="auto"/>
          <w:kern w:val="0"/>
          <w:sz w:val="28"/>
          <w:szCs w:val="28"/>
          <w:lang w:val="en-US" w:eastAsia="zh-CN"/>
        </w:rPr>
        <w:t>用地主要包括生产建筑用地和辅助生产建筑用地。生产建筑用地包括升压设备、变配电设备用地等；辅助生产建筑用地包括备品备件库房、消防设备间、水泵房、消防水池、主变压器事故油池、电缆廊道等用地。</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参照《风电场工程设计导则》第5.5.2.13条：“变电站的生产楼宜设置二层……100MW及以上风电场变电站35kV配电装置宜布置在靠近主变的位置，35kV配电装置从工艺布置、人员安全上考虑可不与综合楼合并。若变电站为地区的中心站，可根据需要增大建筑面积。”地块南面拟规划一栋二层配电楼且靠近主变，备品备件库房布置在地块西面，水泵房及消防水池布置在地块东面，符合规划布局，其余未配备完善的功能用房根据规范、导则合理设置。</w:t>
      </w:r>
    </w:p>
    <w:p>
      <w:pPr>
        <w:widowControl/>
        <w:spacing w:before="4" w:line="360" w:lineRule="auto"/>
        <w:ind w:right="351"/>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drawing>
          <wp:inline distT="0" distB="0" distL="114300" distR="114300">
            <wp:extent cx="5269865" cy="4523740"/>
            <wp:effectExtent l="0" t="0" r="47" b="6"/>
            <wp:docPr id="49" name="图片 1" descr="00古道岭升压站总平图蓝图_t3-Model"/>
            <wp:cNvGraphicFramePr>
              <a:graphicFrameLocks noChangeAspect="1"/>
            </wp:cNvGraphicFramePr>
            <a:graphic>
              <a:graphicData uri="http://schemas.openxmlformats.org/drawingml/2006/picture">
                <pic:pic>
                  <pic:nvPicPr>
                    <pic:cNvPr id="50" name="图片 1 50"/>
                    <pic:cNvPicPr/>
                  </pic:nvPicPr>
                  <pic:blipFill>
                    <a:blip r:embed="rId19"/>
                    <a:stretch>
                      <a:fillRect/>
                    </a:stretch>
                  </pic:blipFill>
                  <pic:spPr>
                    <a:xfrm rot="0">
                      <a:off x="0" y="0"/>
                      <a:ext cx="5269865" cy="4523740"/>
                    </a:xfrm>
                    <a:prstGeom prst="rect"/>
                    <a:noFill/>
                    <a:ln w="9525" cmpd="sng" cap="flat">
                      <a:noFill/>
                      <a:prstDash val="solid"/>
                      <a:miter/>
                    </a:ln>
                  </pic:spPr>
                </pic:pic>
              </a:graphicData>
            </a:graphic>
          </wp:inline>
        </w:drawing>
      </w:r>
    </w:p>
    <w:p>
      <w:pPr>
        <w:widowControl/>
        <w:spacing w:before="4" w:line="360" w:lineRule="auto"/>
        <w:ind w:right="351"/>
        <w:jc w:val="center"/>
        <w:rPr>
          <w:rFonts w:ascii="宋体" w:eastAsia="宋体" w:cs="宋体" w:hAnsi="宋体" w:hint="eastAsia"/>
          <w:color w:val="auto"/>
          <w:kern w:val="0"/>
          <w:sz w:val="28"/>
          <w:szCs w:val="28"/>
          <w:lang w:val="en-US" w:eastAsia="zh-CN"/>
        </w:rPr>
      </w:pPr>
      <w:r>
        <w:rPr>
          <w:rFonts w:hint="eastAsia"/>
          <w:b/>
          <w:bCs/>
          <w:color w:val="auto"/>
          <w:sz w:val="24"/>
          <w:lang w:eastAsia="zh-CN"/>
        </w:rPr>
        <w:t>升压站平面布局示意图</w:t>
      </w:r>
    </w:p>
    <w:p>
      <w:pPr>
        <w:widowControl/>
        <w:spacing w:before="4" w:line="360" w:lineRule="auto"/>
        <w:ind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3）站内</w:t>
      </w:r>
      <w:r>
        <w:rPr>
          <w:rFonts w:ascii="宋体" w:eastAsia="宋体" w:cs="宋体" w:hAnsi="宋体" w:hint="eastAsia"/>
          <w:color w:val="auto"/>
          <w:kern w:val="0"/>
          <w:sz w:val="28"/>
          <w:szCs w:val="28"/>
          <w:lang w:eastAsia="zh-CN"/>
        </w:rPr>
        <w:t>道路</w:t>
      </w:r>
      <w:r>
        <w:rPr>
          <w:rFonts w:ascii="宋体" w:eastAsia="宋体" w:cs="宋体" w:hAnsi="宋体" w:hint="eastAsia"/>
          <w:color w:val="auto"/>
          <w:kern w:val="0"/>
          <w:sz w:val="28"/>
          <w:szCs w:val="28"/>
          <w:lang w:val="en-US" w:eastAsia="zh-CN"/>
        </w:rPr>
        <w:t>用地</w:t>
      </w:r>
    </w:p>
    <w:p>
      <w:pPr>
        <w:widowControl/>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hint="eastAsia"/>
          <w:color w:val="auto"/>
          <w:kern w:val="0"/>
          <w:sz w:val="28"/>
          <w:szCs w:val="28"/>
          <w:lang w:eastAsia="zh-CN"/>
        </w:rPr>
        <w:t>升压站内道路布置除满足运行、检修、设备安装要求外，还应符合安全、消防、节约用地的有关规定</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升压站的主干道应布置成环形，如成环有困难时，应具备回车条件。站内道路宜采用混凝土路面或沥青路面，出入口宽度和主干道</w:t>
      </w:r>
      <w:r>
        <w:rPr>
          <w:rFonts w:ascii="宋体" w:eastAsia="宋体" w:cs="宋体" w:hAnsi="宋体" w:hint="eastAsia"/>
          <w:color w:val="auto"/>
          <w:kern w:val="0"/>
          <w:sz w:val="28"/>
          <w:szCs w:val="28"/>
        </w:rPr>
        <w:t>红线宽度</w:t>
      </w:r>
      <w:r>
        <w:rPr>
          <w:rFonts w:ascii="宋体" w:eastAsia="宋体" w:cs="宋体" w:hAnsi="宋体" w:hint="eastAsia"/>
          <w:color w:val="auto"/>
          <w:kern w:val="0"/>
          <w:sz w:val="28"/>
          <w:szCs w:val="28"/>
          <w:lang w:eastAsia="zh-CN"/>
        </w:rPr>
        <w:t>不宜小于</w:t>
      </w:r>
      <w:r>
        <w:rPr>
          <w:rFonts w:ascii="宋体" w:eastAsia="宋体" w:cs="宋体" w:hAnsi="宋体" w:hint="eastAsia"/>
          <w:color w:val="auto"/>
          <w:kern w:val="0"/>
          <w:sz w:val="28"/>
          <w:szCs w:val="28"/>
        </w:rPr>
        <w:t>4米</w:t>
      </w:r>
      <w:r>
        <w:rPr>
          <w:rFonts w:ascii="宋体" w:eastAsia="宋体" w:cs="宋体" w:hAnsi="宋体" w:hint="eastAsia"/>
          <w:color w:val="auto"/>
          <w:kern w:val="0"/>
          <w:sz w:val="28"/>
          <w:szCs w:val="28"/>
          <w:lang w:eastAsia="zh-CN"/>
        </w:rPr>
        <w:t>，达到消防车通行、大型施工车辆运行、检修等方面的要求，站内支路红线宽度规划为</w:t>
      </w:r>
      <w:r>
        <w:rPr>
          <w:rFonts w:ascii="宋体" w:eastAsia="宋体" w:cs="宋体" w:hAnsi="宋体" w:hint="eastAsia"/>
          <w:color w:val="auto"/>
          <w:kern w:val="0"/>
          <w:sz w:val="28"/>
          <w:szCs w:val="28"/>
          <w:lang w:val="en-US" w:eastAsia="zh-CN"/>
        </w:rPr>
        <w:t>2.5～3米，满足一般车辆和行人的需求。</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拟在升压站地块内铺设混凝土路面和停车场用地</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行车道宽度</w:t>
      </w:r>
      <w:r>
        <w:rPr>
          <w:rFonts w:ascii="宋体" w:eastAsia="宋体" w:cs="宋体" w:hAnsi="宋体" w:hint="eastAsia"/>
          <w:color w:val="auto"/>
          <w:kern w:val="0"/>
          <w:sz w:val="28"/>
          <w:szCs w:val="28"/>
          <w:lang w:val="en-US" w:eastAsia="zh-CN"/>
        </w:rPr>
        <w:t>4米，成环形布置，连接各功能用房，办公管理人员的</w:t>
      </w:r>
      <w:r>
        <w:rPr>
          <w:rFonts w:ascii="宋体" w:eastAsia="宋体" w:cs="宋体" w:hAnsi="宋体" w:hint="eastAsia"/>
          <w:color w:val="auto"/>
          <w:kern w:val="0"/>
          <w:sz w:val="28"/>
          <w:szCs w:val="28"/>
        </w:rPr>
        <w:t>机动车从东侧大门进入场区后主要就近停放在综合楼前的停车场内</w:t>
      </w:r>
      <w:r>
        <w:rPr>
          <w:rFonts w:ascii="宋体" w:eastAsia="宋体" w:cs="宋体" w:hAnsi="宋体" w:hint="eastAsia"/>
          <w:color w:val="auto"/>
          <w:kern w:val="0"/>
          <w:sz w:val="28"/>
          <w:szCs w:val="28"/>
          <w:lang w:eastAsia="zh-CN"/>
        </w:rPr>
        <w:t>。</w:t>
      </w:r>
    </w:p>
    <w:p>
      <w:pPr>
        <w:widowControl/>
        <w:autoSpaceDE w:val="0"/>
        <w:autoSpaceDN w:val="0"/>
        <w:spacing w:before="4" w:line="360" w:lineRule="auto"/>
        <w:ind w:left="118" w:right="351" w:firstLineChars="200" w:firstLine="560"/>
        <w:jc w:val="left"/>
        <w:rPr>
          <w:color w:val="auto"/>
          <w:kern w:val="0"/>
          <w:sz w:val="28"/>
          <w:szCs w:val="28"/>
          <w:lang w:val="en-US"/>
        </w:rPr>
      </w:pP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lang w:eastAsia="zh-CN"/>
        </w:rPr>
        <w:t>站前交通</w:t>
      </w:r>
      <w:r>
        <w:rPr>
          <w:rFonts w:ascii="宋体" w:eastAsia="宋体" w:cs="宋体" w:hAnsi="宋体" w:hint="eastAsia"/>
          <w:color w:val="auto"/>
          <w:kern w:val="0"/>
          <w:sz w:val="28"/>
          <w:szCs w:val="28"/>
          <w:lang w:val="en-US" w:eastAsia="zh-CN"/>
        </w:rPr>
        <w:t>用地</w:t>
      </w:r>
    </w:p>
    <w:p>
      <w:pPr>
        <w:pStyle w:val="18"/>
        <w:autoSpaceDE w:val="0"/>
        <w:autoSpaceDN w:val="0"/>
        <w:spacing w:before="4" w:line="360" w:lineRule="auto"/>
        <w:ind w:right="351" w:firstLineChars="200" w:firstLine="560"/>
        <w:jc w:val="left"/>
        <w:rPr>
          <w:rFonts w:hint="eastAsia"/>
          <w:color w:val="auto"/>
          <w:kern w:val="0"/>
          <w:sz w:val="28"/>
          <w:szCs w:val="28"/>
          <w:lang w:val="en-US" w:eastAsia="zh-CN"/>
        </w:rPr>
      </w:pPr>
      <w:r>
        <w:rPr>
          <w:rFonts w:hint="eastAsia"/>
          <w:color w:val="auto"/>
          <w:kern w:val="0"/>
          <w:sz w:val="28"/>
          <w:szCs w:val="28"/>
          <w:lang w:val="en-US" w:eastAsia="zh-CN"/>
        </w:rPr>
        <w:t>升压站</w:t>
      </w:r>
      <w:r>
        <w:rPr>
          <w:rFonts w:hint="eastAsia"/>
          <w:color w:val="auto"/>
          <w:kern w:val="0"/>
          <w:sz w:val="28"/>
          <w:szCs w:val="28"/>
          <w:lang w:val="en-US"/>
        </w:rPr>
        <w:t>地块用地面积为6017.44平方米，其中东面的209.4</w:t>
      </w:r>
      <w:r>
        <w:rPr>
          <w:rFonts w:hint="eastAsia"/>
          <w:color w:val="auto"/>
          <w:kern w:val="0"/>
          <w:sz w:val="28"/>
          <w:szCs w:val="28"/>
          <w:lang w:val="en-US" w:eastAsia="zh-CN"/>
        </w:rPr>
        <w:t>4</w:t>
      </w:r>
      <w:r>
        <w:rPr>
          <w:rFonts w:hint="eastAsia"/>
          <w:color w:val="auto"/>
          <w:kern w:val="0"/>
          <w:sz w:val="28"/>
          <w:szCs w:val="28"/>
          <w:lang w:val="en-US"/>
        </w:rPr>
        <w:t>平方米长条形用地为升压站的站前进站道路用地，长41.88米，宽5米，往东接出原有道路</w:t>
      </w:r>
      <w:r>
        <w:rPr>
          <w:rFonts w:hint="eastAsia"/>
          <w:color w:val="auto"/>
          <w:kern w:val="0"/>
          <w:sz w:val="28"/>
          <w:szCs w:val="28"/>
          <w:lang w:val="en-US" w:eastAsia="zh-CN"/>
        </w:rPr>
        <w:t>，连接对外交通。</w:t>
      </w:r>
    </w:p>
    <w:p>
      <w:pPr>
        <w:widowControl/>
        <w:autoSpaceDE w:val="0"/>
        <w:autoSpaceDN w:val="0"/>
        <w:spacing w:before="4" w:line="360" w:lineRule="auto"/>
        <w:ind w:left="118" w:right="351" w:firstLineChars="200" w:firstLine="560"/>
        <w:jc w:val="left"/>
        <w:rPr>
          <w:color w:val="auto"/>
          <w:kern w:val="0"/>
          <w:sz w:val="28"/>
          <w:szCs w:val="28"/>
          <w:lang w:val="en-US"/>
        </w:rPr>
      </w:pPr>
      <w:r>
        <w:rPr>
          <w:rFonts w:ascii="宋体" w:eastAsia="宋体" w:cs="宋体" w:hAnsi="宋体" w:hint="eastAsia"/>
          <w:color w:val="auto"/>
          <w:kern w:val="0"/>
          <w:sz w:val="28"/>
          <w:szCs w:val="28"/>
          <w:lang w:val="en-US" w:eastAsia="zh-CN"/>
        </w:rPr>
        <w:t>5）绿地</w:t>
      </w:r>
    </w:p>
    <w:p>
      <w:pPr>
        <w:pStyle w:val="18"/>
        <w:autoSpaceDE w:val="0"/>
        <w:autoSpaceDN w:val="0"/>
        <w:spacing w:before="4" w:line="360" w:lineRule="auto"/>
        <w:ind w:right="351" w:firstLineChars="200" w:firstLine="560"/>
        <w:jc w:val="left"/>
        <w:rPr>
          <w:rFonts w:hint="eastAsia"/>
          <w:color w:val="auto"/>
          <w:kern w:val="0"/>
          <w:sz w:val="28"/>
          <w:szCs w:val="28"/>
          <w:lang w:val="en-US" w:eastAsia="zh-CN"/>
        </w:rPr>
      </w:pPr>
      <w:r>
        <w:rPr>
          <w:rFonts w:hint="eastAsia"/>
          <w:color w:val="auto"/>
          <w:kern w:val="0"/>
          <w:sz w:val="28"/>
          <w:szCs w:val="28"/>
          <w:lang w:val="en-US" w:eastAsia="zh-CN"/>
        </w:rPr>
        <w:t>在升压站</w:t>
      </w:r>
      <w:r>
        <w:rPr>
          <w:rFonts w:ascii="宋体" w:eastAsia="宋体" w:cs="宋体" w:hAnsi="宋体" w:hint="eastAsia"/>
          <w:color w:val="auto"/>
          <w:kern w:val="0"/>
          <w:sz w:val="28"/>
          <w:szCs w:val="28"/>
          <w:lang w:eastAsia="zh-CN"/>
        </w:rPr>
        <w:t>运行管理中心</w:t>
      </w:r>
      <w:r>
        <w:rPr>
          <w:rFonts w:cs="宋体" w:hint="eastAsia"/>
          <w:color w:val="auto"/>
          <w:kern w:val="0"/>
          <w:sz w:val="28"/>
          <w:szCs w:val="28"/>
          <w:lang w:eastAsia="zh-CN"/>
        </w:rPr>
        <w:t>区和</w:t>
      </w:r>
      <w:r>
        <w:rPr>
          <w:rFonts w:hint="eastAsia"/>
          <w:color w:val="auto"/>
          <w:kern w:val="0"/>
          <w:sz w:val="28"/>
          <w:szCs w:val="28"/>
          <w:lang w:val="en-US"/>
        </w:rPr>
        <w:t>道路周围</w:t>
      </w:r>
      <w:r>
        <w:rPr>
          <w:rFonts w:hint="eastAsia"/>
          <w:color w:val="auto"/>
          <w:kern w:val="0"/>
          <w:sz w:val="28"/>
          <w:szCs w:val="28"/>
          <w:lang w:val="en-US" w:eastAsia="zh-CN"/>
        </w:rPr>
        <w:t>以及</w:t>
      </w:r>
      <w:r>
        <w:rPr>
          <w:rFonts w:hint="eastAsia"/>
          <w:color w:val="auto"/>
          <w:kern w:val="0"/>
          <w:sz w:val="28"/>
          <w:szCs w:val="28"/>
          <w:lang w:val="en-US"/>
        </w:rPr>
        <w:t>站内未利用空地可根据实际需要规划种植适应本地区气候条件的耐旱灌木及花草进行绿化和美化</w:t>
      </w:r>
      <w:r>
        <w:rPr>
          <w:rFonts w:hint="eastAsia"/>
          <w:color w:val="auto"/>
          <w:kern w:val="0"/>
          <w:sz w:val="28"/>
          <w:szCs w:val="28"/>
          <w:lang w:val="en-US" w:eastAsia="zh-CN"/>
        </w:rPr>
        <w:t>。</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43" w:name="_Toc28224"/>
      <w:r>
        <w:rPr>
          <w:rFonts w:ascii="宋体" w:eastAsia="宋体" w:cs="宋体" w:hAnsi="宋体" w:hint="eastAsia"/>
          <w:bCs/>
          <w:color w:val="auto"/>
          <w:sz w:val="32"/>
          <w:szCs w:val="32"/>
          <w:lang w:val="en-US" w:eastAsia="zh-CN"/>
        </w:rPr>
        <w:t>3.4用地规划与相邻区域关系</w:t>
      </w:r>
      <w:bookmarkEnd w:id="43"/>
    </w:p>
    <w:p>
      <w:pPr>
        <w:pStyle w:val="18"/>
        <w:autoSpaceDE w:val="0"/>
        <w:autoSpaceDN w:val="0"/>
        <w:spacing w:before="4" w:line="360" w:lineRule="auto"/>
        <w:ind w:right="351" w:firstLineChars="200" w:firstLine="560"/>
        <w:jc w:val="left"/>
        <w:rPr>
          <w:rFonts w:hint="eastAsia"/>
          <w:color w:val="auto"/>
          <w:kern w:val="0"/>
          <w:sz w:val="28"/>
          <w:szCs w:val="28"/>
          <w:lang w:val="en-US" w:eastAsia="zh-CN"/>
        </w:rPr>
      </w:pPr>
      <w:r>
        <w:rPr>
          <w:rFonts w:hint="eastAsia"/>
          <w:color w:val="auto"/>
          <w:kern w:val="0"/>
          <w:sz w:val="28"/>
          <w:szCs w:val="28"/>
          <w:lang w:val="en-US" w:eastAsia="zh-CN"/>
        </w:rPr>
        <w:t>（1）对相邻区域的影响</w:t>
      </w:r>
    </w:p>
    <w:p>
      <w:pPr>
        <w:pStyle w:val="18"/>
        <w:autoSpaceDE w:val="0"/>
        <w:autoSpaceDN w:val="0"/>
        <w:spacing w:before="4" w:line="360" w:lineRule="auto"/>
        <w:ind w:right="351" w:firstLineChars="200" w:firstLine="560"/>
        <w:jc w:val="left"/>
        <w:rPr>
          <w:rFonts w:hint="eastAsia"/>
          <w:color w:val="auto"/>
          <w:kern w:val="0"/>
          <w:sz w:val="28"/>
          <w:szCs w:val="28"/>
          <w:lang w:val="en-US" w:eastAsia="zh-CN"/>
        </w:rPr>
      </w:pPr>
      <w:r>
        <w:rPr>
          <w:rFonts w:hint="eastAsia"/>
          <w:color w:val="auto"/>
          <w:kern w:val="0"/>
          <w:sz w:val="28"/>
          <w:szCs w:val="28"/>
          <w:lang w:val="en-US" w:eastAsia="zh-CN"/>
        </w:rPr>
        <w:t>用地</w:t>
      </w:r>
      <w:r>
        <w:rPr>
          <w:rFonts w:hint="eastAsia"/>
          <w:color w:val="auto"/>
          <w:kern w:val="0"/>
          <w:sz w:val="28"/>
          <w:szCs w:val="28"/>
          <w:lang w:val="en-US"/>
        </w:rPr>
        <w:t>周边区域主要为林地、草地等，不涉及</w:t>
      </w:r>
      <w:r>
        <w:rPr>
          <w:rFonts w:hint="eastAsia"/>
          <w:color w:val="auto"/>
          <w:kern w:val="0"/>
          <w:sz w:val="28"/>
          <w:szCs w:val="28"/>
          <w:lang w:val="en-US" w:eastAsia="zh-CN"/>
        </w:rPr>
        <w:t>占用</w:t>
      </w:r>
      <w:r>
        <w:rPr>
          <w:rFonts w:hint="eastAsia"/>
          <w:color w:val="auto"/>
          <w:kern w:val="0"/>
          <w:sz w:val="28"/>
          <w:szCs w:val="28"/>
          <w:lang w:val="en-US"/>
        </w:rPr>
        <w:t>基本农田</w:t>
      </w:r>
      <w:r>
        <w:rPr>
          <w:rFonts w:hint="eastAsia"/>
          <w:color w:val="auto"/>
          <w:kern w:val="0"/>
          <w:sz w:val="28"/>
          <w:szCs w:val="28"/>
          <w:lang w:val="en-US" w:eastAsia="zh-CN"/>
        </w:rPr>
        <w:t>和</w:t>
      </w:r>
      <w:r>
        <w:rPr>
          <w:rFonts w:hint="eastAsia"/>
          <w:color w:val="auto"/>
          <w:sz w:val="28"/>
          <w:szCs w:val="28"/>
          <w:lang w:val="en-US" w:eastAsia="zh-CN"/>
        </w:rPr>
        <w:t>生态保护红线，</w:t>
      </w:r>
      <w:r>
        <w:rPr>
          <w:rFonts w:hint="eastAsia"/>
          <w:color w:val="auto"/>
          <w:kern w:val="0"/>
          <w:sz w:val="28"/>
          <w:szCs w:val="28"/>
          <w:lang w:val="en-US"/>
        </w:rPr>
        <w:t>规划</w:t>
      </w:r>
      <w:r>
        <w:rPr>
          <w:rFonts w:hint="eastAsia"/>
          <w:color w:val="auto"/>
          <w:kern w:val="0"/>
          <w:sz w:val="28"/>
          <w:szCs w:val="28"/>
          <w:lang w:val="en-US" w:eastAsia="zh-CN"/>
        </w:rPr>
        <w:t>项目</w:t>
      </w:r>
      <w:r>
        <w:rPr>
          <w:rFonts w:hint="eastAsia"/>
          <w:color w:val="auto"/>
          <w:kern w:val="0"/>
          <w:sz w:val="28"/>
          <w:szCs w:val="28"/>
          <w:lang w:val="en-US"/>
        </w:rPr>
        <w:t>地块为供电用地，</w:t>
      </w:r>
      <w:r>
        <w:rPr>
          <w:rFonts w:hint="eastAsia"/>
          <w:color w:val="auto"/>
          <w:kern w:val="0"/>
          <w:sz w:val="28"/>
          <w:szCs w:val="28"/>
          <w:lang w:val="en-US" w:eastAsia="zh-CN"/>
        </w:rPr>
        <w:t>是</w:t>
      </w:r>
      <w:r>
        <w:rPr>
          <w:rFonts w:hint="eastAsia"/>
          <w:color w:val="auto"/>
          <w:kern w:val="0"/>
          <w:sz w:val="28"/>
          <w:szCs w:val="28"/>
          <w:lang w:val="en-US"/>
        </w:rPr>
        <w:t>建设节能环保</w:t>
      </w:r>
      <w:r>
        <w:rPr>
          <w:rFonts w:hint="eastAsia"/>
          <w:color w:val="auto"/>
          <w:kern w:val="0"/>
          <w:sz w:val="28"/>
          <w:szCs w:val="28"/>
          <w:lang w:val="en-US" w:eastAsia="zh-CN"/>
        </w:rPr>
        <w:t>、</w:t>
      </w:r>
      <w:r>
        <w:rPr>
          <w:rFonts w:hint="eastAsia"/>
          <w:color w:val="auto"/>
          <w:kern w:val="0"/>
          <w:sz w:val="28"/>
          <w:szCs w:val="28"/>
          <w:lang w:val="en-US"/>
        </w:rPr>
        <w:t>清洁的可再生能源项目</w:t>
      </w:r>
      <w:r>
        <w:rPr>
          <w:rFonts w:hint="eastAsia"/>
          <w:color w:val="auto"/>
          <w:kern w:val="0"/>
          <w:sz w:val="28"/>
          <w:szCs w:val="28"/>
          <w:lang w:val="en-US" w:eastAsia="zh-CN"/>
        </w:rPr>
        <w:t>。以风电场</w:t>
      </w:r>
      <w:r>
        <w:rPr>
          <w:rFonts w:hint="eastAsia"/>
          <w:color w:val="auto"/>
          <w:kern w:val="0"/>
          <w:sz w:val="28"/>
          <w:szCs w:val="28"/>
          <w:lang w:val="en-US"/>
        </w:rPr>
        <w:t>升压站</w:t>
      </w:r>
      <w:r>
        <w:rPr>
          <w:rFonts w:hint="eastAsia"/>
          <w:color w:val="auto"/>
          <w:kern w:val="0"/>
          <w:sz w:val="28"/>
          <w:szCs w:val="28"/>
          <w:lang w:val="en-US" w:eastAsia="zh-CN"/>
        </w:rPr>
        <w:t>用地为中心</w:t>
      </w:r>
      <w:r>
        <w:rPr>
          <w:rFonts w:hint="eastAsia"/>
          <w:color w:val="auto"/>
          <w:sz w:val="28"/>
          <w:szCs w:val="28"/>
          <w:lang w:val="en-US" w:eastAsia="zh-CN"/>
        </w:rPr>
        <w:t>2公里范围内</w:t>
      </w:r>
      <w:r>
        <w:rPr>
          <w:rFonts w:hint="eastAsia"/>
          <w:color w:val="auto"/>
          <w:kern w:val="0"/>
          <w:sz w:val="28"/>
          <w:szCs w:val="28"/>
          <w:lang w:val="en-US" w:eastAsia="zh-CN"/>
        </w:rPr>
        <w:t>没有集中的居民点分布，也无其他大型专项设施，升压站</w:t>
      </w:r>
      <w:r>
        <w:rPr>
          <w:rFonts w:hint="eastAsia"/>
          <w:color w:val="auto"/>
          <w:kern w:val="0"/>
          <w:sz w:val="28"/>
          <w:szCs w:val="28"/>
          <w:lang w:val="en-US"/>
        </w:rPr>
        <w:t>运行期间</w:t>
      </w:r>
      <w:r>
        <w:rPr>
          <w:rFonts w:hint="eastAsia"/>
          <w:color w:val="auto"/>
          <w:kern w:val="0"/>
          <w:sz w:val="28"/>
          <w:szCs w:val="28"/>
          <w:lang w:val="en-US" w:eastAsia="zh-CN"/>
        </w:rPr>
        <w:t>的</w:t>
      </w:r>
      <w:r>
        <w:rPr>
          <w:rFonts w:hint="eastAsia"/>
          <w:color w:val="auto"/>
          <w:kern w:val="0"/>
          <w:sz w:val="28"/>
          <w:szCs w:val="28"/>
          <w:lang w:val="en-US"/>
        </w:rPr>
        <w:t>噪声</w:t>
      </w:r>
      <w:r>
        <w:rPr>
          <w:rFonts w:hint="eastAsia"/>
          <w:color w:val="auto"/>
          <w:kern w:val="0"/>
          <w:sz w:val="28"/>
          <w:szCs w:val="28"/>
          <w:lang w:val="en-US" w:eastAsia="zh-CN"/>
        </w:rPr>
        <w:t>、电磁辐射等</w:t>
      </w:r>
      <w:r>
        <w:rPr>
          <w:rFonts w:hint="eastAsia"/>
          <w:color w:val="auto"/>
          <w:kern w:val="0"/>
          <w:sz w:val="28"/>
          <w:szCs w:val="28"/>
          <w:lang w:val="en-US"/>
        </w:rPr>
        <w:t>对周边环境影响很小</w:t>
      </w:r>
      <w:r>
        <w:rPr>
          <w:rFonts w:hint="eastAsia"/>
          <w:color w:val="auto"/>
          <w:kern w:val="0"/>
          <w:sz w:val="28"/>
          <w:szCs w:val="28"/>
          <w:lang w:val="en-US" w:eastAsia="zh-CN"/>
        </w:rPr>
        <w:t>，用地规划</w:t>
      </w:r>
      <w:r>
        <w:rPr>
          <w:rFonts w:hint="eastAsia"/>
          <w:color w:val="auto"/>
          <w:kern w:val="0"/>
          <w:sz w:val="28"/>
          <w:szCs w:val="28"/>
          <w:lang w:val="en-US"/>
        </w:rPr>
        <w:t>可与周边用地兼容</w:t>
      </w:r>
      <w:r>
        <w:rPr>
          <w:rFonts w:hint="eastAsia"/>
          <w:color w:val="auto"/>
          <w:kern w:val="0"/>
          <w:sz w:val="28"/>
          <w:szCs w:val="28"/>
          <w:lang w:val="en-US" w:eastAsia="zh-CN"/>
        </w:rPr>
        <w:t>。此外，风电场内的各风机塔与周边居民点的水平距离均在600米以上，风机运行噪声对当地居民基本无影响。</w:t>
      </w:r>
    </w:p>
    <w:p>
      <w:pPr>
        <w:pStyle w:val="18"/>
        <w:autoSpaceDE w:val="0"/>
        <w:autoSpaceDN w:val="0"/>
        <w:spacing w:before="4" w:line="360" w:lineRule="auto"/>
        <w:ind w:right="351" w:firstLineChars="200" w:firstLine="560"/>
        <w:jc w:val="left"/>
        <w:rPr>
          <w:rFonts w:hint="eastAsia"/>
          <w:color w:val="auto"/>
          <w:kern w:val="0"/>
          <w:sz w:val="28"/>
          <w:szCs w:val="28"/>
          <w:lang w:val="en-US"/>
        </w:rPr>
      </w:pPr>
      <w:r>
        <w:rPr>
          <w:rFonts w:hint="eastAsia"/>
          <w:color w:val="auto"/>
          <w:kern w:val="0"/>
          <w:sz w:val="28"/>
          <w:szCs w:val="28"/>
          <w:lang w:val="en-US" w:eastAsia="zh-CN"/>
        </w:rPr>
        <w:t>（2）与对外交通的衔接</w:t>
      </w:r>
    </w:p>
    <w:p>
      <w:pPr>
        <w:pStyle w:val="18"/>
        <w:autoSpaceDE w:val="0"/>
        <w:autoSpaceDN w:val="0"/>
        <w:spacing w:before="4" w:line="360" w:lineRule="auto"/>
        <w:ind w:right="351" w:firstLineChars="200" w:firstLine="560"/>
        <w:jc w:val="left"/>
        <w:rPr>
          <w:rFonts w:hint="eastAsia"/>
          <w:color w:val="auto"/>
          <w:kern w:val="0"/>
          <w:sz w:val="28"/>
          <w:szCs w:val="28"/>
          <w:lang w:val="en-US"/>
        </w:rPr>
      </w:pPr>
      <w:r>
        <w:rPr>
          <w:rFonts w:hint="eastAsia"/>
          <w:color w:val="auto"/>
          <w:kern w:val="0"/>
          <w:sz w:val="28"/>
          <w:szCs w:val="28"/>
          <w:lang w:val="en-US" w:eastAsia="zh-CN"/>
        </w:rPr>
        <w:t>风电场</w:t>
      </w:r>
      <w:r>
        <w:rPr>
          <w:rFonts w:hint="eastAsia"/>
          <w:color w:val="auto"/>
          <w:kern w:val="0"/>
          <w:sz w:val="28"/>
          <w:szCs w:val="28"/>
          <w:lang w:val="en-US"/>
        </w:rPr>
        <w:t>场址位于钦北区小董镇、平吉镇、大垌镇交界处附近，场址附近有G325国道和</w:t>
      </w:r>
      <w:r>
        <w:rPr>
          <w:rFonts w:hint="eastAsia"/>
          <w:color w:val="auto"/>
          <w:kern w:val="0"/>
          <w:sz w:val="28"/>
          <w:szCs w:val="28"/>
          <w:lang w:val="en-US" w:eastAsia="zh-CN"/>
        </w:rPr>
        <w:t>S312</w:t>
      </w:r>
      <w:r>
        <w:rPr>
          <w:rFonts w:hint="eastAsia"/>
          <w:color w:val="auto"/>
          <w:kern w:val="0"/>
          <w:sz w:val="28"/>
          <w:szCs w:val="28"/>
          <w:lang w:val="en-US"/>
        </w:rPr>
        <w:t>省道，并有一条通往采石场的水泥公路直达场址范围山脚处。在利用</w:t>
      </w:r>
      <w:r>
        <w:rPr>
          <w:rFonts w:hint="eastAsia"/>
          <w:color w:val="auto"/>
          <w:kern w:val="0"/>
          <w:sz w:val="28"/>
          <w:szCs w:val="28"/>
          <w:lang w:val="en-US" w:eastAsia="zh-CN"/>
        </w:rPr>
        <w:t>场内</w:t>
      </w:r>
      <w:r>
        <w:rPr>
          <w:rFonts w:hint="eastAsia"/>
          <w:color w:val="auto"/>
          <w:kern w:val="0"/>
          <w:sz w:val="28"/>
          <w:szCs w:val="28"/>
          <w:lang w:val="en-US"/>
        </w:rPr>
        <w:t>现有的交通便道基础上</w:t>
      </w:r>
      <w:r>
        <w:rPr>
          <w:rFonts w:hint="eastAsia"/>
          <w:color w:val="auto"/>
          <w:kern w:val="0"/>
          <w:sz w:val="28"/>
          <w:szCs w:val="28"/>
          <w:lang w:val="en-US" w:eastAsia="zh-CN"/>
        </w:rPr>
        <w:t>，</w:t>
      </w:r>
      <w:r>
        <w:rPr>
          <w:rFonts w:hint="eastAsia"/>
          <w:color w:val="auto"/>
          <w:kern w:val="0"/>
          <w:sz w:val="28"/>
          <w:szCs w:val="28"/>
          <w:lang w:val="en-US"/>
        </w:rPr>
        <w:t>再新建连接</w:t>
      </w:r>
      <w:r>
        <w:rPr>
          <w:rFonts w:hint="eastAsia"/>
          <w:color w:val="auto"/>
          <w:kern w:val="0"/>
          <w:sz w:val="28"/>
          <w:szCs w:val="28"/>
          <w:lang w:val="en-US" w:eastAsia="zh-CN"/>
        </w:rPr>
        <w:t>升压站和</w:t>
      </w:r>
      <w:r>
        <w:rPr>
          <w:rFonts w:hint="eastAsia"/>
          <w:color w:val="auto"/>
          <w:kern w:val="0"/>
          <w:sz w:val="28"/>
          <w:szCs w:val="28"/>
          <w:lang w:val="en-US"/>
        </w:rPr>
        <w:t>各风机的道路</w:t>
      </w:r>
      <w:r>
        <w:rPr>
          <w:rFonts w:hint="eastAsia"/>
          <w:color w:val="auto"/>
          <w:kern w:val="0"/>
          <w:sz w:val="28"/>
          <w:szCs w:val="28"/>
          <w:lang w:val="en-US" w:eastAsia="zh-CN"/>
        </w:rPr>
        <w:t>，尽可能</w:t>
      </w:r>
      <w:r>
        <w:rPr>
          <w:rFonts w:hint="eastAsia"/>
          <w:color w:val="auto"/>
          <w:kern w:val="0"/>
          <w:sz w:val="28"/>
          <w:szCs w:val="28"/>
          <w:lang w:val="en-US"/>
        </w:rPr>
        <w:t>减少对植被的破坏和节约投资</w:t>
      </w:r>
      <w:r>
        <w:rPr>
          <w:rFonts w:hint="eastAsia"/>
          <w:color w:val="auto"/>
          <w:kern w:val="0"/>
          <w:sz w:val="28"/>
          <w:szCs w:val="28"/>
          <w:lang w:val="en-US" w:eastAsia="zh-CN"/>
        </w:rPr>
        <w:t>。</w:t>
      </w:r>
      <w:r>
        <w:rPr>
          <w:rFonts w:hint="eastAsia"/>
          <w:color w:val="auto"/>
          <w:kern w:val="0"/>
          <w:sz w:val="28"/>
          <w:szCs w:val="28"/>
          <w:lang w:val="en-US"/>
        </w:rPr>
        <w:t>在风电场建成营运后，场区道路将作为</w:t>
      </w:r>
      <w:r>
        <w:rPr>
          <w:rFonts w:hint="eastAsia"/>
          <w:color w:val="auto"/>
          <w:kern w:val="0"/>
          <w:sz w:val="28"/>
          <w:szCs w:val="28"/>
          <w:lang w:val="en-US" w:eastAsia="zh-CN"/>
        </w:rPr>
        <w:t>公共道路和</w:t>
      </w:r>
      <w:r>
        <w:rPr>
          <w:rFonts w:hint="eastAsia"/>
          <w:color w:val="auto"/>
          <w:kern w:val="0"/>
          <w:sz w:val="28"/>
          <w:szCs w:val="28"/>
          <w:lang w:val="en-US"/>
        </w:rPr>
        <w:t>林业三产道路使用。</w:t>
      </w:r>
    </w:p>
    <w:p>
      <w:pPr>
        <w:pStyle w:val="18"/>
        <w:autoSpaceDE w:val="0"/>
        <w:autoSpaceDN w:val="0"/>
        <w:spacing w:before="4" w:line="360" w:lineRule="auto"/>
        <w:ind w:right="351" w:firstLineChars="200" w:firstLine="560"/>
        <w:jc w:val="left"/>
        <w:rPr>
          <w:rFonts w:hint="eastAsia"/>
          <w:color w:val="auto"/>
          <w:kern w:val="0"/>
          <w:sz w:val="28"/>
          <w:szCs w:val="28"/>
          <w:lang w:val="en-US"/>
        </w:rPr>
      </w:pPr>
      <w:r>
        <w:rPr>
          <w:rFonts w:hint="eastAsia"/>
          <w:color w:val="auto"/>
          <w:kern w:val="0"/>
          <w:sz w:val="28"/>
          <w:szCs w:val="28"/>
          <w:lang w:val="en-US" w:eastAsia="zh-CN"/>
        </w:rPr>
        <w:t>（3）与基础设施的衔接</w:t>
      </w:r>
    </w:p>
    <w:p>
      <w:pPr>
        <w:pStyle w:val="18"/>
        <w:autoSpaceDE w:val="0"/>
        <w:autoSpaceDN w:val="0"/>
        <w:spacing w:before="4" w:line="360" w:lineRule="auto"/>
        <w:ind w:right="351" w:firstLineChars="200" w:firstLine="560"/>
        <w:jc w:val="left"/>
        <w:rPr>
          <w:rFonts w:eastAsia="宋体" w:hint="eastAsia"/>
          <w:color w:val="auto"/>
          <w:kern w:val="0"/>
          <w:sz w:val="28"/>
          <w:szCs w:val="28"/>
          <w:lang w:val="en-US" w:eastAsia="zh-CN"/>
        </w:rPr>
      </w:pPr>
      <w:r>
        <w:rPr>
          <w:rFonts w:hint="eastAsia"/>
          <w:color w:val="auto"/>
          <w:kern w:val="0"/>
          <w:sz w:val="28"/>
          <w:szCs w:val="28"/>
          <w:lang w:val="en-US"/>
        </w:rPr>
        <w:t>项目</w:t>
      </w:r>
      <w:r>
        <w:rPr>
          <w:rFonts w:hint="eastAsia"/>
          <w:color w:val="auto"/>
          <w:kern w:val="0"/>
          <w:sz w:val="28"/>
          <w:szCs w:val="28"/>
          <w:lang w:val="en-US" w:eastAsia="zh-CN"/>
        </w:rPr>
        <w:t>场</w:t>
      </w:r>
      <w:r>
        <w:rPr>
          <w:rFonts w:hint="eastAsia"/>
          <w:color w:val="auto"/>
          <w:kern w:val="0"/>
          <w:sz w:val="28"/>
          <w:szCs w:val="28"/>
          <w:lang w:val="en-US"/>
        </w:rPr>
        <w:t>区距小董镇区直线距离约</w:t>
      </w:r>
      <w:r>
        <w:rPr>
          <w:rFonts w:hint="eastAsia"/>
          <w:color w:val="auto"/>
          <w:kern w:val="0"/>
          <w:sz w:val="28"/>
          <w:szCs w:val="28"/>
          <w:lang w:val="en-US" w:eastAsia="zh-CN"/>
        </w:rPr>
        <w:t>5</w:t>
      </w:r>
      <w:r>
        <w:rPr>
          <w:rFonts w:hint="eastAsia"/>
          <w:color w:val="auto"/>
          <w:kern w:val="0"/>
          <w:sz w:val="28"/>
          <w:szCs w:val="28"/>
          <w:lang w:val="en-US"/>
        </w:rPr>
        <w:t>公里，与平吉镇区直线距离约</w:t>
      </w:r>
      <w:r>
        <w:rPr>
          <w:rFonts w:hint="eastAsia"/>
          <w:color w:val="auto"/>
          <w:kern w:val="0"/>
          <w:sz w:val="28"/>
          <w:szCs w:val="28"/>
          <w:lang w:val="en-US" w:eastAsia="zh-CN"/>
        </w:rPr>
        <w:t>7</w:t>
      </w:r>
      <w:r>
        <w:rPr>
          <w:rFonts w:hint="eastAsia"/>
          <w:color w:val="auto"/>
          <w:kern w:val="0"/>
          <w:sz w:val="28"/>
          <w:szCs w:val="28"/>
          <w:lang w:val="en-US"/>
        </w:rPr>
        <w:t>公里，与大垌镇区直线距离约</w:t>
      </w:r>
      <w:r>
        <w:rPr>
          <w:rFonts w:hint="eastAsia"/>
          <w:color w:val="auto"/>
          <w:kern w:val="0"/>
          <w:sz w:val="28"/>
          <w:szCs w:val="28"/>
          <w:lang w:val="en-US" w:eastAsia="zh-CN"/>
        </w:rPr>
        <w:t>8</w:t>
      </w:r>
      <w:r>
        <w:rPr>
          <w:rFonts w:hint="eastAsia"/>
          <w:color w:val="auto"/>
          <w:kern w:val="0"/>
          <w:sz w:val="28"/>
          <w:szCs w:val="28"/>
          <w:lang w:val="en-US"/>
        </w:rPr>
        <w:t>公里</w:t>
      </w:r>
      <w:r>
        <w:rPr>
          <w:rFonts w:hint="eastAsia"/>
          <w:color w:val="auto"/>
          <w:kern w:val="0"/>
          <w:sz w:val="28"/>
          <w:szCs w:val="28"/>
          <w:lang w:val="en-US" w:eastAsia="zh-CN"/>
        </w:rPr>
        <w:t>。项目建设期用水可通过打井取水，供水、供电、通讯等基础设施有保障，</w:t>
      </w:r>
      <w:r>
        <w:rPr>
          <w:rFonts w:hint="eastAsia"/>
          <w:color w:val="auto"/>
          <w:kern w:val="0"/>
          <w:sz w:val="28"/>
          <w:szCs w:val="28"/>
          <w:lang w:val="en-US"/>
        </w:rPr>
        <w:t>项目建设所需材料主要有石料、砂、水泥、钢筋等，原材料在钦北区及周边市场均有足量供应，易于采购。钦州市境内建筑施工企业众多，技术力量及施工设备等可满足项目建设要求</w:t>
      </w:r>
      <w:r>
        <w:rPr>
          <w:rFonts w:hint="eastAsia"/>
          <w:color w:val="auto"/>
          <w:kern w:val="0"/>
          <w:sz w:val="28"/>
          <w:szCs w:val="28"/>
          <w:lang w:val="en-US" w:eastAsia="zh-CN"/>
        </w:rPr>
        <w:t>。</w:t>
      </w:r>
    </w:p>
    <w:p>
      <w:pPr>
        <w:pStyle w:val="18"/>
        <w:autoSpaceDE w:val="0"/>
        <w:autoSpaceDN w:val="0"/>
        <w:spacing w:before="4" w:line="360" w:lineRule="auto"/>
        <w:ind w:right="351" w:firstLineChars="200" w:firstLine="560"/>
        <w:jc w:val="left"/>
        <w:rPr>
          <w:rFonts w:ascii="宋体" w:eastAsia="宋体" w:cs="宋体" w:hAnsi="宋体" w:hint="eastAsia"/>
          <w:color w:val="auto"/>
          <w:kern w:val="0"/>
          <w:sz w:val="28"/>
          <w:szCs w:val="28"/>
          <w:lang w:eastAsia="zh-CN"/>
        </w:rPr>
      </w:pPr>
      <w:r>
        <w:rPr>
          <w:rFonts w:hint="eastAsia"/>
          <w:color w:val="auto"/>
          <w:kern w:val="0"/>
          <w:sz w:val="28"/>
          <w:szCs w:val="28"/>
          <w:lang w:val="en-US"/>
        </w:rPr>
        <w:t>钦州市及钦北区的优良工业负荷增速较快，为风电负荷就地消化提供条件。建设风电场</w:t>
      </w:r>
      <w:r>
        <w:rPr>
          <w:rFonts w:hint="eastAsia"/>
          <w:color w:val="auto"/>
          <w:kern w:val="0"/>
          <w:sz w:val="28"/>
          <w:szCs w:val="28"/>
          <w:lang w:val="en-US" w:eastAsia="zh-CN"/>
        </w:rPr>
        <w:t>项目占地</w:t>
      </w:r>
      <w:r>
        <w:rPr>
          <w:rFonts w:hint="eastAsia"/>
          <w:color w:val="auto"/>
          <w:kern w:val="0"/>
          <w:sz w:val="28"/>
          <w:szCs w:val="28"/>
          <w:lang w:val="en-US"/>
        </w:rPr>
        <w:t>规模相对较小，</w:t>
      </w:r>
      <w:r>
        <w:rPr>
          <w:rFonts w:hint="eastAsia"/>
          <w:color w:val="auto"/>
          <w:kern w:val="0"/>
          <w:sz w:val="28"/>
          <w:szCs w:val="28"/>
          <w:lang w:val="en-US" w:eastAsia="zh-CN"/>
        </w:rPr>
        <w:t>可有效地</w:t>
      </w:r>
      <w:r>
        <w:rPr>
          <w:rFonts w:hint="eastAsia"/>
          <w:color w:val="auto"/>
          <w:kern w:val="0"/>
          <w:sz w:val="28"/>
          <w:szCs w:val="28"/>
          <w:lang w:val="en-US"/>
        </w:rPr>
        <w:t>节约集约土地</w:t>
      </w:r>
      <w:r>
        <w:rPr>
          <w:rFonts w:hint="eastAsia"/>
          <w:color w:val="auto"/>
          <w:kern w:val="0"/>
          <w:sz w:val="28"/>
          <w:szCs w:val="28"/>
          <w:lang w:val="en-US" w:eastAsia="zh-CN"/>
        </w:rPr>
        <w:t>。编制地块控制性详细规划指导建设钦北区古道岭风电场一期工程项目，</w:t>
      </w:r>
      <w:r>
        <w:rPr>
          <w:rFonts w:hint="eastAsia"/>
          <w:color w:val="auto"/>
          <w:kern w:val="0"/>
          <w:sz w:val="28"/>
          <w:szCs w:val="28"/>
          <w:lang w:val="en-US"/>
        </w:rPr>
        <w:t>不但不会对电网稳定产生影响，还可配合国家电网，补充电网末端的电力供应，满足当地较为分散负荷的用电需求</w:t>
      </w:r>
      <w:r>
        <w:rPr>
          <w:rFonts w:hint="eastAsia"/>
          <w:color w:val="auto"/>
          <w:kern w:val="0"/>
          <w:sz w:val="28"/>
          <w:szCs w:val="28"/>
          <w:lang w:val="en-US" w:eastAsia="zh-CN"/>
        </w:rPr>
        <w:t>。项目建成后</w:t>
      </w:r>
      <w:r>
        <w:rPr>
          <w:rFonts w:ascii="宋体" w:eastAsia="宋体" w:cs="宋体" w:hAnsi="宋体"/>
          <w:color w:val="auto"/>
          <w:kern w:val="0"/>
          <w:sz w:val="28"/>
          <w:szCs w:val="28"/>
        </w:rPr>
        <w:t>以1回110</w:t>
      </w:r>
      <w:r>
        <w:rPr>
          <w:rFonts w:cs="宋体" w:hint="eastAsia"/>
          <w:color w:val="auto"/>
          <w:kern w:val="0"/>
          <w:sz w:val="28"/>
          <w:szCs w:val="28"/>
          <w:lang w:eastAsia="zh-CN"/>
        </w:rPr>
        <w:t>kV</w:t>
      </w:r>
      <w:r>
        <w:rPr>
          <w:rFonts w:ascii="宋体" w:eastAsia="宋体" w:cs="宋体" w:hAnsi="宋体"/>
          <w:color w:val="auto"/>
          <w:kern w:val="0"/>
          <w:sz w:val="28"/>
          <w:szCs w:val="28"/>
        </w:rPr>
        <w:t>线路接入拟建的220</w:t>
      </w:r>
      <w:r>
        <w:rPr>
          <w:rFonts w:cs="宋体" w:hint="eastAsia"/>
          <w:color w:val="auto"/>
          <w:kern w:val="0"/>
          <w:sz w:val="28"/>
          <w:szCs w:val="28"/>
          <w:lang w:eastAsia="zh-CN"/>
        </w:rPr>
        <w:t>kV</w:t>
      </w:r>
      <w:r>
        <w:rPr>
          <w:rFonts w:ascii="宋体" w:eastAsia="宋体" w:cs="宋体" w:hAnsi="宋体"/>
          <w:color w:val="auto"/>
          <w:kern w:val="0"/>
          <w:sz w:val="28"/>
          <w:szCs w:val="28"/>
        </w:rPr>
        <w:t>歌标站，线路长度约15km</w:t>
      </w:r>
      <w:r>
        <w:rPr>
          <w:rFonts w:cs="宋体" w:hint="eastAsia"/>
          <w:color w:val="auto"/>
          <w:kern w:val="0"/>
          <w:sz w:val="28"/>
          <w:szCs w:val="28"/>
          <w:lang w:eastAsia="zh-CN"/>
        </w:rPr>
        <w:t>。</w:t>
      </w:r>
    </w:p>
    <w:p>
      <w:pPr>
        <w:pStyle w:val="18"/>
        <w:autoSpaceDE w:val="0"/>
        <w:autoSpaceDN w:val="0"/>
        <w:spacing w:before="4" w:line="360" w:lineRule="auto"/>
        <w:ind w:right="351" w:firstLineChars="200" w:firstLine="560"/>
        <w:jc w:val="left"/>
        <w:rPr>
          <w:rFonts w:hint="eastAsia"/>
          <w:color w:val="auto"/>
          <w:kern w:val="0"/>
          <w:sz w:val="28"/>
          <w:szCs w:val="28"/>
          <w:lang w:val="en-US"/>
        </w:rPr>
      </w:pPr>
      <w:r>
        <w:rPr>
          <w:rFonts w:hint="eastAsia"/>
          <w:color w:val="auto"/>
          <w:kern w:val="0"/>
          <w:sz w:val="28"/>
          <w:szCs w:val="28"/>
          <w:lang w:val="en-US" w:eastAsia="zh-CN"/>
        </w:rPr>
        <w:t>（4）地下矿产资源及文物古迹状况</w:t>
      </w:r>
    </w:p>
    <w:p>
      <w:pPr>
        <w:pStyle w:val="18"/>
        <w:autoSpaceDE w:val="0"/>
        <w:autoSpaceDN w:val="0"/>
        <w:spacing w:before="4" w:line="360" w:lineRule="auto"/>
        <w:ind w:right="351" w:firstLineChars="200" w:firstLine="560"/>
        <w:jc w:val="left"/>
        <w:rPr>
          <w:rFonts w:hint="eastAsia"/>
          <w:color w:val="auto"/>
          <w:kern w:val="0"/>
          <w:sz w:val="28"/>
          <w:szCs w:val="28"/>
          <w:lang w:val="en-US" w:eastAsia="zh-CN"/>
        </w:rPr>
      </w:pPr>
      <w:r>
        <w:rPr>
          <w:rFonts w:hint="eastAsia"/>
          <w:color w:val="auto"/>
          <w:kern w:val="0"/>
          <w:sz w:val="28"/>
          <w:szCs w:val="28"/>
          <w:lang w:val="en-US" w:eastAsia="zh-CN"/>
        </w:rPr>
        <w:t>钦北区古道岭风电场一期工程项目的场址涉及范围面积较大，但实际用地面积较小，项目实际建设用地距南面石场最近距离约750米。本项目的工程设施、建构筑物数量少，工程活动主要位于升压站、风机及吊装平台里，建设项目的影响范围主要位于实际用地范围内，影响范围较小，根据</w:t>
      </w:r>
      <w:r>
        <w:rPr>
          <w:rFonts w:ascii="宋体" w:eastAsia="宋体" w:cs="宋体" w:hAnsi="宋体" w:hint="eastAsia"/>
          <w:color w:val="auto"/>
          <w:kern w:val="0"/>
          <w:sz w:val="28"/>
          <w:szCs w:val="28"/>
          <w:lang w:eastAsia="zh-CN"/>
        </w:rPr>
        <w:t>钦北区自然资源局</w:t>
      </w:r>
      <w:r>
        <w:rPr>
          <w:rFonts w:cs="宋体" w:hint="eastAsia"/>
          <w:color w:val="auto"/>
          <w:kern w:val="0"/>
          <w:sz w:val="28"/>
          <w:szCs w:val="28"/>
          <w:lang w:eastAsia="zh-CN"/>
        </w:rPr>
        <w:t>现有矿业权管理数据库和矿区规划空间数据库以及建设项目压覆矿查询坐标外推</w:t>
      </w:r>
      <w:r>
        <w:rPr>
          <w:rFonts w:cs="宋体" w:hint="eastAsia"/>
          <w:color w:val="auto"/>
          <w:kern w:val="0"/>
          <w:sz w:val="28"/>
          <w:szCs w:val="28"/>
          <w:lang w:val="en-US" w:eastAsia="zh-CN"/>
        </w:rPr>
        <w:t>310米（机位外扩310米）作压覆矿产资源查询范围，风机基础离最近矿区＞310 米，</w:t>
      </w:r>
      <w:r>
        <w:rPr>
          <w:rFonts w:hint="eastAsia"/>
          <w:color w:val="auto"/>
          <w:kern w:val="0"/>
          <w:sz w:val="28"/>
          <w:szCs w:val="28"/>
          <w:lang w:val="en-US" w:eastAsia="zh-CN"/>
        </w:rPr>
        <w:t>建设项目压覆矿评估范围内未发现已探明的重要矿床；没有采矿权、探矿权设置</w:t>
      </w:r>
      <w:r>
        <w:rPr>
          <w:rFonts w:hint="eastAsia"/>
          <w:color w:val="auto"/>
          <w:kern w:val="0"/>
          <w:sz w:val="28"/>
          <w:szCs w:val="28"/>
          <w:lang w:val="en-US"/>
        </w:rPr>
        <w:t>，也未发现有文物保护单位及古迹遗址分布，</w:t>
      </w:r>
      <w:r>
        <w:rPr>
          <w:rFonts w:hint="eastAsia"/>
          <w:color w:val="auto"/>
          <w:kern w:val="0"/>
          <w:sz w:val="28"/>
          <w:szCs w:val="28"/>
          <w:lang w:val="en-US" w:eastAsia="zh-CN"/>
        </w:rPr>
        <w:t>不在历史文化保护核心地段和控制建设区范围内，</w:t>
      </w:r>
      <w:r>
        <w:rPr>
          <w:rFonts w:hint="eastAsia"/>
          <w:color w:val="auto"/>
          <w:kern w:val="0"/>
          <w:sz w:val="28"/>
          <w:szCs w:val="28"/>
          <w:lang w:val="en-US"/>
        </w:rPr>
        <w:t>不存在压覆</w:t>
      </w:r>
      <w:r>
        <w:rPr>
          <w:rFonts w:hint="eastAsia"/>
          <w:color w:val="auto"/>
          <w:kern w:val="0"/>
          <w:sz w:val="28"/>
          <w:szCs w:val="28"/>
          <w:lang w:val="en-US" w:eastAsia="zh-CN"/>
        </w:rPr>
        <w:t>重要</w:t>
      </w:r>
      <w:r>
        <w:rPr>
          <w:rFonts w:hint="eastAsia"/>
          <w:color w:val="auto"/>
          <w:kern w:val="0"/>
          <w:sz w:val="28"/>
          <w:szCs w:val="28"/>
          <w:lang w:val="en-US"/>
        </w:rPr>
        <w:t>矿产资源和压埋文物古迹问题</w:t>
      </w:r>
      <w:r>
        <w:rPr>
          <w:rFonts w:cs="宋体" w:hint="eastAsia"/>
          <w:color w:val="auto"/>
          <w:kern w:val="0"/>
          <w:sz w:val="28"/>
          <w:szCs w:val="28"/>
          <w:lang w:eastAsia="zh-CN"/>
        </w:rPr>
        <w:t>。</w:t>
      </w:r>
    </w:p>
    <w:p>
      <w:pPr>
        <w:pStyle w:val="1"/>
        <w:numPr>
          <w:ilvl w:val="0"/>
          <w:numId w:val="0"/>
        </w:numPr>
        <w:spacing w:before="260" w:line="360" w:lineRule="auto"/>
        <w:ind w:left="420" w:right="351"/>
        <w:jc w:val="center"/>
        <w:rPr>
          <w:rFonts w:ascii="宋体" w:eastAsia="宋体" w:cs="宋体" w:hAnsi="宋体"/>
          <w:bCs/>
          <w:color w:val="auto"/>
          <w:sz w:val="32"/>
          <w:szCs w:val="32"/>
        </w:rPr>
      </w:pPr>
      <w:bookmarkStart w:id="44" w:name="_Toc29199"/>
      <w:r>
        <w:rPr>
          <w:rFonts w:ascii="宋体" w:eastAsia="宋体" w:cs="宋体" w:hAnsi="宋体" w:hint="eastAsia"/>
          <w:bCs/>
          <w:color w:val="auto"/>
          <w:sz w:val="32"/>
          <w:szCs w:val="32"/>
          <w:lang w:eastAsia="zh-CN"/>
        </w:rPr>
        <w:t>第四章</w:t>
      </w:r>
      <w:r>
        <w:rPr>
          <w:rFonts w:ascii="宋体" w:eastAsia="宋体" w:cs="宋体" w:hAnsi="宋体" w:hint="eastAsia"/>
          <w:bCs/>
          <w:color w:val="auto"/>
          <w:sz w:val="32"/>
          <w:szCs w:val="32"/>
          <w:lang w:val="en-US" w:eastAsia="zh-CN"/>
        </w:rPr>
        <w:t xml:space="preserve"> </w:t>
      </w:r>
      <w:r>
        <w:rPr>
          <w:rFonts w:ascii="宋体" w:eastAsia="宋体" w:cs="宋体" w:hAnsi="宋体" w:hint="eastAsia"/>
          <w:bCs/>
          <w:color w:val="auto"/>
          <w:sz w:val="32"/>
          <w:szCs w:val="32"/>
        </w:rPr>
        <w:t>综合交通及竖向规划</w:t>
      </w:r>
      <w:bookmarkEnd w:id="44"/>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45" w:name="_Toc29021"/>
      <w:r>
        <w:rPr>
          <w:rFonts w:ascii="宋体" w:eastAsia="宋体" w:cs="宋体" w:hAnsi="宋体" w:hint="eastAsia"/>
          <w:bCs/>
          <w:color w:val="auto"/>
          <w:sz w:val="32"/>
          <w:szCs w:val="32"/>
          <w:lang w:val="en-US" w:eastAsia="zh-CN"/>
        </w:rPr>
        <w:t>4.1综合交通规划</w:t>
      </w:r>
      <w:bookmarkEnd w:id="45"/>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）场外道路交通规划</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钦北区交通发达便捷，G75兰海高速公路、国道G325 和省道</w:t>
      </w:r>
      <w:r>
        <w:rPr>
          <w:rFonts w:ascii="宋体" w:eastAsia="宋体" w:cs="宋体" w:hAnsi="宋体" w:hint="eastAsia"/>
          <w:color w:val="auto"/>
          <w:kern w:val="0"/>
          <w:sz w:val="28"/>
          <w:szCs w:val="28"/>
          <w:lang w:eastAsia="zh-CN"/>
        </w:rPr>
        <w:t>S312</w:t>
      </w:r>
      <w:r>
        <w:rPr>
          <w:rFonts w:ascii="宋体" w:eastAsia="宋体" w:cs="宋体" w:hAnsi="宋体" w:hint="eastAsia"/>
          <w:color w:val="auto"/>
          <w:kern w:val="0"/>
          <w:sz w:val="28"/>
          <w:szCs w:val="28"/>
        </w:rPr>
        <w:t>、黎钦铁路等均贯穿境内，全区公路四通八达。</w:t>
      </w:r>
      <w:r>
        <w:rPr>
          <w:rFonts w:ascii="宋体" w:eastAsia="宋体" w:cs="宋体" w:hAnsi="宋体" w:hint="eastAsia"/>
          <w:color w:val="auto"/>
          <w:kern w:val="0"/>
          <w:sz w:val="28"/>
          <w:szCs w:val="28"/>
          <w:lang w:eastAsia="zh-CN"/>
        </w:rPr>
        <w:t>风电场</w:t>
      </w:r>
      <w:r>
        <w:rPr>
          <w:rFonts w:ascii="宋体" w:eastAsia="宋体" w:cs="宋体" w:hAnsi="宋体" w:hint="eastAsia"/>
          <w:color w:val="auto"/>
          <w:kern w:val="0"/>
          <w:sz w:val="28"/>
          <w:szCs w:val="28"/>
        </w:rPr>
        <w:t>场址位于钦北区小董镇、平吉镇、大垌镇交界处附近，</w:t>
      </w:r>
      <w:r>
        <w:rPr>
          <w:rFonts w:ascii="宋体" w:eastAsia="宋体" w:cs="宋体" w:hAnsi="宋体" w:hint="eastAsia"/>
          <w:color w:val="auto"/>
          <w:kern w:val="0"/>
          <w:sz w:val="28"/>
          <w:szCs w:val="28"/>
          <w:lang w:eastAsia="zh-CN"/>
        </w:rPr>
        <w:t>本项目</w:t>
      </w:r>
      <w:r>
        <w:rPr>
          <w:rFonts w:ascii="宋体" w:eastAsia="宋体" w:cs="宋体" w:hAnsi="宋体" w:hint="eastAsia"/>
          <w:color w:val="auto"/>
          <w:kern w:val="0"/>
          <w:sz w:val="28"/>
          <w:szCs w:val="28"/>
        </w:rPr>
        <w:t>附近有G325国道和</w:t>
      </w:r>
      <w:r>
        <w:rPr>
          <w:rFonts w:ascii="宋体" w:eastAsia="宋体" w:cs="宋体" w:hAnsi="宋体" w:hint="eastAsia"/>
          <w:color w:val="auto"/>
          <w:kern w:val="0"/>
          <w:sz w:val="28"/>
          <w:szCs w:val="28"/>
          <w:lang w:eastAsia="zh-CN"/>
        </w:rPr>
        <w:t>S312</w:t>
      </w:r>
      <w:r>
        <w:rPr>
          <w:rFonts w:ascii="宋体" w:eastAsia="宋体" w:cs="宋体" w:hAnsi="宋体" w:hint="eastAsia"/>
          <w:color w:val="auto"/>
          <w:kern w:val="0"/>
          <w:sz w:val="28"/>
          <w:szCs w:val="28"/>
        </w:rPr>
        <w:t xml:space="preserve"> 省道，</w:t>
      </w:r>
      <w:r>
        <w:rPr>
          <w:rFonts w:ascii="宋体" w:eastAsia="宋体" w:cs="宋体" w:hAnsi="宋体" w:hint="eastAsia"/>
          <w:color w:val="auto"/>
          <w:kern w:val="0"/>
          <w:sz w:val="28"/>
          <w:szCs w:val="28"/>
          <w:lang w:eastAsia="zh-CN"/>
        </w:rPr>
        <w:t>并</w:t>
      </w:r>
      <w:r>
        <w:rPr>
          <w:rFonts w:ascii="宋体" w:eastAsia="宋体" w:cs="宋体" w:hAnsi="宋体" w:hint="eastAsia"/>
          <w:color w:val="auto"/>
          <w:kern w:val="0"/>
          <w:sz w:val="28"/>
          <w:szCs w:val="28"/>
        </w:rPr>
        <w:t>有一条通往采石场的水泥公路直达风电场场址范围山脚处，以上道路路况均良好，路线平坦，公路主干道路面宽度、线路纵坡度、线路横向坡度、竖曲线等均能满足</w:t>
      </w:r>
      <w:r>
        <w:rPr>
          <w:rFonts w:ascii="宋体" w:eastAsia="宋体" w:cs="宋体" w:hAnsi="宋体" w:hint="eastAsia"/>
          <w:color w:val="auto"/>
          <w:kern w:val="0"/>
          <w:sz w:val="28"/>
          <w:szCs w:val="28"/>
          <w:lang w:eastAsia="zh-CN"/>
        </w:rPr>
        <w:t>风机等</w:t>
      </w:r>
      <w:r>
        <w:rPr>
          <w:rFonts w:ascii="宋体" w:eastAsia="宋体" w:cs="宋体" w:hAnsi="宋体" w:hint="eastAsia"/>
          <w:color w:val="auto"/>
          <w:kern w:val="0"/>
          <w:sz w:val="28"/>
          <w:szCs w:val="28"/>
        </w:rPr>
        <w:t>大件运输的要求，交通运输条件较好。</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eastAsia="zh-CN"/>
        </w:rPr>
        <w:t>风电场内的风电机组及升压站</w:t>
      </w:r>
      <w:r>
        <w:rPr>
          <w:rFonts w:ascii="宋体" w:eastAsia="宋体" w:cs="宋体" w:hAnsi="宋体" w:hint="eastAsia"/>
          <w:color w:val="auto"/>
          <w:kern w:val="0"/>
          <w:sz w:val="28"/>
          <w:szCs w:val="28"/>
        </w:rPr>
        <w:t>进场道路可利用周边已有公路，主要由G75 兰海高速—G325 国道至大垌镇—</w:t>
      </w:r>
      <w:r>
        <w:rPr>
          <w:rFonts w:ascii="宋体" w:eastAsia="宋体" w:cs="宋体" w:hAnsi="宋体" w:hint="eastAsia"/>
          <w:color w:val="auto"/>
          <w:kern w:val="0"/>
          <w:sz w:val="28"/>
          <w:szCs w:val="28"/>
          <w:lang w:eastAsia="zh-CN"/>
        </w:rPr>
        <w:t>S312</w:t>
      </w:r>
      <w:r>
        <w:rPr>
          <w:rFonts w:ascii="宋体" w:eastAsia="宋体" w:cs="宋体" w:hAnsi="宋体" w:hint="eastAsia"/>
          <w:color w:val="auto"/>
          <w:kern w:val="0"/>
          <w:sz w:val="28"/>
          <w:szCs w:val="28"/>
        </w:rPr>
        <w:t xml:space="preserve"> 省道至</w:t>
      </w:r>
      <w:r>
        <w:rPr>
          <w:rFonts w:ascii="宋体" w:eastAsia="宋体" w:cs="宋体" w:hAnsi="宋体" w:hint="eastAsia"/>
          <w:color w:val="auto"/>
          <w:kern w:val="0"/>
          <w:sz w:val="28"/>
          <w:szCs w:val="28"/>
          <w:lang w:eastAsia="zh-CN"/>
        </w:rPr>
        <w:t>何屋坪</w:t>
      </w:r>
      <w:r>
        <w:rPr>
          <w:rFonts w:ascii="宋体" w:eastAsia="宋体" w:cs="宋体" w:hAnsi="宋体" w:hint="eastAsia"/>
          <w:color w:val="auto"/>
          <w:kern w:val="0"/>
          <w:sz w:val="28"/>
          <w:szCs w:val="28"/>
        </w:rPr>
        <w:t>—采石场的水泥公路至风电场</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对外交通较为便利。</w:t>
      </w:r>
    </w:p>
    <w:p>
      <w:pPr>
        <w:pStyle w:val="15"/>
        <w:rPr>
          <w:rFonts w:eastAsia="宋体" w:hint="eastAsia"/>
          <w:color w:val="auto"/>
          <w:lang w:eastAsia="zh-CN"/>
        </w:rPr>
      </w:pPr>
      <w:r>
        <w:rPr>
          <w:rFonts w:eastAsia="宋体" w:hint="eastAsia"/>
          <w:color w:val="auto"/>
          <w:lang w:eastAsia="zh-CN"/>
        </w:rPr>
        <w:drawing>
          <wp:inline distT="0" distB="0" distL="114300" distR="114300">
            <wp:extent cx="5398770" cy="3833495"/>
            <wp:effectExtent l="0" t="0" r="13" b="27"/>
            <wp:docPr id="51" name="图片 13" descr="C:/Users/Administrator/Desktop/古道岭风电场道路交通.png古道岭风电场道路交通"/>
            <wp:cNvGraphicFramePr>
              <a:graphicFrameLocks noChangeAspect="1"/>
            </wp:cNvGraphicFramePr>
            <a:graphic>
              <a:graphicData uri="http://schemas.openxmlformats.org/drawingml/2006/picture">
                <pic:pic>
                  <pic:nvPicPr>
                    <pic:cNvPr id="53" name="图片 13 53"/>
                    <pic:cNvPicPr/>
                  </pic:nvPicPr>
                  <pic:blipFill>
                    <a:blip r:embed="rId20"/>
                    <a:srcRect l="8" r="8"/>
                    <a:stretch>
                      <a:fillRect/>
                    </a:stretch>
                  </pic:blipFill>
                  <pic:spPr>
                    <a:xfrm rot="0">
                      <a:off x="0" y="0"/>
                      <a:ext cx="5398770" cy="3833495"/>
                    </a:xfrm>
                    <a:prstGeom prst="rect"/>
                    <a:noFill/>
                    <a:ln w="9525" cmpd="sng" cap="flat">
                      <a:noFill/>
                      <a:prstDash val="solid"/>
                      <a:miter/>
                    </a:ln>
                  </pic:spPr>
                </pic:pic>
              </a:graphicData>
            </a:graphic>
          </wp:inline>
        </w:drawing>
      </w:r>
    </w:p>
    <w:p>
      <w:pPr>
        <w:jc w:val="center"/>
        <w:rPr>
          <w:rFonts w:hint="eastAsia"/>
          <w:color w:val="auto"/>
          <w:lang w:eastAsia="zh-CN"/>
        </w:rPr>
      </w:pPr>
      <w:r>
        <w:rPr>
          <w:rFonts w:hint="eastAsia"/>
          <w:b/>
          <w:bCs/>
          <w:color w:val="auto"/>
          <w:sz w:val="24"/>
          <w:lang w:eastAsia="zh-CN"/>
        </w:rPr>
        <w:t>项目场区内规划道路与场外现状道路交通衔接示意</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）场内道路交通规划</w:t>
      </w:r>
    </w:p>
    <w:p>
      <w:pPr>
        <w:widowControl/>
        <w:spacing w:before="4" w:line="360" w:lineRule="auto"/>
        <w:ind w:left="118" w:right="351" w:firstLineChars="200" w:firstLine="560"/>
        <w:jc w:val="left"/>
        <w:rPr>
          <w:rFonts w:hint="eastAsia"/>
          <w:color w:val="auto"/>
          <w:kern w:val="0"/>
          <w:sz w:val="28"/>
          <w:szCs w:val="28"/>
          <w:lang w:val="en-US" w:eastAsia="zh-CN"/>
        </w:rPr>
      </w:pPr>
      <w:r>
        <w:rPr>
          <w:rFonts w:hint="eastAsia"/>
          <w:color w:val="auto"/>
          <w:kern w:val="0"/>
          <w:sz w:val="28"/>
          <w:szCs w:val="28"/>
          <w:lang w:val="en-US"/>
        </w:rPr>
        <w:t>风电场位于丘陵区，为了减少对植被的破坏和节约投资</w:t>
      </w:r>
      <w:r>
        <w:rPr>
          <w:rFonts w:hint="eastAsia"/>
          <w:color w:val="auto"/>
          <w:kern w:val="0"/>
          <w:sz w:val="28"/>
          <w:szCs w:val="28"/>
          <w:lang w:val="en-US" w:eastAsia="zh-CN"/>
        </w:rPr>
        <w:t>，场内道路</w:t>
      </w:r>
      <w:r>
        <w:rPr>
          <w:rFonts w:hint="eastAsia"/>
          <w:color w:val="auto"/>
          <w:kern w:val="0"/>
          <w:sz w:val="28"/>
          <w:szCs w:val="28"/>
          <w:lang w:val="en-US"/>
        </w:rPr>
        <w:t>在利用</w:t>
      </w:r>
      <w:r>
        <w:rPr>
          <w:rFonts w:hint="eastAsia"/>
          <w:color w:val="auto"/>
          <w:kern w:val="0"/>
          <w:sz w:val="28"/>
          <w:szCs w:val="28"/>
          <w:lang w:val="en-US" w:eastAsia="zh-CN"/>
        </w:rPr>
        <w:t>场内</w:t>
      </w:r>
      <w:r>
        <w:rPr>
          <w:rFonts w:hint="eastAsia"/>
          <w:color w:val="auto"/>
          <w:kern w:val="0"/>
          <w:sz w:val="28"/>
          <w:szCs w:val="28"/>
          <w:lang w:val="en-US"/>
        </w:rPr>
        <w:t>现有的交通便道基础上</w:t>
      </w:r>
      <w:r>
        <w:rPr>
          <w:rFonts w:hint="eastAsia"/>
          <w:color w:val="auto"/>
          <w:kern w:val="0"/>
          <w:sz w:val="28"/>
          <w:szCs w:val="28"/>
          <w:lang w:val="en-US" w:eastAsia="zh-CN"/>
        </w:rPr>
        <w:t>局部扩宽裁弯取直，</w:t>
      </w:r>
      <w:r>
        <w:rPr>
          <w:rFonts w:hint="eastAsia"/>
          <w:color w:val="auto"/>
          <w:kern w:val="0"/>
          <w:sz w:val="28"/>
          <w:szCs w:val="28"/>
          <w:lang w:val="en-US"/>
        </w:rPr>
        <w:t>再新建连接</w:t>
      </w:r>
      <w:r>
        <w:rPr>
          <w:rFonts w:hint="eastAsia"/>
          <w:color w:val="auto"/>
          <w:kern w:val="0"/>
          <w:sz w:val="28"/>
          <w:szCs w:val="28"/>
          <w:lang w:val="en-US" w:eastAsia="zh-CN"/>
        </w:rPr>
        <w:t>升压站和</w:t>
      </w:r>
      <w:r>
        <w:rPr>
          <w:rFonts w:hint="eastAsia"/>
          <w:color w:val="auto"/>
          <w:kern w:val="0"/>
          <w:sz w:val="28"/>
          <w:szCs w:val="28"/>
          <w:lang w:val="en-US"/>
        </w:rPr>
        <w:t>各风机的道路</w:t>
      </w:r>
      <w:r>
        <w:rPr>
          <w:rFonts w:hint="eastAsia"/>
          <w:color w:val="auto"/>
          <w:kern w:val="0"/>
          <w:sz w:val="28"/>
          <w:szCs w:val="28"/>
          <w:lang w:val="en-US" w:eastAsia="zh-CN"/>
        </w:rPr>
        <w:t>。考虑风力发电设备大件运输，场内道路按山岭重丘四级公路标准建设，采用碾压石渣路面，路基宽5.5m。</w:t>
      </w:r>
      <w:r>
        <w:rPr>
          <w:rFonts w:hint="eastAsia"/>
          <w:color w:val="auto"/>
          <w:kern w:val="0"/>
          <w:sz w:val="28"/>
          <w:szCs w:val="28"/>
          <w:lang w:val="en-US"/>
        </w:rPr>
        <w:t>在风电场建成营运后，场区道路将作为</w:t>
      </w:r>
      <w:r>
        <w:rPr>
          <w:rFonts w:hint="eastAsia"/>
          <w:color w:val="auto"/>
          <w:kern w:val="0"/>
          <w:sz w:val="28"/>
          <w:szCs w:val="28"/>
          <w:lang w:val="en-US" w:eastAsia="zh-CN"/>
        </w:rPr>
        <w:t>公共道路和</w:t>
      </w:r>
      <w:r>
        <w:rPr>
          <w:rFonts w:hint="eastAsia"/>
          <w:color w:val="auto"/>
          <w:kern w:val="0"/>
          <w:sz w:val="28"/>
          <w:szCs w:val="28"/>
          <w:lang w:val="en-US"/>
        </w:rPr>
        <w:t>林业三产道路使用</w:t>
      </w:r>
      <w:r>
        <w:rPr>
          <w:rFonts w:hint="eastAsia"/>
          <w:color w:val="auto"/>
          <w:kern w:val="0"/>
          <w:sz w:val="28"/>
          <w:szCs w:val="28"/>
          <w:lang w:val="en-US" w:eastAsia="zh-CN"/>
        </w:rPr>
        <w:t>。</w:t>
      </w:r>
    </w:p>
    <w:p>
      <w:pPr>
        <w:widowControl/>
        <w:numPr>
          <w:ilvl w:val="0"/>
          <w:numId w:val="2"/>
        </w:numPr>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升压站内部道路</w:t>
      </w:r>
    </w:p>
    <w:p>
      <w:pPr>
        <w:widowControl/>
        <w:spacing w:before="4" w:line="360" w:lineRule="auto"/>
        <w:ind w:left="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eastAsia="zh-CN"/>
        </w:rPr>
        <w:t>升压</w:t>
      </w:r>
      <w:r>
        <w:rPr>
          <w:rFonts w:ascii="宋体" w:eastAsia="宋体" w:cs="宋体" w:hAnsi="宋体" w:hint="eastAsia"/>
          <w:color w:val="auto"/>
          <w:kern w:val="0"/>
          <w:sz w:val="28"/>
          <w:szCs w:val="28"/>
        </w:rPr>
        <w:t>站是整个风电场的控制中心，</w:t>
      </w:r>
      <w:r>
        <w:rPr>
          <w:rFonts w:ascii="宋体" w:eastAsia="宋体" w:cs="宋体" w:hAnsi="宋体" w:hint="eastAsia"/>
          <w:color w:val="auto"/>
          <w:kern w:val="0"/>
          <w:sz w:val="28"/>
          <w:szCs w:val="28"/>
          <w:lang w:eastAsia="zh-CN"/>
        </w:rPr>
        <w:t>为本次规划研究的独立地块之一，位于一期风电场场址内东北部、小董镇那道村母鸡顶北侧一相对平缓的山脊。</w:t>
      </w:r>
      <w:r>
        <w:rPr>
          <w:rFonts w:ascii="宋体" w:eastAsia="宋体" w:cs="宋体" w:hAnsi="宋体" w:hint="eastAsia"/>
          <w:color w:val="auto"/>
          <w:kern w:val="0"/>
          <w:sz w:val="28"/>
          <w:szCs w:val="28"/>
        </w:rPr>
        <w:t>根据</w:t>
      </w:r>
      <w:r>
        <w:rPr>
          <w:rFonts w:ascii="宋体" w:eastAsia="宋体" w:cs="宋体" w:hAnsi="宋体" w:hint="eastAsia"/>
          <w:color w:val="auto"/>
          <w:kern w:val="0"/>
          <w:sz w:val="28"/>
          <w:szCs w:val="28"/>
          <w:lang w:eastAsia="zh-CN"/>
        </w:rPr>
        <w:t>实际地形和周边现状道路情况</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对外出入口设于</w:t>
      </w:r>
      <w:r>
        <w:rPr>
          <w:rFonts w:ascii="宋体" w:eastAsia="宋体" w:cs="宋体" w:hAnsi="宋体" w:hint="eastAsia"/>
          <w:color w:val="auto"/>
          <w:kern w:val="0"/>
          <w:sz w:val="28"/>
          <w:szCs w:val="28"/>
          <w:lang w:eastAsia="zh-CN"/>
        </w:rPr>
        <w:t>地块</w:t>
      </w:r>
      <w:r>
        <w:rPr>
          <w:rFonts w:ascii="宋体" w:eastAsia="宋体" w:cs="宋体" w:hAnsi="宋体" w:hint="eastAsia"/>
          <w:color w:val="auto"/>
          <w:kern w:val="0"/>
          <w:sz w:val="28"/>
          <w:szCs w:val="28"/>
        </w:rPr>
        <w:t>东侧接出村道</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地块内道路设计充分结合地形，实行人车混行的交通流线，满足车辆、人员通行</w:t>
      </w:r>
      <w:r>
        <w:rPr>
          <w:rFonts w:ascii="宋体" w:eastAsia="宋体" w:cs="宋体" w:hAnsi="宋体" w:hint="eastAsia"/>
          <w:color w:val="auto"/>
          <w:kern w:val="0"/>
          <w:sz w:val="28"/>
          <w:szCs w:val="28"/>
          <w:lang w:eastAsia="zh-CN"/>
        </w:rPr>
        <w:t>。规划地块内铺设混凝土道路</w:t>
      </w:r>
      <w:r>
        <w:rPr>
          <w:rFonts w:ascii="宋体" w:eastAsia="宋体" w:cs="宋体" w:hAnsi="宋体" w:hint="eastAsia"/>
          <w:color w:val="auto"/>
          <w:kern w:val="0"/>
          <w:sz w:val="28"/>
          <w:szCs w:val="28"/>
        </w:rPr>
        <w:t>环绕厂区</w:t>
      </w:r>
      <w:r>
        <w:rPr>
          <w:rFonts w:ascii="宋体" w:eastAsia="宋体" w:cs="宋体" w:hAnsi="宋体" w:hint="eastAsia"/>
          <w:color w:val="auto"/>
          <w:kern w:val="0"/>
          <w:sz w:val="28"/>
          <w:szCs w:val="28"/>
          <w:lang w:eastAsia="zh-CN"/>
        </w:rPr>
        <w:t>布置</w:t>
      </w:r>
      <w:r>
        <w:rPr>
          <w:rFonts w:ascii="宋体" w:eastAsia="宋体" w:cs="宋体" w:hAnsi="宋体" w:hint="eastAsia"/>
          <w:color w:val="auto"/>
          <w:kern w:val="0"/>
          <w:sz w:val="28"/>
          <w:szCs w:val="28"/>
          <w:lang w:val="en-US" w:eastAsia="zh-CN"/>
        </w:rPr>
        <w:t>连接至各功能用房</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出入口宽度和主干道</w:t>
      </w:r>
      <w:r>
        <w:rPr>
          <w:rFonts w:ascii="宋体" w:eastAsia="宋体" w:cs="宋体" w:hAnsi="宋体" w:hint="eastAsia"/>
          <w:color w:val="auto"/>
          <w:kern w:val="0"/>
          <w:sz w:val="28"/>
          <w:szCs w:val="28"/>
        </w:rPr>
        <w:t>红线宽度</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4米</w:t>
      </w:r>
      <w:r>
        <w:rPr>
          <w:rFonts w:ascii="宋体" w:eastAsia="宋体" w:cs="宋体" w:hAnsi="宋体" w:hint="eastAsia"/>
          <w:color w:val="auto"/>
          <w:kern w:val="0"/>
          <w:sz w:val="28"/>
          <w:szCs w:val="28"/>
          <w:lang w:eastAsia="zh-CN"/>
        </w:rPr>
        <w:t>，达到消防车通行、大型施工车辆运行、检修等方面的要求，站内支路红线宽度规划为</w:t>
      </w:r>
      <w:r>
        <w:rPr>
          <w:rFonts w:ascii="宋体" w:eastAsia="宋体" w:cs="宋体" w:hAnsi="宋体" w:hint="eastAsia"/>
          <w:color w:val="auto"/>
          <w:kern w:val="0"/>
          <w:sz w:val="28"/>
          <w:szCs w:val="28"/>
          <w:lang w:val="en-US" w:eastAsia="zh-CN"/>
        </w:rPr>
        <w:t>2.5～3米，满足一般车辆和行人的需求</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机动车停车位</w:t>
      </w:r>
      <w:r>
        <w:rPr>
          <w:rFonts w:ascii="宋体" w:eastAsia="宋体" w:cs="宋体" w:hAnsi="宋体" w:hint="eastAsia"/>
          <w:color w:val="auto"/>
          <w:kern w:val="0"/>
          <w:sz w:val="28"/>
          <w:szCs w:val="28"/>
          <w:lang w:eastAsia="zh-CN"/>
        </w:rPr>
        <w:t>配置</w:t>
      </w:r>
      <w:r>
        <w:rPr>
          <w:rFonts w:ascii="宋体" w:eastAsia="宋体" w:cs="宋体" w:hAnsi="宋体" w:hint="eastAsia"/>
          <w:color w:val="auto"/>
          <w:kern w:val="0"/>
          <w:sz w:val="28"/>
          <w:szCs w:val="28"/>
        </w:rPr>
        <w:t>结合自身使用要求进行建设，机动车从东侧大门进入场区后主要就近停放在综合楼前的停车场内，工作人员可经场区道路到达各个功能用房，并在主要户外配电设备增设不锈钢安全护栏。</w:t>
      </w:r>
    </w:p>
    <w:p>
      <w:pPr>
        <w:pStyle w:val="1"/>
        <w:keepNext/>
        <w:keepLines/>
        <w:widowControl/>
        <w:numPr>
          <w:ilvl w:val="0"/>
          <w:numId w:val="0"/>
        </w:numPr>
        <w:spacing w:before="260" w:line="360" w:lineRule="auto"/>
        <w:ind w:left="0" w:right="351" w:firstLineChars="200" w:firstLine="640"/>
        <w:jc w:val="left"/>
        <w:rPr>
          <w:rFonts w:ascii="宋体" w:eastAsia="宋体" w:cs="宋体" w:hAnsi="宋体" w:hint="eastAsia"/>
          <w:bCs/>
          <w:color w:val="auto"/>
          <w:sz w:val="32"/>
          <w:szCs w:val="32"/>
          <w:lang w:val="en-US" w:eastAsia="zh-CN"/>
        </w:rPr>
      </w:pPr>
      <w:bookmarkStart w:id="46" w:name="_Toc440"/>
      <w:r>
        <w:rPr>
          <w:rFonts w:ascii="宋体" w:eastAsia="宋体" w:cs="宋体" w:hAnsi="宋体" w:hint="eastAsia"/>
          <w:bCs/>
          <w:color w:val="auto"/>
          <w:sz w:val="32"/>
          <w:szCs w:val="32"/>
          <w:lang w:val="en-US" w:eastAsia="zh-CN"/>
        </w:rPr>
        <w:t>4.2竖向规划</w:t>
      </w:r>
      <w:bookmarkEnd w:id="46"/>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本</w:t>
      </w:r>
      <w:r>
        <w:rPr>
          <w:rFonts w:ascii="宋体" w:eastAsia="宋体" w:cs="宋体" w:hAnsi="宋体" w:hint="eastAsia"/>
          <w:color w:val="auto"/>
          <w:kern w:val="0"/>
          <w:sz w:val="28"/>
          <w:szCs w:val="28"/>
          <w:lang w:eastAsia="zh-CN"/>
        </w:rPr>
        <w:t>项目</w:t>
      </w:r>
      <w:r>
        <w:rPr>
          <w:rFonts w:ascii="宋体" w:eastAsia="宋体" w:cs="宋体" w:hAnsi="宋体" w:hint="eastAsia"/>
          <w:color w:val="auto"/>
          <w:kern w:val="0"/>
          <w:sz w:val="28"/>
          <w:szCs w:val="28"/>
        </w:rPr>
        <w:t>地块</w:t>
      </w:r>
      <w:r>
        <w:rPr>
          <w:rFonts w:ascii="宋体" w:eastAsia="宋体" w:cs="宋体" w:hAnsi="宋体" w:hint="eastAsia"/>
          <w:color w:val="auto"/>
          <w:kern w:val="0"/>
          <w:sz w:val="28"/>
          <w:szCs w:val="28"/>
          <w:lang w:eastAsia="zh-CN"/>
        </w:rPr>
        <w:t>选址主要位于小董镇、平吉镇和大垌镇</w:t>
      </w:r>
      <w:r>
        <w:rPr>
          <w:rFonts w:hint="eastAsia"/>
          <w:color w:val="auto"/>
          <w:kern w:val="0"/>
          <w:sz w:val="28"/>
          <w:szCs w:val="28"/>
          <w:lang w:val="en-US"/>
        </w:rPr>
        <w:t>行政交界</w:t>
      </w:r>
      <w:r>
        <w:rPr>
          <w:rFonts w:ascii="宋体" w:eastAsia="宋体" w:cs="宋体" w:hAnsi="宋体" w:hint="eastAsia"/>
          <w:color w:val="auto"/>
          <w:kern w:val="0"/>
          <w:sz w:val="28"/>
          <w:szCs w:val="28"/>
          <w:lang w:eastAsia="zh-CN"/>
        </w:rPr>
        <w:t>山脊或山包较高位置且相对较平缓的区域。</w:t>
      </w:r>
      <w:r>
        <w:rPr>
          <w:rFonts w:ascii="宋体" w:eastAsia="宋体" w:cs="宋体" w:hAnsi="宋体" w:hint="eastAsia"/>
          <w:color w:val="auto"/>
          <w:kern w:val="0"/>
          <w:sz w:val="28"/>
          <w:szCs w:val="28"/>
        </w:rPr>
        <w:t>本</w:t>
      </w:r>
      <w:r>
        <w:rPr>
          <w:rFonts w:ascii="宋体" w:eastAsia="宋体" w:cs="宋体" w:hAnsi="宋体" w:hint="eastAsia"/>
          <w:color w:val="auto"/>
          <w:kern w:val="0"/>
          <w:sz w:val="28"/>
          <w:szCs w:val="28"/>
          <w:lang w:eastAsia="zh-CN"/>
        </w:rPr>
        <w:t>项目</w:t>
      </w:r>
      <w:r>
        <w:rPr>
          <w:rFonts w:ascii="宋体" w:eastAsia="宋体" w:cs="宋体" w:hAnsi="宋体" w:hint="eastAsia"/>
          <w:color w:val="auto"/>
          <w:kern w:val="0"/>
          <w:sz w:val="28"/>
          <w:szCs w:val="28"/>
        </w:rPr>
        <w:t>地块依据周边的现状地势及标高来确定场地内的标高。地块内场地标高均高于周边用地标高，以避免场地内积水。</w:t>
      </w:r>
      <w:r>
        <w:rPr>
          <w:rFonts w:ascii="宋体" w:eastAsia="宋体" w:cs="宋体" w:hAnsi="宋体" w:hint="eastAsia"/>
          <w:color w:val="auto"/>
          <w:kern w:val="0"/>
          <w:sz w:val="28"/>
          <w:szCs w:val="28"/>
          <w:lang w:eastAsia="zh-CN"/>
        </w:rPr>
        <w:t>其中，升压站</w:t>
      </w:r>
      <w:r>
        <w:rPr>
          <w:rFonts w:ascii="宋体" w:eastAsia="宋体" w:cs="宋体" w:hAnsi="宋体" w:hint="eastAsia"/>
          <w:color w:val="auto"/>
          <w:kern w:val="0"/>
          <w:sz w:val="28"/>
          <w:szCs w:val="28"/>
        </w:rPr>
        <w:t>地块场地</w:t>
      </w:r>
      <w:r>
        <w:rPr>
          <w:rFonts w:ascii="宋体" w:eastAsia="宋体" w:cs="宋体" w:hAnsi="宋体" w:hint="eastAsia"/>
          <w:color w:val="auto"/>
          <w:kern w:val="0"/>
          <w:sz w:val="28"/>
          <w:szCs w:val="28"/>
          <w:lang w:eastAsia="zh-CN"/>
        </w:rPr>
        <w:t>内整体呈西高东低，</w:t>
      </w:r>
      <w:r>
        <w:rPr>
          <w:rFonts w:ascii="宋体" w:eastAsia="宋体" w:cs="宋体" w:hAnsi="宋体" w:hint="eastAsia"/>
          <w:color w:val="auto"/>
          <w:kern w:val="0"/>
          <w:sz w:val="28"/>
          <w:szCs w:val="28"/>
        </w:rPr>
        <w:t>场地设计标高约为41</w:t>
      </w:r>
      <w:r>
        <w:rPr>
          <w:rFonts w:ascii="宋体" w:eastAsia="宋体" w:cs="宋体" w:hAnsi="宋体" w:hint="eastAsia"/>
          <w:color w:val="auto"/>
          <w:kern w:val="0"/>
          <w:sz w:val="28"/>
          <w:szCs w:val="28"/>
          <w:lang w:val="en-US" w:eastAsia="zh-CN"/>
        </w:rPr>
        <w:t>7.40</w:t>
      </w:r>
      <w:r>
        <w:rPr>
          <w:rFonts w:ascii="宋体" w:eastAsia="宋体" w:cs="宋体" w:hAnsi="宋体" w:hint="eastAsia"/>
          <w:color w:val="auto"/>
          <w:kern w:val="0"/>
          <w:sz w:val="28"/>
          <w:szCs w:val="28"/>
        </w:rPr>
        <w:t>m，建筑±0.00设计标高为41</w:t>
      </w:r>
      <w:r>
        <w:rPr>
          <w:rFonts w:ascii="宋体" w:eastAsia="宋体" w:cs="宋体" w:hAnsi="宋体" w:hint="eastAsia"/>
          <w:color w:val="auto"/>
          <w:kern w:val="0"/>
          <w:sz w:val="28"/>
          <w:szCs w:val="28"/>
          <w:lang w:val="en-US" w:eastAsia="zh-CN"/>
        </w:rPr>
        <w:t>7</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7</w:t>
      </w:r>
      <w:r>
        <w:rPr>
          <w:rFonts w:ascii="宋体" w:eastAsia="宋体" w:cs="宋体" w:hAnsi="宋体" w:hint="eastAsia"/>
          <w:color w:val="auto"/>
          <w:kern w:val="0"/>
          <w:sz w:val="28"/>
          <w:szCs w:val="28"/>
        </w:rPr>
        <w:t>0m。整个场地较为平缓，高差不大，道路设计坡度在0.3%～0.6%之间。</w:t>
      </w:r>
      <w:r>
        <w:rPr>
          <w:rFonts w:ascii="宋体" w:eastAsia="宋体" w:cs="宋体" w:hAnsi="宋体" w:hint="eastAsia"/>
          <w:color w:val="auto"/>
          <w:kern w:val="0"/>
          <w:sz w:val="28"/>
          <w:szCs w:val="28"/>
          <w:lang w:eastAsia="zh-CN"/>
        </w:rPr>
        <w:t>其余风机和箱变用地的场地标高详见图则。</w:t>
      </w:r>
    </w:p>
    <w:p>
      <w:pPr>
        <w:pStyle w:val="1"/>
        <w:numPr>
          <w:ilvl w:val="0"/>
          <w:numId w:val="0"/>
        </w:numPr>
        <w:spacing w:before="260" w:line="360" w:lineRule="auto"/>
        <w:ind w:left="420" w:right="351"/>
        <w:jc w:val="center"/>
        <w:rPr>
          <w:rFonts w:ascii="宋体" w:eastAsia="宋体" w:cs="宋体" w:hAnsi="宋体"/>
          <w:bCs/>
          <w:color w:val="auto"/>
          <w:sz w:val="32"/>
          <w:szCs w:val="32"/>
        </w:rPr>
      </w:pPr>
      <w:bookmarkStart w:id="47" w:name="_Toc23174"/>
      <w:r>
        <w:rPr>
          <w:rFonts w:ascii="宋体" w:eastAsia="宋体" w:cs="宋体" w:hAnsi="宋体" w:hint="eastAsia"/>
          <w:bCs/>
          <w:color w:val="auto"/>
          <w:sz w:val="32"/>
          <w:szCs w:val="32"/>
          <w:lang w:eastAsia="zh-CN"/>
        </w:rPr>
        <w:t>第五章</w:t>
      </w:r>
      <w:r>
        <w:rPr>
          <w:rFonts w:ascii="宋体" w:eastAsia="宋体" w:cs="宋体" w:hAnsi="宋体" w:hint="eastAsia"/>
          <w:bCs/>
          <w:color w:val="auto"/>
          <w:sz w:val="32"/>
          <w:szCs w:val="32"/>
          <w:lang w:val="en-US" w:eastAsia="zh-CN"/>
        </w:rPr>
        <w:t xml:space="preserve"> </w:t>
      </w:r>
      <w:r>
        <w:rPr>
          <w:rFonts w:ascii="宋体" w:eastAsia="宋体" w:cs="宋体" w:hAnsi="宋体" w:hint="eastAsia"/>
          <w:bCs/>
          <w:color w:val="auto"/>
          <w:sz w:val="32"/>
          <w:szCs w:val="32"/>
        </w:rPr>
        <w:t>市政工程规划</w:t>
      </w:r>
      <w:bookmarkEnd w:id="47"/>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48" w:name="_Toc21612"/>
      <w:r>
        <w:rPr>
          <w:rFonts w:ascii="宋体" w:eastAsia="宋体" w:cs="宋体" w:hAnsi="宋体" w:hint="eastAsia"/>
          <w:bCs/>
          <w:color w:val="auto"/>
          <w:sz w:val="32"/>
          <w:szCs w:val="32"/>
          <w:lang w:val="en-US" w:eastAsia="zh-CN"/>
        </w:rPr>
        <w:t>5.1给水工程规划</w:t>
      </w:r>
      <w:bookmarkEnd w:id="48"/>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5.1.1 </w:t>
      </w:r>
      <w:r>
        <w:rPr>
          <w:rFonts w:hint="eastAsia"/>
          <w:b/>
          <w:bCs/>
          <w:color w:val="auto"/>
          <w:sz w:val="28"/>
          <w:szCs w:val="28"/>
        </w:rPr>
        <w:t>规划依据</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（1）《城市给水工程规划规范》GB50282-2016</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rPr>
        <w:t>）《室外给水设计规范》GB50013-2018</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《城市工程管线综合规划规范》（GB50289-2016）</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《城市供水水质标准》（CJ/T206-2005）</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《钦州市城市规划技术标准与准则》（2015年版）</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6</w:t>
      </w:r>
      <w:r>
        <w:rPr>
          <w:rFonts w:ascii="宋体" w:eastAsia="宋体" w:cs="宋体" w:hAnsi="宋体" w:hint="eastAsia"/>
          <w:color w:val="auto"/>
          <w:kern w:val="0"/>
          <w:sz w:val="28"/>
          <w:szCs w:val="28"/>
        </w:rPr>
        <w:t>）其它有关国家及地方的现行规程、规范及标准</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7</w:t>
      </w:r>
      <w:r>
        <w:rPr>
          <w:rFonts w:ascii="宋体" w:eastAsia="宋体" w:cs="宋体" w:hAnsi="宋体" w:hint="eastAsia"/>
          <w:color w:val="auto"/>
          <w:kern w:val="0"/>
          <w:sz w:val="28"/>
          <w:szCs w:val="28"/>
        </w:rPr>
        <w:t>）甲方提供的用地勘测地形图和市政给水基础资料。</w:t>
      </w: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5.1.2 </w:t>
      </w:r>
      <w:r>
        <w:rPr>
          <w:rFonts w:hint="eastAsia"/>
          <w:b/>
          <w:bCs/>
          <w:color w:val="auto"/>
          <w:sz w:val="28"/>
          <w:szCs w:val="28"/>
        </w:rPr>
        <w:t>用水量预测</w:t>
      </w:r>
    </w:p>
    <w:p>
      <w:pPr>
        <w:widowControl/>
        <w:spacing w:before="4" w:line="360" w:lineRule="auto"/>
        <w:ind w:left="118" w:right="351" w:firstLineChars="200" w:firstLine="560"/>
        <w:jc w:val="left"/>
        <w:rPr>
          <w:color w:val="auto"/>
        </w:rPr>
      </w:pPr>
      <w:r>
        <w:rPr>
          <w:rFonts w:ascii="宋体" w:eastAsia="宋体" w:cs="宋体" w:hAnsi="宋体" w:hint="eastAsia"/>
          <w:color w:val="auto"/>
          <w:kern w:val="0"/>
          <w:sz w:val="28"/>
          <w:szCs w:val="28"/>
          <w:lang w:eastAsia="zh-CN"/>
        </w:rPr>
        <w:t>本项目给水工程规划主要为风电场升压站用地用水。</w:t>
      </w:r>
      <w:r>
        <w:rPr>
          <w:rFonts w:ascii="宋体" w:eastAsia="宋体" w:cs="宋体" w:hAnsi="宋体" w:hint="eastAsia"/>
          <w:color w:val="auto"/>
          <w:kern w:val="0"/>
          <w:sz w:val="28"/>
          <w:szCs w:val="28"/>
        </w:rPr>
        <w:t>根据钦北区气候特点，场址地形及给水设施基础条件，参照现行《城市给水工程规划规范》及《钦州市城市规划技术标准与准则》，详细规划的用水量预测采用分类建筑面积指标法，其中，市政公用设施按用地面积计算，用水量指标为2～4L/㎡•d，本规划根据地块实际用途取2L/㎡•d，本地块为公用设施用地的供电用地，</w:t>
      </w: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用地面积为6017.44平方米，则</w:t>
      </w: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地块最高日用水量为12</w:t>
      </w:r>
      <w:r>
        <w:rPr>
          <w:rFonts w:ascii="宋体" w:eastAsia="宋体" w:cs="宋体" w:hAnsi="宋体" w:hint="eastAsia"/>
          <w:color w:val="auto"/>
          <w:kern w:val="0"/>
          <w:sz w:val="28"/>
          <w:szCs w:val="28"/>
          <w:lang w:val="en-US" w:eastAsia="zh-CN"/>
        </w:rPr>
        <w:t>m³</w:t>
      </w:r>
      <w:r>
        <w:rPr>
          <w:rFonts w:ascii="宋体" w:eastAsia="宋体" w:cs="宋体" w:hAnsi="宋体" w:hint="eastAsia"/>
          <w:color w:val="auto"/>
          <w:kern w:val="0"/>
          <w:sz w:val="28"/>
          <w:szCs w:val="28"/>
        </w:rPr>
        <w:t>/d。</w:t>
      </w:r>
    </w:p>
    <w:p>
      <w:pPr>
        <w:pStyle w:val="18"/>
        <w:autoSpaceDE w:val="0"/>
        <w:autoSpaceDN w:val="0"/>
        <w:spacing w:before="4" w:line="420" w:lineRule="auto"/>
        <w:ind w:left="118" w:right="351" w:firstLine="479"/>
        <w:rPr>
          <w:b/>
          <w:bCs/>
          <w:color w:val="auto"/>
          <w:sz w:val="28"/>
          <w:szCs w:val="28"/>
          <w:lang w:val="en-US"/>
        </w:rPr>
      </w:pPr>
      <w:r>
        <w:rPr>
          <w:rFonts w:hint="eastAsia"/>
          <w:b/>
          <w:bCs/>
          <w:color w:val="auto"/>
          <w:sz w:val="28"/>
          <w:szCs w:val="28"/>
          <w:lang w:val="en-US" w:eastAsia="zh-CN"/>
        </w:rPr>
        <w:t xml:space="preserve">5.1.3 </w:t>
      </w:r>
      <w:r>
        <w:rPr>
          <w:rFonts w:hint="eastAsia"/>
          <w:b/>
          <w:bCs/>
          <w:color w:val="auto"/>
          <w:sz w:val="28"/>
          <w:szCs w:val="28"/>
        </w:rPr>
        <w:t>水源</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项目</w:t>
      </w:r>
      <w:r>
        <w:rPr>
          <w:rFonts w:ascii="宋体" w:eastAsia="宋体" w:cs="宋体" w:hAnsi="宋体" w:hint="eastAsia"/>
          <w:color w:val="auto"/>
          <w:kern w:val="0"/>
          <w:sz w:val="28"/>
          <w:szCs w:val="28"/>
        </w:rPr>
        <w:t>区域地下水资源水量丰富，水质良好，运营期升压站用水主要包括运行人员生活用水、消防补给水，拟</w:t>
      </w:r>
      <w:r>
        <w:rPr>
          <w:rFonts w:ascii="宋体" w:eastAsia="宋体" w:cs="宋体" w:hAnsi="宋体" w:hint="eastAsia"/>
          <w:color w:val="auto"/>
          <w:kern w:val="0"/>
          <w:sz w:val="28"/>
          <w:szCs w:val="28"/>
          <w:lang w:eastAsia="zh-CN"/>
        </w:rPr>
        <w:t>在升压站用地外东南向约</w:t>
      </w:r>
      <w:r>
        <w:rPr>
          <w:rFonts w:ascii="宋体" w:eastAsia="宋体" w:cs="宋体" w:hAnsi="宋体" w:hint="eastAsia"/>
          <w:color w:val="auto"/>
          <w:kern w:val="0"/>
          <w:sz w:val="28"/>
          <w:szCs w:val="28"/>
          <w:lang w:val="en-US" w:eastAsia="zh-CN"/>
        </w:rPr>
        <w:t>400米处</w:t>
      </w:r>
      <w:r>
        <w:rPr>
          <w:rFonts w:ascii="宋体" w:eastAsia="宋体" w:cs="宋体" w:hAnsi="宋体" w:hint="eastAsia"/>
          <w:color w:val="auto"/>
          <w:kern w:val="0"/>
          <w:sz w:val="28"/>
          <w:szCs w:val="28"/>
        </w:rPr>
        <w:t>打井取水作为站区供水水源</w:t>
      </w:r>
      <w:r>
        <w:rPr>
          <w:rFonts w:ascii="宋体" w:eastAsia="宋体" w:cs="宋体" w:hAnsi="宋体" w:hint="eastAsia"/>
          <w:color w:val="auto"/>
          <w:kern w:val="0"/>
          <w:sz w:val="28"/>
          <w:szCs w:val="28"/>
          <w:lang w:eastAsia="zh-CN"/>
        </w:rPr>
        <w:t>，管距约</w:t>
      </w:r>
      <w:r>
        <w:rPr>
          <w:rFonts w:ascii="宋体" w:eastAsia="宋体" w:cs="宋体" w:hAnsi="宋体" w:hint="eastAsia"/>
          <w:color w:val="auto"/>
          <w:kern w:val="0"/>
          <w:sz w:val="28"/>
          <w:szCs w:val="28"/>
          <w:lang w:val="en-US" w:eastAsia="zh-CN"/>
        </w:rPr>
        <w:t>400米</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站内设一套生活成套供水设备和消防水池，配置两台深井潜水泵布置在井内，用DN100 给水管将水供至地块内水泵房及消防水池。水泵房内设一套给水处理设备，净化处理后的水经成套供水设备供至站内各个生活用水点。</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49" w:name="_Toc13305"/>
      <w:r>
        <w:rPr>
          <w:rFonts w:ascii="宋体" w:eastAsia="宋体" w:cs="宋体" w:hAnsi="宋体" w:hint="eastAsia"/>
          <w:bCs/>
          <w:color w:val="auto"/>
          <w:sz w:val="32"/>
          <w:szCs w:val="32"/>
          <w:lang w:val="en-US" w:eastAsia="zh-CN"/>
        </w:rPr>
        <w:t>5.2排水工程规划</w:t>
      </w:r>
      <w:bookmarkEnd w:id="49"/>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5.2.1 </w:t>
      </w:r>
      <w:r>
        <w:rPr>
          <w:rFonts w:hint="eastAsia"/>
          <w:b/>
          <w:bCs/>
          <w:color w:val="auto"/>
          <w:sz w:val="28"/>
          <w:szCs w:val="28"/>
        </w:rPr>
        <w:t>规划依据</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《城市排水工程规划规范》GB50318-2017</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rPr>
        <w:t>）《室外排水设计规范》GB50014-2016</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《城市工程管线综合规划规范》（GB50289-2016）</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《污水综合排放标准》（GB8978-1996）</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《钦州市城市规划技术标准与准则》（2015年版）</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6</w:t>
      </w:r>
      <w:r>
        <w:rPr>
          <w:rFonts w:ascii="宋体" w:eastAsia="宋体" w:cs="宋体" w:hAnsi="宋体" w:hint="eastAsia"/>
          <w:color w:val="auto"/>
          <w:kern w:val="0"/>
          <w:sz w:val="28"/>
          <w:szCs w:val="28"/>
        </w:rPr>
        <w:t>）其它有关国家及地方的现行规程、规范及标准</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7</w:t>
      </w:r>
      <w:r>
        <w:rPr>
          <w:rFonts w:ascii="宋体" w:eastAsia="宋体" w:cs="宋体" w:hAnsi="宋体" w:hint="eastAsia"/>
          <w:color w:val="auto"/>
          <w:kern w:val="0"/>
          <w:sz w:val="28"/>
          <w:szCs w:val="28"/>
        </w:rPr>
        <w:t>）甲方提供的用地勘测地形图和市政排水基础资料。</w:t>
      </w: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5.2.2 </w:t>
      </w:r>
      <w:r>
        <w:rPr>
          <w:rFonts w:hint="eastAsia"/>
          <w:b/>
          <w:bCs/>
          <w:color w:val="auto"/>
          <w:sz w:val="28"/>
          <w:szCs w:val="28"/>
        </w:rPr>
        <w:t>现状概况</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项目用地</w:t>
      </w:r>
      <w:r>
        <w:rPr>
          <w:rFonts w:ascii="宋体" w:eastAsia="宋体" w:cs="宋体" w:hAnsi="宋体" w:hint="eastAsia"/>
          <w:color w:val="auto"/>
          <w:kern w:val="0"/>
          <w:sz w:val="28"/>
          <w:szCs w:val="28"/>
        </w:rPr>
        <w:t>离城镇中心较远，周边大部分区域未开发，</w:t>
      </w:r>
      <w:r>
        <w:rPr>
          <w:rFonts w:ascii="宋体" w:eastAsia="宋体" w:cs="宋体" w:hAnsi="宋体" w:hint="eastAsia"/>
          <w:color w:val="auto"/>
          <w:kern w:val="0"/>
          <w:sz w:val="28"/>
          <w:szCs w:val="28"/>
          <w:lang w:eastAsia="zh-CN"/>
        </w:rPr>
        <w:t>主要为</w:t>
      </w:r>
      <w:r>
        <w:rPr>
          <w:rFonts w:hint="eastAsia"/>
          <w:color w:val="auto"/>
          <w:kern w:val="0"/>
          <w:sz w:val="28"/>
          <w:szCs w:val="28"/>
          <w:lang w:val="en-US"/>
        </w:rPr>
        <w:t>丘陵谷地</w:t>
      </w:r>
      <w:r>
        <w:rPr>
          <w:rFonts w:hint="eastAsia"/>
          <w:color w:val="auto"/>
          <w:kern w:val="0"/>
          <w:sz w:val="28"/>
          <w:szCs w:val="28"/>
          <w:lang w:val="en-US" w:eastAsia="zh-CN"/>
        </w:rPr>
        <w:t>地貌，</w:t>
      </w:r>
      <w:r>
        <w:rPr>
          <w:rFonts w:ascii="宋体" w:eastAsia="宋体" w:cs="宋体" w:hAnsi="宋体" w:hint="eastAsia"/>
          <w:color w:val="auto"/>
          <w:kern w:val="0"/>
          <w:sz w:val="28"/>
          <w:szCs w:val="28"/>
        </w:rPr>
        <w:t>现状周边</w:t>
      </w:r>
      <w:r>
        <w:rPr>
          <w:rFonts w:ascii="宋体" w:eastAsia="宋体" w:cs="宋体" w:hAnsi="宋体" w:hint="eastAsia"/>
          <w:color w:val="auto"/>
          <w:kern w:val="0"/>
          <w:sz w:val="28"/>
          <w:szCs w:val="28"/>
          <w:lang w:eastAsia="zh-CN"/>
        </w:rPr>
        <w:t>没有</w:t>
      </w:r>
      <w:r>
        <w:rPr>
          <w:rFonts w:ascii="宋体" w:eastAsia="宋体" w:cs="宋体" w:hAnsi="宋体" w:hint="eastAsia"/>
          <w:color w:val="auto"/>
          <w:kern w:val="0"/>
          <w:sz w:val="28"/>
          <w:szCs w:val="28"/>
        </w:rPr>
        <w:t>市政雨污管网和污水处理设施。</w:t>
      </w: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5.2.3 </w:t>
      </w:r>
      <w:r>
        <w:rPr>
          <w:rFonts w:hint="eastAsia"/>
          <w:b/>
          <w:bCs/>
          <w:color w:val="auto"/>
          <w:sz w:val="28"/>
          <w:szCs w:val="28"/>
        </w:rPr>
        <w:t>排水体制</w:t>
      </w:r>
    </w:p>
    <w:p>
      <w:pPr>
        <w:widowControl/>
        <w:spacing w:before="4" w:line="360" w:lineRule="auto"/>
        <w:ind w:left="118" w:right="351" w:firstLineChars="200" w:firstLine="560"/>
        <w:jc w:val="left"/>
        <w:rPr>
          <w:color w:val="auto"/>
        </w:rPr>
      </w:pPr>
      <w:r>
        <w:rPr>
          <w:rFonts w:ascii="宋体" w:eastAsia="宋体" w:cs="宋体" w:hAnsi="宋体" w:hint="eastAsia"/>
          <w:color w:val="auto"/>
          <w:kern w:val="0"/>
          <w:sz w:val="28"/>
          <w:szCs w:val="28"/>
          <w:lang w:eastAsia="zh-CN"/>
        </w:rPr>
        <w:t>本规划</w:t>
      </w:r>
      <w:r>
        <w:rPr>
          <w:rFonts w:ascii="宋体" w:eastAsia="宋体" w:cs="宋体" w:hAnsi="宋体" w:hint="eastAsia"/>
          <w:color w:val="auto"/>
          <w:kern w:val="0"/>
          <w:sz w:val="28"/>
          <w:szCs w:val="28"/>
        </w:rPr>
        <w:t>排水系统主要包括</w:t>
      </w:r>
      <w:r>
        <w:rPr>
          <w:rFonts w:ascii="宋体" w:eastAsia="宋体" w:cs="宋体" w:hAnsi="宋体" w:hint="eastAsia"/>
          <w:color w:val="auto"/>
          <w:kern w:val="0"/>
          <w:sz w:val="28"/>
          <w:szCs w:val="28"/>
          <w:lang w:eastAsia="zh-CN"/>
        </w:rPr>
        <w:t>风电机组场地排水、升压站</w:t>
      </w:r>
      <w:r>
        <w:rPr>
          <w:rFonts w:ascii="宋体" w:eastAsia="宋体" w:cs="宋体" w:hAnsi="宋体" w:hint="eastAsia"/>
          <w:color w:val="auto"/>
          <w:kern w:val="0"/>
          <w:sz w:val="28"/>
          <w:szCs w:val="28"/>
        </w:rPr>
        <w:t>生活污水排水系统</w:t>
      </w:r>
      <w:r>
        <w:rPr>
          <w:rFonts w:ascii="宋体" w:eastAsia="宋体" w:cs="宋体" w:hAnsi="宋体" w:hint="eastAsia"/>
          <w:color w:val="auto"/>
          <w:kern w:val="0"/>
          <w:sz w:val="28"/>
          <w:szCs w:val="28"/>
          <w:lang w:eastAsia="zh-CN"/>
        </w:rPr>
        <w:t>和</w:t>
      </w:r>
      <w:r>
        <w:rPr>
          <w:rFonts w:ascii="宋体" w:eastAsia="宋体" w:cs="宋体" w:hAnsi="宋体" w:hint="eastAsia"/>
          <w:color w:val="auto"/>
          <w:kern w:val="0"/>
          <w:sz w:val="28"/>
          <w:szCs w:val="28"/>
        </w:rPr>
        <w:t>雨水排水系统。</w:t>
      </w:r>
      <w:r>
        <w:rPr>
          <w:rFonts w:ascii="宋体" w:eastAsia="宋体" w:cs="宋体" w:hAnsi="宋体" w:hint="eastAsia"/>
          <w:color w:val="auto"/>
          <w:kern w:val="0"/>
          <w:sz w:val="28"/>
          <w:szCs w:val="28"/>
          <w:lang w:eastAsia="zh-CN"/>
        </w:rPr>
        <w:t>其中，升压站</w:t>
      </w:r>
      <w:r>
        <w:rPr>
          <w:rFonts w:ascii="宋体" w:eastAsia="宋体" w:cs="宋体" w:hAnsi="宋体" w:hint="eastAsia"/>
          <w:color w:val="auto"/>
          <w:kern w:val="0"/>
          <w:sz w:val="28"/>
          <w:szCs w:val="28"/>
        </w:rPr>
        <w:t>排水系统采用</w:t>
      </w:r>
      <w:r>
        <w:rPr>
          <w:rFonts w:ascii="宋体" w:eastAsia="宋体" w:cs="宋体" w:hAnsi="宋体" w:hint="eastAsia"/>
          <w:color w:val="auto"/>
          <w:kern w:val="0"/>
          <w:sz w:val="28"/>
          <w:szCs w:val="28"/>
          <w:lang w:eastAsia="zh-CN"/>
        </w:rPr>
        <w:t>雨污</w:t>
      </w:r>
      <w:r>
        <w:rPr>
          <w:rFonts w:ascii="宋体" w:eastAsia="宋体" w:cs="宋体" w:hAnsi="宋体" w:hint="eastAsia"/>
          <w:color w:val="auto"/>
          <w:kern w:val="0"/>
          <w:sz w:val="28"/>
          <w:szCs w:val="28"/>
        </w:rPr>
        <w:t>分流制。</w:t>
      </w:r>
    </w:p>
    <w:p>
      <w:pPr>
        <w:pStyle w:val="18"/>
        <w:autoSpaceDE w:val="0"/>
        <w:autoSpaceDN w:val="0"/>
        <w:spacing w:before="4" w:line="420" w:lineRule="auto"/>
        <w:ind w:left="0" w:right="351" w:firstLineChars="200" w:firstLine="560"/>
        <w:rPr>
          <w:b/>
          <w:bCs/>
          <w:color w:val="auto"/>
          <w:sz w:val="28"/>
          <w:szCs w:val="28"/>
        </w:rPr>
      </w:pPr>
      <w:r>
        <w:rPr>
          <w:rFonts w:hint="eastAsia"/>
          <w:b/>
          <w:bCs/>
          <w:color w:val="auto"/>
          <w:sz w:val="28"/>
          <w:szCs w:val="28"/>
          <w:lang w:val="en-US" w:eastAsia="zh-CN"/>
        </w:rPr>
        <w:t xml:space="preserve">5.2.4 </w:t>
      </w:r>
      <w:r>
        <w:rPr>
          <w:rFonts w:hint="eastAsia"/>
          <w:b/>
          <w:bCs/>
          <w:color w:val="auto"/>
          <w:sz w:val="28"/>
          <w:szCs w:val="28"/>
        </w:rPr>
        <w:t>雨水工程</w:t>
      </w:r>
    </w:p>
    <w:p>
      <w:pPr>
        <w:widowControl/>
        <w:numPr>
          <w:ilvl w:val="0"/>
          <w:numId w:val="3"/>
        </w:numPr>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雨水量预测</w:t>
      </w:r>
    </w:p>
    <w:p>
      <w:pPr>
        <w:widowControl/>
        <w:spacing w:before="4" w:line="360" w:lineRule="auto"/>
        <w:ind w:leftChars="200" w:left="420" w:right="351" w:firstLine="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雨水量的计算与城市排涝系统规划相协调，雨水规划设计流量按下式计算：</w:t>
      </w:r>
    </w:p>
    <w:p>
      <w:pPr>
        <w:widowControl/>
        <w:spacing w:before="4" w:line="360" w:lineRule="auto"/>
        <w:ind w:leftChars="200" w:left="420" w:right="351" w:firstLine="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 Q=q•ψ•F</w:t>
      </w:r>
    </w:p>
    <w:p>
      <w:pPr>
        <w:widowControl/>
        <w:spacing w:before="4" w:line="360" w:lineRule="auto"/>
        <w:ind w:leftChars="200" w:left="420" w:right="351" w:firstLine="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式中：Q ——雨水设计流量（升/秒）；q ——设计暴雨强度（升/公顷•秒）；ψ ——径流系数；F ——汇水面积（公顷）。</w:t>
      </w:r>
    </w:p>
    <w:p>
      <w:pPr>
        <w:widowControl/>
        <w:spacing w:before="4" w:line="360" w:lineRule="auto"/>
        <w:ind w:leftChars="200" w:left="420" w:right="351" w:firstLine="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设计暴雨强度按钦州市暴雨强度公式计算：</w:t>
      </w:r>
    </w:p>
    <w:p>
      <w:pPr>
        <w:widowControl/>
        <w:spacing w:before="4" w:line="360" w:lineRule="auto"/>
        <w:ind w:leftChars="200" w:left="420" w:right="351" w:firstLine="0"/>
        <w:jc w:val="left"/>
        <w:rPr>
          <w:rFonts w:ascii="宋体" w:eastAsia="宋体" w:cs="宋体" w:hAnsi="宋体"/>
          <w:color w:val="auto"/>
          <w:kern w:val="0"/>
          <w:sz w:val="28"/>
          <w:szCs w:val="28"/>
          <w:vertAlign w:val="superscript"/>
        </w:rPr>
      </w:pPr>
      <w:r>
        <w:rPr>
          <w:rFonts w:ascii="宋体" w:eastAsia="宋体" w:cs="宋体" w:hAnsi="宋体" w:hint="eastAsia"/>
          <w:color w:val="auto"/>
          <w:kern w:val="0"/>
          <w:sz w:val="28"/>
          <w:szCs w:val="28"/>
        </w:rPr>
        <w:t>q=1817(1+0.505LgP)/(t+5.7)</w:t>
      </w:r>
      <w:r>
        <w:rPr>
          <w:rFonts w:ascii="宋体" w:eastAsia="宋体" w:cs="宋体" w:hAnsi="宋体"/>
          <w:color w:val="auto"/>
          <w:kern w:val="0"/>
          <w:sz w:val="28"/>
          <w:szCs w:val="28"/>
          <w:vertAlign w:val="superscript"/>
        </w:rPr>
        <w:t xml:space="preserve"> 0.58</w:t>
      </w:r>
    </w:p>
    <w:p>
      <w:pPr>
        <w:widowControl/>
        <w:spacing w:before="4" w:line="360" w:lineRule="auto"/>
        <w:ind w:leftChars="200" w:left="420" w:right="351" w:firstLine="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式中：q ——设计暴雨强度（升/公顷•秒）；P ——重现期；t ——降雨历时（分钟），t=t</w:t>
      </w:r>
      <w:r>
        <w:rPr>
          <w:rFonts w:ascii="宋体" w:eastAsia="宋体" w:cs="宋体" w:hAnsi="宋体"/>
          <w:color w:val="auto"/>
          <w:kern w:val="0"/>
          <w:sz w:val="28"/>
          <w:szCs w:val="28"/>
          <w:vertAlign w:val="subscript"/>
        </w:rPr>
        <w:t>1</w:t>
      </w:r>
      <w:r>
        <w:rPr>
          <w:rFonts w:ascii="宋体" w:eastAsia="宋体" w:cs="宋体" w:hAnsi="宋体" w:hint="eastAsia"/>
          <w:color w:val="auto"/>
          <w:kern w:val="0"/>
          <w:sz w:val="28"/>
          <w:szCs w:val="28"/>
        </w:rPr>
        <w:t>+t</w:t>
      </w:r>
      <w:r>
        <w:rPr>
          <w:rFonts w:ascii="宋体" w:eastAsia="宋体" w:cs="宋体" w:hAnsi="宋体"/>
          <w:color w:val="auto"/>
          <w:kern w:val="0"/>
          <w:sz w:val="28"/>
          <w:szCs w:val="28"/>
          <w:vertAlign w:val="subscript"/>
        </w:rPr>
        <w:t>2</w:t>
      </w:r>
      <w:r>
        <w:rPr>
          <w:rFonts w:ascii="宋体" w:eastAsia="宋体" w:cs="宋体" w:hAnsi="宋体" w:hint="eastAsia"/>
          <w:color w:val="auto"/>
          <w:kern w:val="0"/>
          <w:sz w:val="28"/>
          <w:szCs w:val="28"/>
        </w:rPr>
        <w:t>。（t</w:t>
      </w:r>
      <w:r>
        <w:rPr>
          <w:rFonts w:ascii="宋体" w:eastAsia="宋体" w:cs="宋体" w:hAnsi="宋体" w:hint="eastAsia"/>
          <w:color w:val="auto"/>
          <w:kern w:val="0"/>
          <w:sz w:val="28"/>
          <w:szCs w:val="28"/>
          <w:vertAlign w:val="subscript"/>
        </w:rPr>
        <w:t>1</w:t>
      </w:r>
      <w:r>
        <w:rPr>
          <w:rFonts w:ascii="宋体" w:eastAsia="宋体" w:cs="宋体" w:hAnsi="宋体" w:hint="eastAsia"/>
          <w:color w:val="auto"/>
          <w:kern w:val="0"/>
          <w:sz w:val="28"/>
          <w:szCs w:val="28"/>
        </w:rPr>
        <w:t xml:space="preserve"> ——地面集水时间，应根据汇水距离，地形坡度和地面种类计算确定，一般采用5～15 分钟；t</w:t>
      </w:r>
      <w:r>
        <w:rPr>
          <w:rFonts w:ascii="宋体" w:eastAsia="宋体" w:cs="宋体" w:hAnsi="宋体" w:hint="eastAsia"/>
          <w:color w:val="auto"/>
          <w:kern w:val="0"/>
          <w:sz w:val="28"/>
          <w:szCs w:val="28"/>
          <w:vertAlign w:val="subscript"/>
        </w:rPr>
        <w:t>2</w:t>
      </w:r>
      <w:r>
        <w:rPr>
          <w:rFonts w:ascii="宋体" w:eastAsia="宋体" w:cs="宋体" w:hAnsi="宋体" w:hint="eastAsia"/>
          <w:color w:val="auto"/>
          <w:kern w:val="0"/>
          <w:sz w:val="28"/>
          <w:szCs w:val="28"/>
        </w:rPr>
        <w:t>——管渠内雨水流行时间。）</w:t>
      </w:r>
    </w:p>
    <w:p>
      <w:pPr>
        <w:widowControl/>
        <w:spacing w:before="4" w:line="360" w:lineRule="auto"/>
        <w:ind w:leftChars="200" w:left="420" w:right="351" w:firstLine="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考虑到规划地块以丘陵谷地地形为主，重现期宜采用3～4年。</w:t>
      </w:r>
    </w:p>
    <w:p>
      <w:pPr>
        <w:widowControl/>
        <w:spacing w:before="4" w:line="360" w:lineRule="auto"/>
        <w:ind w:leftChars="200" w:left="420" w:right="351" w:firstLine="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综合径流系数：=0.45～0.6</w:t>
      </w:r>
    </w:p>
    <w:p>
      <w:pPr>
        <w:widowControl/>
        <w:spacing w:before="4" w:line="360" w:lineRule="auto"/>
        <w:ind w:leftChars="200" w:left="420" w:right="351" w:firstLineChars="200" w:firstLine="560"/>
        <w:jc w:val="left"/>
        <w:rPr>
          <w:rFonts w:ascii="宋体" w:eastAsia="宋体" w:cs="宋体" w:hAnsi="宋体"/>
          <w:b w:val="0"/>
          <w:bCs w:val="0"/>
          <w:color w:val="auto"/>
          <w:kern w:val="0"/>
          <w:sz w:val="28"/>
          <w:szCs w:val="28"/>
        </w:rPr>
      </w:pPr>
      <w:r>
        <w:rPr>
          <w:rFonts w:ascii="宋体" w:eastAsia="宋体" w:cs="宋体" w:hAnsi="宋体" w:hint="eastAsia"/>
          <w:b w:val="0"/>
          <w:bCs w:val="0"/>
          <w:color w:val="auto"/>
          <w:kern w:val="0"/>
          <w:sz w:val="28"/>
          <w:szCs w:val="28"/>
        </w:rPr>
        <w:t>（</w:t>
      </w:r>
      <w:r>
        <w:rPr>
          <w:rFonts w:ascii="宋体" w:eastAsia="宋体" w:cs="宋体" w:hAnsi="宋体"/>
          <w:b w:val="0"/>
          <w:bCs w:val="0"/>
          <w:color w:val="auto"/>
          <w:kern w:val="0"/>
          <w:sz w:val="28"/>
          <w:szCs w:val="28"/>
        </w:rPr>
        <w:t>2</w:t>
      </w:r>
      <w:r>
        <w:rPr>
          <w:rFonts w:ascii="宋体" w:eastAsia="宋体" w:cs="宋体" w:hAnsi="宋体" w:hint="eastAsia"/>
          <w:b w:val="0"/>
          <w:bCs w:val="0"/>
          <w:color w:val="auto"/>
          <w:kern w:val="0"/>
          <w:sz w:val="28"/>
          <w:szCs w:val="28"/>
        </w:rPr>
        <w:t>）雨水分区和管网规划</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1）</w:t>
      </w:r>
      <w:r>
        <w:rPr>
          <w:rFonts w:ascii="宋体" w:eastAsia="宋体" w:cs="宋体" w:hAnsi="宋体" w:hint="eastAsia"/>
          <w:color w:val="auto"/>
          <w:kern w:val="0"/>
          <w:sz w:val="28"/>
          <w:szCs w:val="28"/>
          <w:lang w:eastAsia="zh-CN"/>
        </w:rPr>
        <w:t>规划风电机组用地和升压站用地</w:t>
      </w:r>
      <w:r>
        <w:rPr>
          <w:rFonts w:ascii="宋体" w:eastAsia="宋体" w:cs="宋体" w:hAnsi="宋体" w:hint="eastAsia"/>
          <w:color w:val="auto"/>
          <w:kern w:val="0"/>
          <w:sz w:val="28"/>
          <w:szCs w:val="28"/>
        </w:rPr>
        <w:t>按照高水高排、低水低排的原则，充分利用地形就近排放。</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2）</w:t>
      </w:r>
      <w:r>
        <w:rPr>
          <w:rFonts w:ascii="宋体" w:eastAsia="宋体" w:cs="宋体" w:hAnsi="宋体" w:hint="eastAsia"/>
          <w:color w:val="auto"/>
          <w:kern w:val="0"/>
          <w:sz w:val="28"/>
          <w:szCs w:val="28"/>
          <w:lang w:eastAsia="zh-CN"/>
        </w:rPr>
        <w:t>升压站建筑物屋面雨水通过雨水斗收集，通过雨水立管引至地面雨水沟，站区场地雨水通过雨水口收集，电缆沟的雨水通过管道排至站内雨水排水系统，通过室外埋地雨水管道排至站外，规划</w:t>
      </w:r>
      <w:r>
        <w:rPr>
          <w:rFonts w:ascii="宋体" w:eastAsia="宋体" w:cs="宋体" w:hAnsi="宋体" w:hint="eastAsia"/>
          <w:color w:val="auto"/>
          <w:kern w:val="0"/>
          <w:sz w:val="28"/>
          <w:szCs w:val="28"/>
        </w:rPr>
        <w:t>雨水管径d400mm-600mm</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以山地冲沟和坑塘河道为主要排水出口，沿外围道路迅速将雨水排出。</w:t>
      </w:r>
    </w:p>
    <w:p>
      <w:pPr>
        <w:pStyle w:val="18"/>
        <w:autoSpaceDE w:val="0"/>
        <w:autoSpaceDN w:val="0"/>
        <w:spacing w:before="4" w:line="420" w:lineRule="auto"/>
        <w:ind w:left="597" w:right="351"/>
        <w:rPr>
          <w:rFonts w:ascii="宋体" w:eastAsia="宋体" w:cs="宋体" w:hAnsi="宋体" w:hint="eastAsia"/>
          <w:color w:val="auto"/>
          <w:kern w:val="0"/>
          <w:sz w:val="28"/>
          <w:szCs w:val="28"/>
          <w:lang w:eastAsia="zh-CN"/>
        </w:rPr>
      </w:pPr>
      <w:r>
        <w:rPr>
          <w:rFonts w:hint="eastAsia"/>
          <w:b/>
          <w:bCs/>
          <w:color w:val="auto"/>
          <w:sz w:val="28"/>
          <w:szCs w:val="28"/>
          <w:lang w:val="en-US" w:eastAsia="zh-CN"/>
        </w:rPr>
        <w:t xml:space="preserve">5.2.5 </w:t>
      </w:r>
      <w:r>
        <w:rPr>
          <w:rFonts w:hint="eastAsia"/>
          <w:b/>
          <w:bCs/>
          <w:color w:val="auto"/>
          <w:sz w:val="28"/>
          <w:szCs w:val="28"/>
        </w:rPr>
        <w:t>污水工程</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本规划污水工程主要为升压站产生的污水排放，对其进行合理的污水管网和污水处理设施规划。</w:t>
      </w:r>
    </w:p>
    <w:p>
      <w:pPr>
        <w:widowControl/>
        <w:spacing w:before="4" w:line="360" w:lineRule="auto"/>
        <w:ind w:leftChars="200" w:left="42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污水量预测</w:t>
      </w:r>
    </w:p>
    <w:p>
      <w:pPr>
        <w:widowControl/>
        <w:spacing w:before="4" w:line="360" w:lineRule="auto"/>
        <w:ind w:leftChars="200" w:left="42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根据</w:t>
      </w: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平均日用水量情况，按综合污水排放系数80%计算污水量，则整个地块污水量为9.6m³/d。</w:t>
      </w:r>
    </w:p>
    <w:p>
      <w:pPr>
        <w:widowControl/>
        <w:spacing w:before="4" w:line="360" w:lineRule="auto"/>
        <w:ind w:leftChars="200" w:left="42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（2）污水管网规划</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根据</w:t>
      </w: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地块所处区位实际地形情况，合理规划污水排放设施。本次规划地块内废水主要来自升压站运行人员产生的生活污水，拟选用设备为1 台埋地式一体化污水处理设备（</w:t>
      </w:r>
      <w:r>
        <w:rPr>
          <w:rFonts w:ascii="宋体" w:eastAsia="宋体" w:cs="宋体" w:hAnsi="宋体" w:hint="eastAsia"/>
          <w:color w:val="auto"/>
          <w:kern w:val="0"/>
          <w:sz w:val="28"/>
          <w:szCs w:val="28"/>
          <w:lang w:eastAsia="zh-CN"/>
        </w:rPr>
        <w:t>处理能力约</w:t>
      </w:r>
      <w:r>
        <w:rPr>
          <w:rFonts w:ascii="宋体" w:eastAsia="宋体" w:cs="宋体" w:hAnsi="宋体" w:hint="eastAsia"/>
          <w:color w:val="auto"/>
          <w:kern w:val="0"/>
          <w:sz w:val="28"/>
          <w:szCs w:val="28"/>
        </w:rPr>
        <w:t>0.5 m³/h），生活污水经站内化粪池和地埋式一体化污水处理设施处理，达到《污水综合排放标准》（GB8978-1996）一级标准且满足《农田灌溉水质标准》（GB5084-2021）中的相应标准后用于站区周边林草地灌溉。</w:t>
      </w:r>
    </w:p>
    <w:p>
      <w:pPr>
        <w:widowControl/>
        <w:spacing w:before="4" w:line="360" w:lineRule="auto"/>
        <w:ind w:left="0" w:right="351"/>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drawing>
          <wp:inline distT="0" distB="0" distL="114300" distR="114300">
            <wp:extent cx="5271134" cy="3959225"/>
            <wp:effectExtent l="0" t="0" r="15" b="29"/>
            <wp:docPr id="54" name="图片 14" descr="E:/00王麒麟项目/王麒麟钦北区古道岭风电场一期工程独立地块控规2025.02.08/古道岭给水污水示意.png古道岭给水污水示意"/>
            <wp:cNvGraphicFramePr>
              <a:graphicFrameLocks noChangeAspect="1"/>
            </wp:cNvGraphicFramePr>
            <a:graphic>
              <a:graphicData uri="http://schemas.openxmlformats.org/drawingml/2006/picture">
                <pic:pic>
                  <pic:nvPicPr>
                    <pic:cNvPr id="56" name="图片 14 56"/>
                    <pic:cNvPicPr/>
                  </pic:nvPicPr>
                  <pic:blipFill>
                    <a:blip r:embed="rId21"/>
                    <a:srcRect t="6" b="6"/>
                    <a:stretch>
                      <a:fillRect/>
                    </a:stretch>
                  </pic:blipFill>
                  <pic:spPr>
                    <a:xfrm rot="0">
                      <a:off x="0" y="0"/>
                      <a:ext cx="5271134" cy="3959225"/>
                    </a:xfrm>
                    <a:prstGeom prst="rect"/>
                    <a:noFill/>
                    <a:ln w="9525" cmpd="sng" cap="flat">
                      <a:noFill/>
                      <a:prstDash val="solid"/>
                      <a:miter/>
                    </a:ln>
                  </pic:spPr>
                </pic:pic>
              </a:graphicData>
            </a:graphic>
          </wp:inline>
        </w:drawing>
      </w:r>
    </w:p>
    <w:p>
      <w:pPr>
        <w:widowControl/>
        <w:spacing w:before="4" w:line="360" w:lineRule="auto"/>
        <w:ind w:left="0" w:right="351"/>
        <w:jc w:val="center"/>
        <w:rPr>
          <w:rFonts w:ascii="宋体" w:eastAsia="宋体" w:cs="宋体" w:hAnsi="宋体" w:hint="eastAsia"/>
          <w:b/>
          <w:bCs/>
          <w:color w:val="auto"/>
          <w:kern w:val="0"/>
          <w:sz w:val="28"/>
          <w:szCs w:val="28"/>
          <w:lang w:eastAsia="zh-CN"/>
        </w:rPr>
      </w:pPr>
      <w:r>
        <w:rPr>
          <w:rFonts w:ascii="宋体" w:eastAsia="宋体" w:cs="宋体" w:hAnsi="宋体" w:hint="eastAsia"/>
          <w:b/>
          <w:bCs/>
          <w:color w:val="auto"/>
          <w:kern w:val="0"/>
          <w:sz w:val="28"/>
          <w:szCs w:val="28"/>
          <w:lang w:eastAsia="zh-CN"/>
        </w:rPr>
        <w:t>规划给水和排水设施位置示意图</w:t>
      </w:r>
    </w:p>
    <w:p>
      <w:pPr>
        <w:pStyle w:val="1"/>
        <w:numPr>
          <w:ilvl w:val="0"/>
          <w:numId w:val="0"/>
        </w:numPr>
        <w:autoSpaceDE w:val="0"/>
        <w:autoSpaceDN w:val="0"/>
        <w:spacing w:before="260" w:line="360" w:lineRule="auto"/>
        <w:ind w:left="420" w:right="351"/>
        <w:rPr>
          <w:rFonts w:ascii="宋体" w:eastAsia="宋体" w:cs="宋体" w:hAnsi="宋体" w:hint="eastAsia"/>
          <w:b/>
          <w:bCs/>
          <w:color w:val="auto"/>
          <w:sz w:val="32"/>
          <w:szCs w:val="32"/>
        </w:rPr>
      </w:pPr>
      <w:bookmarkStart w:id="50" w:name="_Toc24329"/>
      <w:r>
        <w:rPr>
          <w:rFonts w:ascii="宋体" w:eastAsia="宋体" w:cs="宋体" w:hAnsi="宋体" w:hint="eastAsia"/>
          <w:bCs/>
          <w:color w:val="auto"/>
          <w:sz w:val="32"/>
          <w:szCs w:val="32"/>
          <w:lang w:val="en-US" w:eastAsia="zh-CN"/>
        </w:rPr>
        <w:t xml:space="preserve">5.3 </w:t>
      </w:r>
      <w:r>
        <w:rPr>
          <w:rFonts w:ascii="宋体" w:eastAsia="宋体" w:cs="宋体" w:hAnsi="宋体" w:hint="eastAsia"/>
          <w:bCs/>
          <w:color w:val="auto"/>
          <w:sz w:val="32"/>
          <w:szCs w:val="32"/>
        </w:rPr>
        <w:t>电力工程规划</w:t>
      </w:r>
      <w:bookmarkEnd w:id="50"/>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5.3.1 </w:t>
      </w:r>
      <w:r>
        <w:rPr>
          <w:rFonts w:hint="eastAsia"/>
          <w:b/>
          <w:bCs/>
          <w:color w:val="auto"/>
          <w:sz w:val="28"/>
          <w:szCs w:val="28"/>
        </w:rPr>
        <w:t>规划依据</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《风电场工程设计导则</w:t>
      </w:r>
      <w:r>
        <w:rPr>
          <w:rFonts w:ascii="宋体" w:eastAsia="宋体" w:cs="宋体" w:hAnsi="宋体" w:hint="eastAsia"/>
          <w:color w:val="auto"/>
          <w:kern w:val="0"/>
          <w:sz w:val="28"/>
          <w:szCs w:val="28"/>
          <w:lang w:eastAsia="zh-CN"/>
        </w:rPr>
        <w:t>（试行）</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《风</w:t>
      </w:r>
      <w:r>
        <w:rPr>
          <w:rFonts w:ascii="宋体" w:eastAsia="宋体" w:cs="宋体" w:hAnsi="宋体" w:hint="eastAsia"/>
          <w:color w:val="auto"/>
          <w:kern w:val="0"/>
          <w:sz w:val="28"/>
          <w:szCs w:val="28"/>
          <w:lang w:val="en-US" w:eastAsia="zh-CN"/>
        </w:rPr>
        <w:t>力发电场设计规范</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w:t>
      </w:r>
      <w:r>
        <w:rPr>
          <w:rFonts w:ascii="宋体" w:eastAsia="宋体" w:cs="宋体" w:hAnsi="宋体"/>
          <w:color w:val="auto"/>
          <w:kern w:val="0"/>
          <w:sz w:val="28"/>
          <w:szCs w:val="28"/>
        </w:rPr>
        <w:t>GB</w:t>
      </w:r>
      <w:r>
        <w:rPr>
          <w:rFonts w:ascii="宋体" w:eastAsia="宋体" w:cs="宋体" w:hAnsi="宋体" w:hint="eastAsia"/>
          <w:color w:val="auto"/>
          <w:kern w:val="0"/>
          <w:sz w:val="28"/>
          <w:szCs w:val="28"/>
          <w:lang w:eastAsia="zh-CN"/>
        </w:rPr>
        <w:t>5</w:t>
      </w:r>
      <w:r>
        <w:rPr>
          <w:rFonts w:ascii="宋体" w:eastAsia="宋体" w:cs="宋体" w:hAnsi="宋体" w:hint="eastAsia"/>
          <w:color w:val="auto"/>
          <w:kern w:val="0"/>
          <w:sz w:val="28"/>
          <w:szCs w:val="28"/>
          <w:lang w:val="en-US" w:eastAsia="zh-CN"/>
        </w:rPr>
        <w:t>1096</w:t>
      </w:r>
      <w:r>
        <w:rPr>
          <w:rFonts w:ascii="宋体" w:eastAsia="宋体" w:cs="宋体" w:hAnsi="宋体"/>
          <w:color w:val="auto"/>
          <w:kern w:val="0"/>
          <w:sz w:val="28"/>
          <w:szCs w:val="28"/>
        </w:rPr>
        <w:t>-201</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lang w:eastAsia="zh-CN"/>
        </w:rPr>
        <w:t>）；</w:t>
      </w:r>
    </w:p>
    <w:p>
      <w:pPr>
        <w:widowControl/>
        <w:spacing w:before="4" w:line="360" w:lineRule="auto"/>
        <w:ind w:left="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《中国南方电网城市配电网技术导则》（Q/CSG l0012-2005）；</w:t>
      </w:r>
    </w:p>
    <w:p>
      <w:pPr>
        <w:widowControl/>
        <w:spacing w:before="4" w:line="360" w:lineRule="auto"/>
        <w:ind w:left="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《城市电力网规划设计导则》（Q/GDW156-2006）；</w:t>
      </w:r>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《城市电力规划规范》( GB50293-2014)</w:t>
      </w:r>
      <w:r>
        <w:rPr>
          <w:rFonts w:ascii="宋体" w:eastAsia="宋体" w:cs="宋体" w:hAnsi="宋体" w:hint="eastAsia"/>
          <w:color w:val="auto"/>
          <w:kern w:val="0"/>
          <w:sz w:val="28"/>
          <w:szCs w:val="28"/>
          <w:lang w:eastAsia="zh-CN"/>
        </w:rPr>
        <w:t>；</w:t>
      </w:r>
    </w:p>
    <w:p>
      <w:pPr>
        <w:widowControl/>
        <w:spacing w:before="4" w:line="360" w:lineRule="auto"/>
        <w:ind w:left="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6</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《通用用电设备配电设计规范》GB 50055-2011；</w:t>
      </w:r>
    </w:p>
    <w:p>
      <w:pPr>
        <w:widowControl/>
        <w:spacing w:before="4" w:line="360" w:lineRule="auto"/>
        <w:ind w:left="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7</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《电力工程电缆设计</w:t>
      </w:r>
      <w:r>
        <w:rPr>
          <w:rFonts w:ascii="宋体" w:eastAsia="宋体" w:cs="宋体" w:hAnsi="宋体" w:hint="eastAsia"/>
          <w:color w:val="auto"/>
          <w:kern w:val="0"/>
          <w:sz w:val="28"/>
          <w:szCs w:val="28"/>
          <w:lang w:eastAsia="zh-CN"/>
        </w:rPr>
        <w:t>标准</w:t>
      </w:r>
      <w:r>
        <w:rPr>
          <w:rFonts w:ascii="宋体" w:eastAsia="宋体" w:cs="宋体" w:hAnsi="宋体" w:hint="eastAsia"/>
          <w:color w:val="auto"/>
          <w:kern w:val="0"/>
          <w:sz w:val="28"/>
          <w:szCs w:val="28"/>
        </w:rPr>
        <w:t>》GB50217-2018；</w:t>
      </w:r>
    </w:p>
    <w:p>
      <w:pPr>
        <w:widowControl/>
        <w:spacing w:before="4" w:line="360" w:lineRule="auto"/>
        <w:ind w:left="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8</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《综合布线系统工程设计规范》GB 50311-2016；</w:t>
      </w:r>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9</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《供配电系统设计规范》GB50052-2009</w:t>
      </w:r>
      <w:r>
        <w:rPr>
          <w:rFonts w:ascii="宋体" w:eastAsia="宋体" w:cs="宋体" w:hAnsi="宋体" w:hint="eastAsia"/>
          <w:color w:val="auto"/>
          <w:kern w:val="0"/>
          <w:sz w:val="28"/>
          <w:szCs w:val="28"/>
          <w:lang w:eastAsia="zh-CN"/>
        </w:rPr>
        <w:t>；</w:t>
      </w:r>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10</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《35～110</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变电站设计规范》GB50059-2011</w:t>
      </w:r>
      <w:r>
        <w:rPr>
          <w:rFonts w:ascii="宋体" w:eastAsia="宋体" w:cs="宋体" w:hAnsi="宋体" w:hint="eastAsia"/>
          <w:color w:val="auto"/>
          <w:kern w:val="0"/>
          <w:sz w:val="28"/>
          <w:szCs w:val="28"/>
          <w:lang w:eastAsia="zh-CN"/>
        </w:rPr>
        <w:t>；</w:t>
      </w:r>
    </w:p>
    <w:p>
      <w:pPr>
        <w:widowControl/>
        <w:spacing w:before="4" w:line="360" w:lineRule="auto"/>
        <w:ind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11</w:t>
      </w:r>
      <w:r>
        <w:rPr>
          <w:rFonts w:ascii="宋体" w:eastAsia="宋体" w:cs="宋体" w:hAnsi="宋体" w:hint="eastAsia"/>
          <w:color w:val="auto"/>
          <w:kern w:val="0"/>
          <w:sz w:val="28"/>
          <w:szCs w:val="28"/>
        </w:rPr>
        <w:t>）其它有关国家及地方的现行规程、规范及标准</w:t>
      </w:r>
      <w:r>
        <w:rPr>
          <w:rFonts w:ascii="宋体" w:eastAsia="宋体" w:cs="宋体" w:hAnsi="宋体" w:hint="eastAsia"/>
          <w:color w:val="auto"/>
          <w:kern w:val="0"/>
          <w:sz w:val="28"/>
          <w:szCs w:val="28"/>
          <w:lang w:eastAsia="zh-CN"/>
        </w:rPr>
        <w:t>。</w:t>
      </w: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5.3.2 规划原则</w:t>
      </w:r>
    </w:p>
    <w:p>
      <w:pPr>
        <w:widowControl/>
        <w:autoSpaceDE w:val="0"/>
        <w:autoSpaceDN w:val="0"/>
        <w:spacing w:before="4" w:line="360" w:lineRule="auto"/>
        <w:ind w:leftChars="200" w:left="42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风电场主接线设计方案根据风电机组单机容量和出口电压等级确定，一般选用一机一变，经过技术经济比较选定若干台风电机组成一组，根据风电场装机容量确定组数，再根据组数确定风电场专用变电站高压进线柜的数量，并根据风电场规划装机容量预留扩建的余地。</w:t>
      </w:r>
    </w:p>
    <w:p>
      <w:pPr>
        <w:widowControl/>
        <w:autoSpaceDE w:val="0"/>
        <w:autoSpaceDN w:val="0"/>
        <w:spacing w:before="4" w:line="360" w:lineRule="auto"/>
        <w:ind w:leftChars="200" w:left="42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在风电场接入电力系统设计完成并通过审查和风电场主接线设计完成后，才能考虑风电厂集电线路、升压变电设备及通信和控制设备的订货</w:t>
      </w:r>
      <w:r>
        <w:rPr>
          <w:rFonts w:ascii="宋体" w:eastAsia="宋体" w:cs="宋体" w:hAnsi="宋体" w:hint="eastAsia"/>
          <w:color w:val="auto"/>
          <w:kern w:val="0"/>
          <w:sz w:val="28"/>
          <w:szCs w:val="28"/>
          <w:lang w:eastAsia="zh-CN"/>
        </w:rPr>
        <w:t>。</w:t>
      </w:r>
    </w:p>
    <w:p>
      <w:pPr>
        <w:widowControl/>
        <w:autoSpaceDE w:val="0"/>
        <w:autoSpaceDN w:val="0"/>
        <w:spacing w:before="4" w:line="360" w:lineRule="auto"/>
        <w:ind w:leftChars="200" w:left="420" w:right="351" w:firstLineChars="200" w:firstLine="560"/>
        <w:jc w:val="left"/>
        <w:rPr>
          <w:rFonts w:hint="eastAsia"/>
          <w:color w:val="auto"/>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）集电线路一般采用架空线路形式，当风场环境和景观有特殊要求时可采用电缆</w:t>
      </w:r>
      <w:r>
        <w:rPr>
          <w:rFonts w:ascii="宋体" w:eastAsia="宋体" w:cs="宋体" w:hAnsi="宋体" w:hint="eastAsia"/>
          <w:color w:val="auto"/>
          <w:kern w:val="0"/>
          <w:sz w:val="28"/>
          <w:szCs w:val="28"/>
        </w:rPr>
        <w:t>。</w:t>
      </w: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5.3.3 升压站地块</w:t>
      </w:r>
      <w:r>
        <w:rPr>
          <w:rFonts w:hint="eastAsia"/>
          <w:b/>
          <w:bCs/>
          <w:color w:val="auto"/>
          <w:sz w:val="28"/>
          <w:szCs w:val="28"/>
        </w:rPr>
        <w:t>用电负荷预测</w:t>
      </w:r>
    </w:p>
    <w:p>
      <w:pPr>
        <w:widowControl/>
        <w:autoSpaceDE w:val="0"/>
        <w:autoSpaceDN w:val="0"/>
        <w:spacing w:before="4" w:line="360" w:lineRule="auto"/>
        <w:ind w:leftChars="200" w:left="420" w:right="351" w:firstLineChars="200" w:firstLine="560"/>
        <w:rPr>
          <w:rFonts w:eastAsia="宋体" w:hint="eastAsia"/>
          <w:color w:val="auto"/>
          <w:lang w:val="en-US" w:eastAsia="zh-CN"/>
        </w:rPr>
      </w:pP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地块为公用设施用地的供电用地，用地面积为6017.44平方米，根据《钦州市城市规划技术标准与准则》（2015年版），本地块电力负荷预测以分类的单位用地负荷密度法进行计算，公用设施用地按250kW/hm²标准取值，则计得用地用电负荷约为150kW。</w:t>
      </w: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5.3.4 </w:t>
      </w:r>
      <w:r>
        <w:rPr>
          <w:rFonts w:hint="eastAsia"/>
          <w:b/>
          <w:bCs/>
          <w:color w:val="auto"/>
          <w:sz w:val="28"/>
          <w:szCs w:val="28"/>
        </w:rPr>
        <w:t>电源规划</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风电场：风机和箱变所需的电源引自各自所带的干变。</w:t>
      </w:r>
    </w:p>
    <w:p>
      <w:pPr>
        <w:widowControl/>
        <w:spacing w:before="4" w:line="360" w:lineRule="auto"/>
        <w:ind w:leftChars="200" w:left="42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：站用电工作电源从35</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 xml:space="preserve"> 母线上引接，备用电源从施工完工后保留的施工电源引接，站变选用容量为400</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A，正常情况下全站用电负荷由35</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站变供电。10</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备用站变接在10</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 xml:space="preserve"> 外接电源上， 选用容量为400</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A 的干式变压器，当正常工作电源故障时，为全所动力负荷及照明加热负荷供电。站用电系统为0.4</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 xml:space="preserve"> 单母线接线，由低压配电屏组成。</w:t>
      </w: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5.3.5 </w:t>
      </w:r>
      <w:r>
        <w:rPr>
          <w:rFonts w:hint="eastAsia"/>
          <w:b/>
          <w:bCs/>
          <w:color w:val="auto"/>
          <w:sz w:val="28"/>
          <w:szCs w:val="28"/>
        </w:rPr>
        <w:t>配电线路规划</w:t>
      </w:r>
    </w:p>
    <w:p>
      <w:pPr>
        <w:widowControl/>
        <w:spacing w:before="4" w:line="360" w:lineRule="auto"/>
        <w:ind w:left="42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与本规划地块关联的风机与箱变采用一机一变单元接线，16台风机分别经箱变升压至37</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，分2 回35</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线路接入本地块风电场110</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升压变电站35</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 xml:space="preserve"> 母线侧。</w:t>
      </w:r>
    </w:p>
    <w:p>
      <w:pPr>
        <w:widowControl/>
        <w:spacing w:before="4" w:line="360" w:lineRule="auto"/>
        <w:ind w:left="42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研究地块内</w:t>
      </w:r>
      <w:r>
        <w:rPr>
          <w:rFonts w:ascii="宋体" w:eastAsia="宋体" w:cs="宋体" w:hAnsi="宋体"/>
          <w:color w:val="auto"/>
          <w:kern w:val="0"/>
          <w:sz w:val="28"/>
          <w:szCs w:val="28"/>
        </w:rPr>
        <w:t>110</w:t>
      </w:r>
      <w:r>
        <w:rPr>
          <w:rFonts w:ascii="宋体" w:eastAsia="宋体" w:cs="宋体" w:hAnsi="宋体" w:hint="eastAsia"/>
          <w:color w:val="auto"/>
          <w:kern w:val="0"/>
          <w:sz w:val="28"/>
          <w:szCs w:val="28"/>
          <w:lang w:eastAsia="zh-CN"/>
        </w:rPr>
        <w:t>kV</w:t>
      </w:r>
      <w:r>
        <w:rPr>
          <w:rFonts w:ascii="宋体" w:eastAsia="宋体" w:cs="宋体" w:hAnsi="宋体"/>
          <w:color w:val="auto"/>
          <w:kern w:val="0"/>
          <w:sz w:val="28"/>
          <w:szCs w:val="28"/>
        </w:rPr>
        <w:t>高压配电装置采用户内GIS，</w:t>
      </w:r>
      <w:r>
        <w:rPr>
          <w:rFonts w:ascii="宋体" w:eastAsia="宋体" w:cs="宋体" w:hAnsi="宋体" w:hint="eastAsia"/>
          <w:color w:val="auto"/>
          <w:kern w:val="0"/>
          <w:sz w:val="28"/>
          <w:szCs w:val="28"/>
        </w:rPr>
        <w:t>远</w:t>
      </w:r>
      <w:r>
        <w:rPr>
          <w:rFonts w:ascii="宋体" w:eastAsia="宋体" w:cs="宋体" w:hAnsi="宋体"/>
          <w:color w:val="auto"/>
          <w:kern w:val="0"/>
          <w:sz w:val="28"/>
          <w:szCs w:val="28"/>
        </w:rPr>
        <w:t>期2回主变进线，1回出线。</w:t>
      </w:r>
      <w:r>
        <w:rPr>
          <w:rFonts w:ascii="宋体" w:eastAsia="宋体" w:cs="宋体" w:hAnsi="宋体" w:hint="eastAsia"/>
          <w:color w:val="auto"/>
          <w:kern w:val="0"/>
          <w:sz w:val="28"/>
          <w:szCs w:val="28"/>
        </w:rPr>
        <w:t>近</w:t>
      </w:r>
      <w:r>
        <w:rPr>
          <w:rFonts w:ascii="宋体" w:eastAsia="宋体" w:cs="宋体" w:hAnsi="宋体"/>
          <w:color w:val="auto"/>
          <w:kern w:val="0"/>
          <w:sz w:val="28"/>
          <w:szCs w:val="28"/>
        </w:rPr>
        <w:t>期建设1回主变进线及1回出线。以1 回110</w:t>
      </w:r>
      <w:r>
        <w:rPr>
          <w:rFonts w:ascii="宋体" w:eastAsia="宋体" w:cs="宋体" w:hAnsi="宋体" w:hint="eastAsia"/>
          <w:color w:val="auto"/>
          <w:kern w:val="0"/>
          <w:sz w:val="28"/>
          <w:szCs w:val="28"/>
          <w:lang w:eastAsia="zh-CN"/>
        </w:rPr>
        <w:t>kV</w:t>
      </w:r>
      <w:r>
        <w:rPr>
          <w:rFonts w:ascii="宋体" w:eastAsia="宋体" w:cs="宋体" w:hAnsi="宋体"/>
          <w:color w:val="auto"/>
          <w:kern w:val="0"/>
          <w:sz w:val="28"/>
          <w:szCs w:val="28"/>
        </w:rPr>
        <w:t>线路接入拟建的220</w:t>
      </w:r>
      <w:r>
        <w:rPr>
          <w:rFonts w:ascii="宋体" w:eastAsia="宋体" w:cs="宋体" w:hAnsi="宋体" w:hint="eastAsia"/>
          <w:color w:val="auto"/>
          <w:kern w:val="0"/>
          <w:sz w:val="28"/>
          <w:szCs w:val="28"/>
          <w:lang w:eastAsia="zh-CN"/>
        </w:rPr>
        <w:t>kV</w:t>
      </w:r>
      <w:r>
        <w:rPr>
          <w:rFonts w:ascii="宋体" w:eastAsia="宋体" w:cs="宋体" w:hAnsi="宋体"/>
          <w:color w:val="auto"/>
          <w:kern w:val="0"/>
          <w:sz w:val="28"/>
          <w:szCs w:val="28"/>
        </w:rPr>
        <w:t>歌标站，线路长度约15km</w:t>
      </w:r>
      <w:r>
        <w:rPr>
          <w:rFonts w:ascii="宋体" w:eastAsia="宋体" w:cs="宋体" w:hAnsi="宋体" w:hint="eastAsia"/>
          <w:color w:val="auto"/>
          <w:kern w:val="0"/>
          <w:sz w:val="28"/>
          <w:szCs w:val="28"/>
        </w:rPr>
        <w:t>。</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51" w:name="_Toc11362"/>
      <w:r>
        <w:rPr>
          <w:rFonts w:ascii="宋体" w:eastAsia="宋体" w:cs="宋体" w:hAnsi="宋体" w:hint="eastAsia"/>
          <w:bCs/>
          <w:color w:val="auto"/>
          <w:sz w:val="32"/>
          <w:szCs w:val="32"/>
          <w:lang w:val="en-US" w:eastAsia="zh-CN"/>
        </w:rPr>
        <w:t>5.4通信工程规划</w:t>
      </w:r>
      <w:bookmarkEnd w:id="51"/>
    </w:p>
    <w:p>
      <w:pPr>
        <w:pStyle w:val="18"/>
        <w:autoSpaceDE w:val="0"/>
        <w:autoSpaceDN w:val="0"/>
        <w:spacing w:before="4" w:line="420" w:lineRule="auto"/>
        <w:ind w:left="118" w:right="351" w:firstLine="479"/>
        <w:rPr>
          <w:rFonts w:eastAsia="宋体" w:hint="eastAsia"/>
          <w:b/>
          <w:bCs/>
          <w:color w:val="auto"/>
          <w:sz w:val="28"/>
          <w:szCs w:val="28"/>
          <w:lang w:eastAsia="zh-CN"/>
        </w:rPr>
      </w:pPr>
      <w:r>
        <w:rPr>
          <w:rFonts w:hint="eastAsia"/>
          <w:b/>
          <w:bCs/>
          <w:color w:val="auto"/>
          <w:sz w:val="28"/>
          <w:szCs w:val="28"/>
          <w:lang w:val="en-US" w:eastAsia="zh-CN"/>
        </w:rPr>
        <w:t>5.4.1 自动化监控、</w:t>
      </w:r>
      <w:r>
        <w:rPr>
          <w:rFonts w:hint="eastAsia"/>
          <w:b/>
          <w:bCs/>
          <w:color w:val="auto"/>
          <w:sz w:val="28"/>
          <w:szCs w:val="28"/>
          <w:lang w:eastAsia="zh-CN"/>
        </w:rPr>
        <w:t>通信系统</w:t>
      </w:r>
    </w:p>
    <w:p>
      <w:pPr>
        <w:pStyle w:val="18"/>
        <w:autoSpaceDE w:val="0"/>
        <w:autoSpaceDN w:val="0"/>
        <w:spacing w:before="4" w:line="420" w:lineRule="auto"/>
        <w:ind w:left="118" w:right="351" w:firstLine="479"/>
        <w:rPr>
          <w:rFonts w:hint="eastAsia"/>
          <w:b/>
          <w:bCs/>
          <w:color w:val="auto"/>
          <w:sz w:val="28"/>
          <w:szCs w:val="28"/>
          <w:lang w:val="en-US" w:eastAsia="zh-CN"/>
        </w:rPr>
      </w:pPr>
      <w:r>
        <w:rPr>
          <w:rFonts w:ascii="宋体" w:eastAsia="宋体" w:cs="宋体" w:hAnsi="宋体" w:hint="eastAsia"/>
          <w:color w:val="auto"/>
          <w:kern w:val="0"/>
          <w:sz w:val="28"/>
          <w:szCs w:val="28"/>
          <w:lang w:eastAsia="zh-CN"/>
        </w:rPr>
        <w:t>在工程中</w:t>
      </w:r>
      <w:r>
        <w:rPr>
          <w:rFonts w:cs="宋体" w:hint="eastAsia"/>
          <w:color w:val="auto"/>
          <w:kern w:val="0"/>
          <w:sz w:val="28"/>
          <w:szCs w:val="28"/>
          <w:lang w:eastAsia="zh-CN"/>
        </w:rPr>
        <w:t>规划设置</w:t>
      </w:r>
      <w:r>
        <w:rPr>
          <w:rFonts w:ascii="宋体" w:eastAsia="宋体" w:cs="宋体" w:hAnsi="宋体" w:hint="eastAsia"/>
          <w:color w:val="auto"/>
          <w:kern w:val="0"/>
          <w:sz w:val="28"/>
          <w:szCs w:val="28"/>
          <w:lang w:eastAsia="zh-CN"/>
        </w:rPr>
        <w:t>二套综合自动化系统，分别为风电场</w:t>
      </w:r>
      <w:r>
        <w:rPr>
          <w:rFonts w:cs="宋体" w:hint="eastAsia"/>
          <w:color w:val="auto"/>
          <w:kern w:val="0"/>
          <w:sz w:val="28"/>
          <w:szCs w:val="28"/>
          <w:lang w:eastAsia="zh-CN"/>
        </w:rPr>
        <w:t>风机</w:t>
      </w:r>
      <w:r>
        <w:rPr>
          <w:rFonts w:ascii="宋体" w:eastAsia="宋体" w:cs="宋体" w:hAnsi="宋体" w:hint="eastAsia"/>
          <w:color w:val="auto"/>
          <w:kern w:val="0"/>
          <w:sz w:val="28"/>
          <w:szCs w:val="28"/>
          <w:lang w:eastAsia="zh-CN"/>
        </w:rPr>
        <w:t>监控系统及升压站微机监控系统，具有保护、控制、通信、测量等功能，可实现风电场及升压站的全功能自动化管理及风电场与地调端的遥测、遥信功能和与风力发电有限公司总部的监测功能</w:t>
      </w:r>
      <w:r>
        <w:rPr>
          <w:rFonts w:cs="宋体" w:hint="eastAsia"/>
          <w:color w:val="auto"/>
          <w:kern w:val="0"/>
          <w:sz w:val="28"/>
          <w:szCs w:val="28"/>
          <w:lang w:eastAsia="zh-CN"/>
        </w:rPr>
        <w:t>。</w:t>
      </w: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5.4.2 </w:t>
      </w:r>
      <w:r>
        <w:rPr>
          <w:rFonts w:hint="eastAsia"/>
          <w:b/>
          <w:bCs/>
          <w:color w:val="auto"/>
          <w:sz w:val="28"/>
          <w:szCs w:val="28"/>
        </w:rPr>
        <w:t>固话容量预测</w:t>
      </w:r>
    </w:p>
    <w:p>
      <w:pPr>
        <w:widowControl/>
        <w:spacing w:before="4" w:line="360" w:lineRule="auto"/>
        <w:ind w:leftChars="200" w:left="420"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地块为公用设施用地的供电用地，用地面积为6017.44平方米，根据《钦州市城市规划技术标准与准则》（2015年版），固定通信用户预测采用分类用地固定通信用户密度法取值20线/hm²进行计算，则计得</w:t>
      </w: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固话容量约为12门。</w:t>
      </w: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5.4.3 </w:t>
      </w:r>
      <w:r>
        <w:rPr>
          <w:rFonts w:hint="eastAsia"/>
          <w:b/>
          <w:bCs/>
          <w:color w:val="auto"/>
          <w:sz w:val="28"/>
          <w:szCs w:val="28"/>
          <w:lang w:eastAsia="zh-CN"/>
        </w:rPr>
        <w:t>通</w:t>
      </w:r>
      <w:r>
        <w:rPr>
          <w:rFonts w:hint="eastAsia"/>
          <w:b/>
          <w:bCs/>
          <w:color w:val="auto"/>
          <w:sz w:val="28"/>
          <w:szCs w:val="28"/>
        </w:rPr>
        <w:t>信管线规划</w:t>
      </w:r>
    </w:p>
    <w:p>
      <w:pPr>
        <w:widowControl/>
        <w:spacing w:before="4" w:line="360" w:lineRule="auto"/>
        <w:ind w:leftChars="200" w:left="420" w:right="351" w:firstLineChars="200" w:firstLine="560"/>
        <w:jc w:val="left"/>
        <w:rPr>
          <w:rFonts w:hint="eastAsia"/>
          <w:color w:val="auto"/>
        </w:rPr>
      </w:pPr>
      <w:r>
        <w:rPr>
          <w:rFonts w:ascii="宋体" w:eastAsia="宋体" w:cs="宋体" w:hAnsi="宋体" w:hint="eastAsia"/>
          <w:color w:val="auto"/>
          <w:kern w:val="0"/>
          <w:sz w:val="28"/>
          <w:szCs w:val="28"/>
        </w:rPr>
        <w:t>沿古道岭一期～歌标110</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 xml:space="preserve"> 线路架设2 根24 芯OPGW 光缆，形成古道岭一期站～傍浦站双光缆路由。古道岭一期站～歌标站光缆长度约为2×15km古道岭一期站配置2 套STM-4 光传输设备（基本单元按1+1 配置）；在歌标站钦州地区级光传输网A、网B 分别配置2 块STM-4 光线路接口板，建设地区级网A、B 的古道岭一期站～歌标站通信电路。通信速率622Mbit/。</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52" w:name="_Toc5546"/>
      <w:r>
        <w:rPr>
          <w:rFonts w:ascii="宋体" w:eastAsia="宋体" w:cs="宋体" w:hAnsi="宋体" w:hint="eastAsia"/>
          <w:bCs/>
          <w:color w:val="auto"/>
          <w:sz w:val="32"/>
          <w:szCs w:val="32"/>
          <w:lang w:val="en-US" w:eastAsia="zh-CN"/>
        </w:rPr>
        <w:t>5.5环卫设施规划</w:t>
      </w:r>
      <w:bookmarkEnd w:id="52"/>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5.5.1 </w:t>
      </w:r>
      <w:r>
        <w:rPr>
          <w:rFonts w:hint="eastAsia"/>
          <w:b/>
          <w:bCs/>
          <w:color w:val="auto"/>
          <w:sz w:val="28"/>
          <w:szCs w:val="28"/>
          <w:lang w:eastAsia="zh-CN"/>
        </w:rPr>
        <w:t>生活产生垃圾量</w:t>
      </w:r>
      <w:r>
        <w:rPr>
          <w:rFonts w:hint="eastAsia"/>
          <w:b/>
          <w:bCs/>
          <w:color w:val="auto"/>
          <w:sz w:val="28"/>
          <w:szCs w:val="28"/>
        </w:rPr>
        <w:t>预测</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参照相关研究成果，采用如下公式预测规划</w:t>
      </w:r>
      <w:r>
        <w:rPr>
          <w:rFonts w:ascii="宋体" w:eastAsia="宋体" w:cs="宋体" w:hAnsi="宋体" w:hint="eastAsia"/>
          <w:color w:val="auto"/>
          <w:kern w:val="0"/>
          <w:sz w:val="28"/>
          <w:szCs w:val="28"/>
          <w:lang w:eastAsia="zh-CN"/>
        </w:rPr>
        <w:t>地块</w:t>
      </w:r>
      <w:r>
        <w:rPr>
          <w:rFonts w:ascii="宋体" w:eastAsia="宋体" w:cs="宋体" w:hAnsi="宋体" w:hint="eastAsia"/>
          <w:color w:val="auto"/>
          <w:kern w:val="0"/>
          <w:sz w:val="28"/>
          <w:szCs w:val="28"/>
        </w:rPr>
        <w:t>的生活垃圾产生量：</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GT=GR×M</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式中：GT——生活垃圾产生量（吨／日）；</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GR——生活垃圾人均产生量（kg／人·日），按</w:t>
      </w:r>
      <w:r>
        <w:rPr>
          <w:rFonts w:ascii="宋体" w:eastAsia="宋体" w:cs="宋体" w:hAnsi="宋体" w:hint="eastAsia"/>
          <w:color w:val="auto"/>
          <w:kern w:val="0"/>
          <w:sz w:val="28"/>
          <w:szCs w:val="28"/>
          <w:lang w:val="en-US" w:eastAsia="zh-CN"/>
        </w:rPr>
        <w:t>0.5</w:t>
      </w:r>
      <w:r>
        <w:rPr>
          <w:rFonts w:ascii="宋体" w:eastAsia="宋体" w:cs="宋体" w:hAnsi="宋体" w:hint="eastAsia"/>
          <w:color w:val="auto"/>
          <w:kern w:val="0"/>
          <w:sz w:val="28"/>
          <w:szCs w:val="28"/>
        </w:rPr>
        <w:t>kg／人·日取值；</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M——规划</w:t>
      </w:r>
      <w:r>
        <w:rPr>
          <w:rFonts w:ascii="宋体" w:eastAsia="宋体" w:cs="宋体" w:hAnsi="宋体" w:hint="eastAsia"/>
          <w:color w:val="auto"/>
          <w:kern w:val="0"/>
          <w:sz w:val="28"/>
          <w:szCs w:val="28"/>
          <w:lang w:eastAsia="zh-CN"/>
        </w:rPr>
        <w:t>地块人数</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参照</w:t>
      </w:r>
      <w:r>
        <w:rPr>
          <w:rFonts w:ascii="宋体" w:eastAsia="宋体" w:cs="宋体" w:hAnsi="宋体" w:hint="eastAsia"/>
          <w:color w:val="auto"/>
          <w:kern w:val="0"/>
          <w:sz w:val="28"/>
          <w:szCs w:val="28"/>
        </w:rPr>
        <w:t>《风电场工程设计导则》</w:t>
      </w:r>
      <w:r>
        <w:rPr>
          <w:rFonts w:ascii="宋体" w:eastAsia="宋体" w:cs="宋体" w:hAnsi="宋体" w:hint="eastAsia"/>
          <w:color w:val="auto"/>
          <w:kern w:val="0"/>
          <w:sz w:val="28"/>
          <w:szCs w:val="28"/>
          <w:lang w:eastAsia="zh-CN"/>
        </w:rPr>
        <w:t>风电企业定员测算表，远期</w:t>
      </w:r>
      <w:r>
        <w:rPr>
          <w:rFonts w:ascii="宋体" w:eastAsia="宋体" w:cs="宋体" w:hAnsi="宋体" w:hint="eastAsia"/>
          <w:color w:val="auto"/>
          <w:kern w:val="0"/>
          <w:sz w:val="28"/>
          <w:szCs w:val="28"/>
        </w:rPr>
        <w:t>规划</w:t>
      </w:r>
      <w:r>
        <w:rPr>
          <w:rFonts w:ascii="宋体" w:eastAsia="宋体" w:cs="宋体" w:hAnsi="宋体" w:hint="eastAsia"/>
          <w:color w:val="auto"/>
          <w:kern w:val="0"/>
          <w:sz w:val="28"/>
          <w:szCs w:val="28"/>
          <w:lang w:eastAsia="zh-CN"/>
        </w:rPr>
        <w:t>地块</w:t>
      </w:r>
      <w:r>
        <w:rPr>
          <w:rFonts w:ascii="宋体" w:eastAsia="宋体" w:cs="宋体" w:hAnsi="宋体" w:hint="eastAsia"/>
          <w:color w:val="auto"/>
          <w:kern w:val="0"/>
          <w:sz w:val="28"/>
          <w:szCs w:val="28"/>
        </w:rPr>
        <w:t>总人口规模</w:t>
      </w:r>
      <w:r>
        <w:rPr>
          <w:rFonts w:ascii="宋体" w:eastAsia="宋体" w:cs="宋体" w:hAnsi="宋体" w:hint="eastAsia"/>
          <w:color w:val="auto"/>
          <w:kern w:val="0"/>
          <w:sz w:val="28"/>
          <w:szCs w:val="28"/>
          <w:lang w:eastAsia="zh-CN"/>
        </w:rPr>
        <w:t>约</w:t>
      </w:r>
      <w:r>
        <w:rPr>
          <w:rFonts w:ascii="宋体" w:eastAsia="宋体" w:cs="宋体" w:hAnsi="宋体" w:hint="eastAsia"/>
          <w:color w:val="auto"/>
          <w:kern w:val="0"/>
          <w:sz w:val="28"/>
          <w:szCs w:val="28"/>
          <w:lang w:val="en-US" w:eastAsia="zh-CN"/>
        </w:rPr>
        <w:t>46</w:t>
      </w:r>
      <w:r>
        <w:rPr>
          <w:rFonts w:ascii="宋体" w:eastAsia="宋体" w:cs="宋体" w:hAnsi="宋体" w:hint="eastAsia"/>
          <w:color w:val="auto"/>
          <w:kern w:val="0"/>
          <w:sz w:val="28"/>
          <w:szCs w:val="28"/>
        </w:rPr>
        <w:t>人；</w:t>
      </w:r>
    </w:p>
    <w:p>
      <w:pPr>
        <w:widowControl/>
        <w:spacing w:before="4" w:line="360" w:lineRule="auto"/>
        <w:ind w:leftChars="200" w:left="42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按以上方式，预测</w:t>
      </w:r>
      <w:r>
        <w:rPr>
          <w:rFonts w:ascii="宋体" w:eastAsia="宋体" w:cs="宋体" w:hAnsi="宋体" w:hint="eastAsia"/>
          <w:color w:val="auto"/>
          <w:kern w:val="0"/>
          <w:sz w:val="28"/>
          <w:szCs w:val="28"/>
          <w:lang w:eastAsia="zh-CN"/>
        </w:rPr>
        <w:t>本项目场区</w:t>
      </w:r>
      <w:r>
        <w:rPr>
          <w:rFonts w:ascii="宋体" w:eastAsia="宋体" w:cs="宋体" w:hAnsi="宋体" w:hint="eastAsia"/>
          <w:color w:val="auto"/>
          <w:kern w:val="0"/>
          <w:sz w:val="28"/>
          <w:szCs w:val="28"/>
        </w:rPr>
        <w:t>生活垃圾量为</w:t>
      </w:r>
      <w:r>
        <w:rPr>
          <w:rFonts w:ascii="宋体" w:eastAsia="宋体" w:cs="宋体" w:hAnsi="宋体" w:hint="eastAsia"/>
          <w:color w:val="auto"/>
          <w:kern w:val="0"/>
          <w:sz w:val="28"/>
          <w:szCs w:val="28"/>
          <w:lang w:val="en-US" w:eastAsia="zh-CN"/>
        </w:rPr>
        <w:t>23</w:t>
      </w:r>
      <w:r>
        <w:rPr>
          <w:rFonts w:ascii="宋体" w:eastAsia="宋体" w:cs="宋体" w:hAnsi="宋体" w:hint="eastAsia"/>
          <w:color w:val="auto"/>
          <w:kern w:val="0"/>
          <w:sz w:val="28"/>
          <w:szCs w:val="28"/>
        </w:rPr>
        <w:t>kg／日。</w:t>
      </w:r>
    </w:p>
    <w:p>
      <w:pPr>
        <w:pStyle w:val="15"/>
        <w:rPr>
          <w:rFonts w:hint="eastAsia"/>
          <w:color w:val="auto"/>
        </w:rPr>
      </w:pPr>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 xml:space="preserve">5.5.2 </w:t>
      </w:r>
      <w:r>
        <w:rPr>
          <w:rFonts w:hint="eastAsia"/>
          <w:b/>
          <w:bCs/>
          <w:color w:val="auto"/>
          <w:sz w:val="28"/>
          <w:szCs w:val="28"/>
          <w:lang w:eastAsia="zh-CN"/>
        </w:rPr>
        <w:t>垃圾转运系统</w:t>
      </w:r>
    </w:p>
    <w:p>
      <w:pPr>
        <w:widowControl/>
        <w:spacing w:before="4" w:line="360" w:lineRule="auto"/>
        <w:ind w:leftChars="200" w:left="420" w:right="351" w:firstLineChars="200" w:firstLine="560"/>
        <w:jc w:val="left"/>
        <w:rPr>
          <w:rFonts w:hint="eastAsia"/>
          <w:color w:val="auto"/>
        </w:rPr>
      </w:pPr>
      <w:r>
        <w:rPr>
          <w:rFonts w:ascii="宋体" w:eastAsia="宋体" w:cs="宋体" w:hAnsi="宋体" w:hint="eastAsia"/>
          <w:color w:val="auto"/>
          <w:kern w:val="0"/>
          <w:sz w:val="28"/>
          <w:szCs w:val="28"/>
        </w:rPr>
        <w:t>建立垃圾收集点--》垃圾转运站--》无害化垃圾处理场的收集处理体系。</w:t>
      </w:r>
      <w:r>
        <w:rPr>
          <w:rFonts w:ascii="宋体" w:eastAsia="宋体" w:cs="宋体" w:hAnsi="宋体" w:hint="eastAsia"/>
          <w:color w:val="auto"/>
          <w:kern w:val="0"/>
          <w:sz w:val="28"/>
          <w:szCs w:val="28"/>
          <w:lang w:eastAsia="zh-CN"/>
        </w:rPr>
        <w:t>规划在升压站地块内设置垃圾收集池，在风电机组地块内设置垃圾箱，风电场工作人员</w:t>
      </w:r>
      <w:r>
        <w:rPr>
          <w:rFonts w:ascii="宋体" w:eastAsia="宋体" w:cs="宋体" w:hAnsi="宋体" w:hint="eastAsia"/>
          <w:color w:val="auto"/>
          <w:kern w:val="0"/>
          <w:sz w:val="28"/>
          <w:szCs w:val="28"/>
        </w:rPr>
        <w:t>把</w:t>
      </w:r>
      <w:r>
        <w:rPr>
          <w:rFonts w:ascii="宋体" w:eastAsia="宋体" w:cs="宋体" w:hAnsi="宋体" w:hint="eastAsia"/>
          <w:color w:val="auto"/>
          <w:kern w:val="0"/>
          <w:sz w:val="28"/>
          <w:szCs w:val="28"/>
          <w:lang w:eastAsia="zh-CN"/>
        </w:rPr>
        <w:t>日常生活</w:t>
      </w:r>
      <w:r>
        <w:rPr>
          <w:rFonts w:ascii="宋体" w:eastAsia="宋体" w:cs="宋体" w:hAnsi="宋体" w:hint="eastAsia"/>
          <w:color w:val="auto"/>
          <w:kern w:val="0"/>
          <w:sz w:val="28"/>
          <w:szCs w:val="28"/>
        </w:rPr>
        <w:t>垃圾集中在垃圾收集</w:t>
      </w:r>
      <w:r>
        <w:rPr>
          <w:rFonts w:ascii="宋体" w:eastAsia="宋体" w:cs="宋体" w:hAnsi="宋体" w:hint="eastAsia"/>
          <w:color w:val="auto"/>
          <w:kern w:val="0"/>
          <w:sz w:val="28"/>
          <w:szCs w:val="28"/>
          <w:lang w:eastAsia="zh-CN"/>
        </w:rPr>
        <w:t>池或垃圾箱内</w:t>
      </w:r>
      <w:r>
        <w:rPr>
          <w:rFonts w:ascii="宋体" w:eastAsia="宋体" w:cs="宋体" w:hAnsi="宋体" w:hint="eastAsia"/>
          <w:color w:val="auto"/>
          <w:kern w:val="0"/>
          <w:sz w:val="28"/>
          <w:szCs w:val="28"/>
        </w:rPr>
        <w:t>，由环卫工人用人力车或者机动车统一收集后运至</w:t>
      </w:r>
      <w:r>
        <w:rPr>
          <w:rFonts w:ascii="宋体" w:eastAsia="宋体" w:cs="宋体" w:hAnsi="宋体" w:hint="eastAsia"/>
          <w:color w:val="auto"/>
          <w:kern w:val="0"/>
          <w:sz w:val="28"/>
          <w:szCs w:val="28"/>
          <w:lang w:eastAsia="zh-CN"/>
        </w:rPr>
        <w:t>大垌镇区</w:t>
      </w:r>
      <w:r>
        <w:rPr>
          <w:rFonts w:ascii="宋体" w:eastAsia="宋体" w:cs="宋体" w:hAnsi="宋体" w:hint="eastAsia"/>
          <w:color w:val="auto"/>
          <w:kern w:val="0"/>
          <w:sz w:val="28"/>
          <w:szCs w:val="28"/>
        </w:rPr>
        <w:t>垃圾转运站，垃圾转运站把垃圾压缩后密闭化运输至钦州市垃圾处理中心进行无害化处理。</w:t>
      </w:r>
    </w:p>
    <w:p>
      <w:pPr>
        <w:pStyle w:val="1"/>
        <w:numPr>
          <w:ilvl w:val="0"/>
          <w:numId w:val="0"/>
        </w:numPr>
        <w:spacing w:before="260" w:line="360" w:lineRule="auto"/>
        <w:ind w:left="420" w:right="351"/>
        <w:jc w:val="center"/>
        <w:rPr>
          <w:rFonts w:ascii="宋体" w:eastAsia="宋体" w:cs="宋体" w:hAnsi="宋体"/>
          <w:bCs/>
          <w:color w:val="auto"/>
          <w:sz w:val="32"/>
          <w:szCs w:val="32"/>
        </w:rPr>
      </w:pPr>
      <w:bookmarkStart w:id="53" w:name="_Toc28432"/>
      <w:r>
        <w:rPr>
          <w:rFonts w:ascii="宋体" w:eastAsia="宋体" w:cs="宋体" w:hAnsi="宋体" w:hint="eastAsia"/>
          <w:bCs/>
          <w:color w:val="auto"/>
          <w:sz w:val="32"/>
          <w:szCs w:val="32"/>
          <w:lang w:eastAsia="zh-CN"/>
        </w:rPr>
        <w:t>第六章</w:t>
      </w:r>
      <w:r>
        <w:rPr>
          <w:rFonts w:ascii="宋体" w:eastAsia="宋体" w:cs="宋体" w:hAnsi="宋体" w:hint="eastAsia"/>
          <w:bCs/>
          <w:color w:val="auto"/>
          <w:sz w:val="32"/>
          <w:szCs w:val="32"/>
          <w:lang w:val="en-US" w:eastAsia="zh-CN"/>
        </w:rPr>
        <w:t xml:space="preserve"> </w:t>
      </w:r>
      <w:r>
        <w:rPr>
          <w:rFonts w:ascii="宋体" w:eastAsia="宋体" w:cs="宋体" w:hAnsi="宋体" w:hint="eastAsia"/>
          <w:bCs/>
          <w:color w:val="auto"/>
          <w:sz w:val="32"/>
          <w:szCs w:val="32"/>
        </w:rPr>
        <w:t>综合防灾规划</w:t>
      </w:r>
      <w:bookmarkEnd w:id="53"/>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54" w:name="_Toc18323"/>
      <w:r>
        <w:rPr>
          <w:rFonts w:ascii="宋体" w:eastAsia="宋体" w:cs="宋体" w:hAnsi="宋体" w:hint="eastAsia"/>
          <w:bCs/>
          <w:color w:val="auto"/>
          <w:sz w:val="32"/>
          <w:szCs w:val="32"/>
          <w:lang w:val="en-US" w:eastAsia="zh-CN"/>
        </w:rPr>
        <w:t>6.1消防规划</w:t>
      </w:r>
      <w:bookmarkEnd w:id="54"/>
    </w:p>
    <w:p>
      <w:pPr>
        <w:pStyle w:val="18"/>
        <w:autoSpaceDE w:val="0"/>
        <w:autoSpaceDN w:val="0"/>
        <w:spacing w:before="4" w:line="420" w:lineRule="auto"/>
        <w:ind w:left="118" w:right="351" w:firstLine="479"/>
        <w:rPr>
          <w:b/>
          <w:bCs/>
          <w:color w:val="auto"/>
          <w:sz w:val="28"/>
          <w:szCs w:val="28"/>
        </w:rPr>
      </w:pPr>
      <w:r>
        <w:rPr>
          <w:rFonts w:hint="eastAsia"/>
          <w:b/>
          <w:bCs/>
          <w:color w:val="auto"/>
          <w:sz w:val="28"/>
          <w:szCs w:val="28"/>
          <w:lang w:val="en-US" w:eastAsia="zh-CN"/>
        </w:rPr>
        <w:t>6.1.</w:t>
      </w:r>
      <w:r>
        <w:rPr>
          <w:rFonts w:hint="eastAsia"/>
          <w:b/>
          <w:bCs/>
          <w:color w:val="auto"/>
          <w:sz w:val="28"/>
          <w:szCs w:val="28"/>
          <w:lang w:val="en-US"/>
        </w:rPr>
        <w:t>1</w:t>
      </w:r>
      <w:r>
        <w:rPr>
          <w:rFonts w:hint="eastAsia"/>
          <w:b/>
          <w:bCs/>
          <w:color w:val="auto"/>
          <w:sz w:val="28"/>
          <w:szCs w:val="28"/>
          <w:lang w:val="en-US" w:eastAsia="zh-CN"/>
        </w:rPr>
        <w:t xml:space="preserve"> </w:t>
      </w:r>
      <w:r>
        <w:rPr>
          <w:rFonts w:hint="eastAsia"/>
          <w:b/>
          <w:bCs/>
          <w:color w:val="auto"/>
          <w:sz w:val="28"/>
          <w:szCs w:val="28"/>
        </w:rPr>
        <w:t>规划依据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（1）《中华人民共和国消防法》（</w:t>
      </w:r>
      <w:r>
        <w:rPr>
          <w:rFonts w:ascii="宋体" w:eastAsia="宋体" w:cs="宋体" w:hAnsi="宋体"/>
          <w:color w:val="auto"/>
          <w:kern w:val="0"/>
          <w:sz w:val="28"/>
          <w:szCs w:val="28"/>
        </w:rPr>
        <w:t>2019年修订）</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（2）《城市消防站建设标准》（建标152-2011）</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（3）《建筑设计防火规范》（GB50016-2014）（2018年版）</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《建筑防火通用规范》</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GB55037-2022</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rPr>
        <w:t>）《风电场设计防火规范》NB31089-2016</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6</w:t>
      </w:r>
      <w:r>
        <w:rPr>
          <w:rFonts w:ascii="宋体" w:eastAsia="宋体" w:cs="宋体" w:hAnsi="宋体" w:hint="eastAsia"/>
          <w:color w:val="auto"/>
          <w:kern w:val="0"/>
          <w:sz w:val="28"/>
          <w:szCs w:val="28"/>
          <w:lang w:eastAsia="zh-CN"/>
        </w:rPr>
        <w:t>）《35kV</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110kV变电站设计规范》GB50059</w:t>
      </w:r>
      <w:r>
        <w:rPr>
          <w:rFonts w:ascii="宋体" w:eastAsia="宋体" w:cs="宋体" w:hAnsi="宋体" w:hint="eastAsia"/>
          <w:color w:val="auto"/>
          <w:kern w:val="0"/>
          <w:sz w:val="28"/>
          <w:szCs w:val="28"/>
          <w:lang w:val="en-US" w:eastAsia="zh-CN"/>
        </w:rPr>
        <w:t>-2011</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val="en-US" w:eastAsia="zh-CN"/>
        </w:rPr>
        <w:t>7</w:t>
      </w:r>
      <w:r>
        <w:rPr>
          <w:rFonts w:ascii="宋体" w:eastAsia="宋体" w:cs="宋体" w:hAnsi="宋体" w:hint="eastAsia"/>
          <w:color w:val="auto"/>
          <w:kern w:val="0"/>
          <w:sz w:val="28"/>
          <w:szCs w:val="28"/>
        </w:rPr>
        <w:t>）《火力发电厂与变电站设计防火规范》GB50229-2006</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8</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《电力工程电缆设计</w:t>
      </w:r>
      <w:r>
        <w:rPr>
          <w:rFonts w:ascii="宋体" w:eastAsia="宋体" w:cs="宋体" w:hAnsi="宋体" w:hint="eastAsia"/>
          <w:color w:val="auto"/>
          <w:kern w:val="0"/>
          <w:sz w:val="28"/>
          <w:szCs w:val="28"/>
          <w:lang w:eastAsia="zh-CN"/>
        </w:rPr>
        <w:t>标准</w:t>
      </w:r>
      <w:r>
        <w:rPr>
          <w:rFonts w:ascii="宋体" w:eastAsia="宋体" w:cs="宋体" w:hAnsi="宋体" w:hint="eastAsia"/>
          <w:color w:val="auto"/>
          <w:kern w:val="0"/>
          <w:sz w:val="28"/>
          <w:szCs w:val="28"/>
        </w:rPr>
        <w:t>》GB50217-2018</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color w:val="auto"/>
          <w:kern w:val="0"/>
          <w:sz w:val="28"/>
          <w:szCs w:val="28"/>
          <w:lang w:val="en-US"/>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9</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《建筑灭火器配置设计规范》GB50140-2005。</w:t>
      </w:r>
    </w:p>
    <w:p>
      <w:pPr>
        <w:pStyle w:val="18"/>
        <w:widowControl/>
        <w:autoSpaceDE w:val="0"/>
        <w:autoSpaceDN w:val="0"/>
        <w:spacing w:before="4" w:line="420" w:lineRule="auto"/>
        <w:ind w:left="118" w:right="351" w:firstLineChars="200" w:firstLine="560"/>
        <w:jc w:val="left"/>
        <w:rPr>
          <w:color w:val="auto"/>
          <w:kern w:val="0"/>
          <w:sz w:val="28"/>
          <w:szCs w:val="28"/>
        </w:rPr>
      </w:pPr>
      <w:r>
        <w:rPr>
          <w:rFonts w:hint="eastAsia"/>
          <w:b/>
          <w:bCs/>
          <w:color w:val="auto"/>
          <w:sz w:val="28"/>
          <w:szCs w:val="28"/>
          <w:lang w:val="en-US" w:eastAsia="zh-CN"/>
        </w:rPr>
        <w:t xml:space="preserve">6.1.2 </w:t>
      </w:r>
      <w:r>
        <w:rPr>
          <w:rFonts w:hint="eastAsia"/>
          <w:b/>
          <w:bCs/>
          <w:color w:val="auto"/>
          <w:sz w:val="28"/>
          <w:szCs w:val="28"/>
        </w:rPr>
        <w:t>规划原则</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（1）贯彻“预防为主、防消结合”的消防工作方针，做到防患于未“燃”。严格按照规程规范的要求设计，采取“一防、二断、三灭、四排”的综合消防技术措施。</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（2）工程消防设计与总平面布置统筹考虑，保证消防车道、防火间距、安全出口等各项要求。</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（3）规划地块应合理划分防火分区。新建筑按照一、二级耐火等级设计，建筑防火间距符合《建筑设计防火规范》（GB50016-2014）（2018年版）的要求。</w:t>
      </w:r>
    </w:p>
    <w:p>
      <w:pPr>
        <w:pStyle w:val="18"/>
        <w:widowControl/>
        <w:autoSpaceDE w:val="0"/>
        <w:autoSpaceDN w:val="0"/>
        <w:spacing w:before="4" w:line="420" w:lineRule="auto"/>
        <w:ind w:left="118" w:right="351" w:firstLineChars="200" w:firstLine="560"/>
        <w:jc w:val="left"/>
        <w:rPr>
          <w:color w:val="auto"/>
          <w:kern w:val="0"/>
          <w:sz w:val="28"/>
          <w:szCs w:val="28"/>
        </w:rPr>
      </w:pPr>
      <w:r>
        <w:rPr>
          <w:rFonts w:hint="eastAsia"/>
          <w:b/>
          <w:bCs/>
          <w:color w:val="auto"/>
          <w:sz w:val="28"/>
          <w:szCs w:val="28"/>
          <w:lang w:val="en-US" w:eastAsia="zh-CN"/>
        </w:rPr>
        <w:t xml:space="preserve">6.1.3 </w:t>
      </w:r>
      <w:r>
        <w:rPr>
          <w:rFonts w:hint="eastAsia"/>
          <w:b/>
          <w:bCs/>
          <w:color w:val="auto"/>
          <w:sz w:val="28"/>
          <w:szCs w:val="28"/>
        </w:rPr>
        <w:t>消防布局规划</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val="en-US" w:eastAsia="zh-CN"/>
        </w:rPr>
        <w:t>规划风电场内配备1～2名工作人员兼职消防人员，初期火灾由站内兼职消防人员自行组织灭火，同时通知当地消防队支援共同扑灭火灾。消防总体设计采用综合消防技术措施，从防火、监测、报警、控制、灭火、排烟、逃生等各方面入手，力争减少火灾发生的可能性，一旦火灾发生也能在短时间内予以扑灭，使损失减少到最低，同时确保火灾时人员的安全疏散。</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本风电场项目</w:t>
      </w:r>
      <w:r>
        <w:rPr>
          <w:rFonts w:ascii="宋体" w:eastAsia="宋体" w:cs="宋体" w:hAnsi="宋体" w:hint="eastAsia"/>
          <w:color w:val="auto"/>
          <w:kern w:val="0"/>
          <w:sz w:val="28"/>
          <w:szCs w:val="28"/>
        </w:rPr>
        <w:t>地块</w:t>
      </w:r>
      <w:r>
        <w:rPr>
          <w:rFonts w:ascii="宋体" w:eastAsia="宋体" w:cs="宋体" w:hAnsi="宋体" w:hint="eastAsia"/>
          <w:color w:val="auto"/>
          <w:kern w:val="0"/>
          <w:sz w:val="28"/>
          <w:szCs w:val="28"/>
          <w:lang w:eastAsia="zh-CN"/>
        </w:rPr>
        <w:t>分布于小董镇、平吉镇及大垌镇交界处区域，其中大垌镇距场地的对外交通出入口</w:t>
      </w:r>
      <w:r>
        <w:rPr>
          <w:rFonts w:ascii="宋体" w:eastAsia="宋体" w:cs="宋体" w:hAnsi="宋体" w:hint="eastAsia"/>
          <w:color w:val="auto"/>
          <w:kern w:val="0"/>
          <w:sz w:val="28"/>
          <w:szCs w:val="28"/>
        </w:rPr>
        <w:t>较近，距</w:t>
      </w:r>
      <w:r>
        <w:rPr>
          <w:rFonts w:ascii="宋体" w:eastAsia="宋体" w:cs="宋体" w:hAnsi="宋体" w:hint="eastAsia"/>
          <w:color w:val="auto"/>
          <w:kern w:val="0"/>
          <w:sz w:val="28"/>
          <w:szCs w:val="28"/>
          <w:lang w:eastAsia="zh-CN"/>
        </w:rPr>
        <w:t>大垌</w:t>
      </w:r>
      <w:r>
        <w:rPr>
          <w:rFonts w:ascii="宋体" w:eastAsia="宋体" w:cs="宋体" w:hAnsi="宋体" w:hint="eastAsia"/>
          <w:color w:val="auto"/>
          <w:kern w:val="0"/>
          <w:sz w:val="28"/>
          <w:szCs w:val="28"/>
        </w:rPr>
        <w:t>镇区直线距离约6公里，根据《镇规划标准（GB50188-2007）》、《城市消防站建设标准》（建标152-2011）以及</w:t>
      </w:r>
      <w:r>
        <w:rPr>
          <w:rFonts w:ascii="宋体" w:eastAsia="宋体" w:cs="宋体" w:hAnsi="宋体" w:hint="eastAsia"/>
          <w:color w:val="auto"/>
          <w:kern w:val="0"/>
          <w:sz w:val="28"/>
          <w:szCs w:val="28"/>
          <w:lang w:eastAsia="zh-CN"/>
        </w:rPr>
        <w:t>大垌镇消防站规划布局</w:t>
      </w:r>
      <w:r>
        <w:rPr>
          <w:rFonts w:ascii="宋体" w:eastAsia="宋体" w:cs="宋体" w:hAnsi="宋体" w:hint="eastAsia"/>
          <w:color w:val="auto"/>
          <w:kern w:val="0"/>
          <w:sz w:val="28"/>
          <w:szCs w:val="28"/>
        </w:rPr>
        <w:t>，规划在</w:t>
      </w:r>
      <w:r>
        <w:rPr>
          <w:rFonts w:ascii="宋体" w:eastAsia="宋体" w:cs="宋体" w:hAnsi="宋体" w:hint="eastAsia"/>
          <w:color w:val="auto"/>
          <w:kern w:val="0"/>
          <w:sz w:val="28"/>
          <w:szCs w:val="28"/>
          <w:lang w:eastAsia="zh-CN"/>
        </w:rPr>
        <w:t>大垌镇</w:t>
      </w:r>
      <w:r>
        <w:rPr>
          <w:rFonts w:ascii="宋体" w:eastAsia="宋体" w:cs="宋体" w:hAnsi="宋体" w:hint="eastAsia"/>
          <w:color w:val="auto"/>
          <w:kern w:val="0"/>
          <w:sz w:val="28"/>
          <w:szCs w:val="28"/>
        </w:rPr>
        <w:t>镇区</w:t>
      </w:r>
      <w:r>
        <w:rPr>
          <w:rFonts w:ascii="宋体" w:eastAsia="宋体" w:cs="宋体" w:hAnsi="宋体" w:hint="eastAsia"/>
          <w:color w:val="auto"/>
          <w:kern w:val="0"/>
          <w:sz w:val="28"/>
          <w:szCs w:val="28"/>
          <w:lang w:eastAsia="zh-CN"/>
        </w:rPr>
        <w:t>规划</w:t>
      </w:r>
      <w:r>
        <w:rPr>
          <w:rFonts w:ascii="宋体" w:eastAsia="宋体" w:cs="宋体" w:hAnsi="宋体" w:hint="eastAsia"/>
          <w:color w:val="auto"/>
          <w:kern w:val="0"/>
          <w:sz w:val="28"/>
          <w:szCs w:val="28"/>
        </w:rPr>
        <w:t>布置三座三级消防站。当</w:t>
      </w:r>
      <w:r>
        <w:rPr>
          <w:rFonts w:ascii="宋体" w:eastAsia="宋体" w:cs="宋体" w:hAnsi="宋体" w:hint="eastAsia"/>
          <w:color w:val="auto"/>
          <w:kern w:val="0"/>
          <w:sz w:val="28"/>
          <w:szCs w:val="28"/>
          <w:lang w:eastAsia="zh-CN"/>
        </w:rPr>
        <w:t>本项目</w:t>
      </w:r>
      <w:r>
        <w:rPr>
          <w:rFonts w:ascii="宋体" w:eastAsia="宋体" w:cs="宋体" w:hAnsi="宋体" w:hint="eastAsia"/>
          <w:color w:val="auto"/>
          <w:kern w:val="0"/>
          <w:sz w:val="28"/>
          <w:szCs w:val="28"/>
        </w:rPr>
        <w:t>地块发生火灾时，</w:t>
      </w:r>
      <w:r>
        <w:rPr>
          <w:rFonts w:ascii="宋体" w:eastAsia="宋体" w:cs="宋体" w:hAnsi="宋体" w:hint="eastAsia"/>
          <w:color w:val="auto"/>
          <w:kern w:val="0"/>
          <w:sz w:val="28"/>
          <w:szCs w:val="28"/>
          <w:lang w:eastAsia="zh-CN"/>
        </w:rPr>
        <w:t>在启用本项目的消防设施的同时</w:t>
      </w:r>
      <w:r>
        <w:rPr>
          <w:rFonts w:ascii="宋体" w:eastAsia="宋体" w:cs="宋体" w:hAnsi="宋体" w:hint="eastAsia"/>
          <w:color w:val="auto"/>
          <w:kern w:val="0"/>
          <w:sz w:val="28"/>
          <w:szCs w:val="28"/>
        </w:rPr>
        <w:t>借助社会消防力量，快速到达火场</w:t>
      </w:r>
      <w:r>
        <w:rPr>
          <w:rFonts w:ascii="宋体" w:eastAsia="宋体" w:cs="宋体" w:hAnsi="宋体" w:hint="eastAsia"/>
          <w:color w:val="auto"/>
          <w:kern w:val="0"/>
          <w:sz w:val="28"/>
          <w:szCs w:val="28"/>
          <w:lang w:eastAsia="zh-CN"/>
        </w:rPr>
        <w:t>。</w:t>
      </w:r>
    </w:p>
    <w:p>
      <w:pPr>
        <w:pStyle w:val="18"/>
        <w:autoSpaceDE w:val="0"/>
        <w:autoSpaceDN w:val="0"/>
        <w:spacing w:before="4" w:line="420" w:lineRule="auto"/>
        <w:ind w:left="118" w:right="351" w:firstLineChars="200" w:firstLine="560"/>
        <w:rPr>
          <w:rFonts w:eastAsia="宋体" w:hint="eastAsia"/>
          <w:color w:val="auto"/>
          <w:kern w:val="0"/>
          <w:sz w:val="28"/>
          <w:szCs w:val="28"/>
          <w:lang w:val="en-US" w:eastAsia="zh-CN"/>
        </w:rPr>
      </w:pPr>
      <w:r>
        <w:rPr>
          <w:rFonts w:hint="eastAsia"/>
          <w:b/>
          <w:bCs/>
          <w:color w:val="auto"/>
          <w:sz w:val="28"/>
          <w:szCs w:val="28"/>
          <w:lang w:val="en-US" w:eastAsia="zh-CN"/>
        </w:rPr>
        <w:t xml:space="preserve">6.1.4 </w:t>
      </w:r>
      <w:r>
        <w:rPr>
          <w:rFonts w:hint="eastAsia"/>
          <w:b/>
          <w:bCs/>
          <w:color w:val="auto"/>
          <w:sz w:val="28"/>
          <w:szCs w:val="28"/>
        </w:rPr>
        <w:t>主要生产场所及机电设备消防</w:t>
      </w:r>
      <w:r>
        <w:rPr>
          <w:rFonts w:hint="eastAsia"/>
          <w:b/>
          <w:bCs/>
          <w:color w:val="auto"/>
          <w:sz w:val="28"/>
          <w:szCs w:val="28"/>
          <w:lang w:eastAsia="zh-CN"/>
        </w:rPr>
        <w:t>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w:t>
      </w:r>
      <w:r>
        <w:rPr>
          <w:rFonts w:ascii="宋体" w:eastAsia="宋体" w:cs="宋体" w:hAnsi="宋体" w:hint="eastAsia"/>
          <w:color w:val="auto"/>
          <w:kern w:val="0"/>
          <w:sz w:val="28"/>
          <w:szCs w:val="28"/>
          <w:lang w:eastAsia="zh-CN"/>
        </w:rPr>
        <w:t>）主要场所消防措施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根据《35kV</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110kV变电站设计规范》GB50059、</w:t>
      </w:r>
      <w:r>
        <w:rPr>
          <w:rFonts w:ascii="宋体" w:eastAsia="宋体" w:cs="宋体" w:hAnsi="宋体" w:hint="eastAsia"/>
          <w:color w:val="auto"/>
          <w:kern w:val="0"/>
          <w:sz w:val="28"/>
          <w:szCs w:val="28"/>
        </w:rPr>
        <w:t>《火力发电厂与变电站设计防火规范》GB50229</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《风电场设计防火规范》NB31089</w:t>
      </w:r>
      <w:r>
        <w:rPr>
          <w:rFonts w:ascii="宋体" w:eastAsia="宋体" w:cs="宋体" w:hAnsi="宋体" w:hint="eastAsia"/>
          <w:color w:val="auto"/>
          <w:kern w:val="0"/>
          <w:sz w:val="28"/>
          <w:szCs w:val="28"/>
          <w:lang w:eastAsia="zh-CN"/>
        </w:rPr>
        <w:t>、《建筑灭火器配置设计规范》GB50140等相关消防规范，本项目的主要生产建筑和辅助生产建筑以及生活服务设施用房室内按规范要求配置一定数量的手提式磷酸铵盐干粉灭火器</w:t>
      </w:r>
      <w:r>
        <w:rPr>
          <w:rFonts w:ascii="宋体" w:eastAsia="宋体" w:cs="宋体" w:hAnsi="宋体" w:hint="eastAsia"/>
          <w:color w:val="auto"/>
          <w:kern w:val="0"/>
          <w:sz w:val="28"/>
          <w:szCs w:val="28"/>
        </w:rPr>
        <w:t>。在室外配置有消火栓、砂箱以及建筑灭火器</w:t>
      </w:r>
      <w:r>
        <w:rPr>
          <w:rFonts w:ascii="宋体" w:eastAsia="宋体" w:cs="宋体" w:hAnsi="宋体" w:hint="eastAsia"/>
          <w:color w:val="auto"/>
          <w:kern w:val="0"/>
          <w:sz w:val="28"/>
          <w:szCs w:val="28"/>
          <w:lang w:eastAsia="zh-CN"/>
        </w:rPr>
        <w:t>等消防设施。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2</w:t>
      </w:r>
      <w:r>
        <w:rPr>
          <w:rFonts w:ascii="宋体" w:eastAsia="宋体" w:cs="宋体" w:hAnsi="宋体" w:hint="eastAsia"/>
          <w:color w:val="auto"/>
          <w:kern w:val="0"/>
          <w:sz w:val="28"/>
          <w:szCs w:val="28"/>
          <w:lang w:eastAsia="zh-CN"/>
        </w:rPr>
        <w:t>）户外主变压器、无功补偿装置消防措施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eastAsia="zh-CN"/>
        </w:rPr>
        <w:t>规划</w:t>
      </w:r>
      <w:r>
        <w:rPr>
          <w:rFonts w:ascii="宋体" w:eastAsia="宋体" w:cs="宋体" w:hAnsi="宋体" w:hint="eastAsia"/>
          <w:color w:val="auto"/>
          <w:kern w:val="0"/>
          <w:sz w:val="28"/>
          <w:szCs w:val="28"/>
        </w:rPr>
        <w:t>升压站</w:t>
      </w:r>
      <w:r>
        <w:rPr>
          <w:rFonts w:ascii="宋体" w:eastAsia="宋体" w:cs="宋体" w:hAnsi="宋体" w:hint="eastAsia"/>
          <w:color w:val="auto"/>
          <w:kern w:val="0"/>
          <w:sz w:val="28"/>
          <w:szCs w:val="28"/>
          <w:lang w:eastAsia="zh-CN"/>
        </w:rPr>
        <w:t>西面</w:t>
      </w:r>
      <w:r>
        <w:rPr>
          <w:rFonts w:ascii="宋体" w:eastAsia="宋体" w:cs="宋体" w:hAnsi="宋体" w:hint="eastAsia"/>
          <w:color w:val="auto"/>
          <w:kern w:val="0"/>
          <w:sz w:val="28"/>
          <w:szCs w:val="28"/>
        </w:rPr>
        <w:t>配置1 台容量为</w:t>
      </w:r>
      <w:r>
        <w:rPr>
          <w:rFonts w:ascii="宋体" w:eastAsia="宋体" w:cs="宋体" w:hAnsi="宋体" w:hint="eastAsia"/>
          <w:color w:val="auto"/>
          <w:kern w:val="0"/>
          <w:sz w:val="28"/>
          <w:szCs w:val="28"/>
          <w:lang w:val="en-US" w:eastAsia="zh-CN"/>
        </w:rPr>
        <w:t>5</w:t>
      </w:r>
      <w:r>
        <w:rPr>
          <w:rFonts w:ascii="宋体" w:eastAsia="宋体" w:cs="宋体" w:hAnsi="宋体" w:hint="eastAsia"/>
          <w:color w:val="auto"/>
          <w:kern w:val="0"/>
          <w:sz w:val="28"/>
          <w:szCs w:val="28"/>
        </w:rPr>
        <w:t>0MVA</w:t>
      </w:r>
      <w:r>
        <w:rPr>
          <w:rFonts w:ascii="宋体" w:eastAsia="宋体" w:cs="宋体" w:hAnsi="宋体" w:hint="eastAsia"/>
          <w:color w:val="auto"/>
          <w:kern w:val="0"/>
          <w:sz w:val="28"/>
          <w:szCs w:val="28"/>
          <w:lang w:eastAsia="zh-CN"/>
        </w:rPr>
        <w:t>的</w:t>
      </w:r>
      <w:r>
        <w:rPr>
          <w:rFonts w:ascii="宋体" w:eastAsia="宋体" w:cs="宋体" w:hAnsi="宋体" w:hint="eastAsia"/>
          <w:color w:val="auto"/>
          <w:kern w:val="0"/>
          <w:sz w:val="28"/>
          <w:szCs w:val="28"/>
          <w:lang w:val="en-US" w:eastAsia="zh-CN"/>
        </w:rPr>
        <w:t>110kV</w:t>
      </w:r>
      <w:r>
        <w:rPr>
          <w:rFonts w:ascii="宋体" w:eastAsia="宋体" w:cs="宋体" w:hAnsi="宋体" w:hint="eastAsia"/>
          <w:color w:val="auto"/>
          <w:kern w:val="0"/>
          <w:sz w:val="28"/>
          <w:szCs w:val="28"/>
        </w:rPr>
        <w:t>主变压器，根据规范要求，主变压器采用干粉灭火及干砂灭火</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主变压器旁设2具推车式干粉灭火器，1个消防砂箱</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1m</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，并配置5把消防铲</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户外无功补偿装置设2具推车式干粉灭火器。</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主变压器布置在户外，变压器底部设有贮油坑，贮油坑容积为主变压器油量的20%设计。主变油坑铺设厚度不小于250mm的卵石，卵石</w:t>
      </w:r>
      <w:r>
        <w:rPr>
          <w:rFonts w:ascii="宋体" w:eastAsia="宋体" w:cs="宋体" w:hAnsi="宋体" w:hint="eastAsia"/>
          <w:color w:val="auto"/>
          <w:kern w:val="0"/>
          <w:sz w:val="28"/>
          <w:szCs w:val="28"/>
          <w:lang w:eastAsia="zh-CN"/>
        </w:rPr>
        <w:t>粒</w:t>
      </w:r>
      <w:r>
        <w:rPr>
          <w:rFonts w:ascii="宋体" w:eastAsia="宋体" w:cs="宋体" w:hAnsi="宋体" w:hint="eastAsia"/>
          <w:color w:val="auto"/>
          <w:kern w:val="0"/>
          <w:sz w:val="28"/>
          <w:szCs w:val="28"/>
        </w:rPr>
        <w:t>径为50～80mm。贮油坑尺寸大于主变压器外廓线各1m。坑底设有排油管，在主变压器附近设置事故油池,容量按单台变压器最大油量的100</w:t>
      </w:r>
      <w:r>
        <w:rPr>
          <w:rFonts w:ascii="宋体" w:eastAsia="宋体" w:cs="宋体" w:hAnsi="宋体" w:hint="eastAsia"/>
          <w:color w:val="auto"/>
          <w:kern w:val="0"/>
          <w:sz w:val="28"/>
          <w:szCs w:val="28"/>
          <w:lang w:val="en-US" w:eastAsia="zh-CN"/>
        </w:rPr>
        <w:t>%</w:t>
      </w:r>
      <w:r>
        <w:rPr>
          <w:rFonts w:ascii="宋体" w:eastAsia="宋体" w:cs="宋体" w:hAnsi="宋体" w:hint="eastAsia"/>
          <w:color w:val="auto"/>
          <w:kern w:val="0"/>
          <w:sz w:val="28"/>
          <w:szCs w:val="28"/>
        </w:rPr>
        <w:t>确定，事故油池有油水分离的功能。变压器事故状态下需排油时，经主变下部的贮油坑与排油管排至事故油池。</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p>
    <w:p>
      <w:pPr>
        <w:widowControl/>
        <w:spacing w:before="4" w:line="360" w:lineRule="auto"/>
        <w:ind w:left="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3</w:t>
      </w:r>
      <w:r>
        <w:rPr>
          <w:rFonts w:ascii="宋体" w:eastAsia="宋体" w:cs="宋体" w:hAnsi="宋体" w:hint="eastAsia"/>
          <w:color w:val="auto"/>
          <w:kern w:val="0"/>
          <w:sz w:val="28"/>
          <w:szCs w:val="28"/>
          <w:lang w:eastAsia="zh-CN"/>
        </w:rPr>
        <w:t>）电缆消防措施</w:t>
      </w:r>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从室外进入室内的电缆入口处、电缆竖井的出入口处、电缆接头处、长度超过100m 的电缆沟道，均采取防止电缆火灾蔓延的封堵或分隔措施。</w:t>
      </w:r>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1）采用防火隔墙或隔板，并用防火堵料封堵电缆通过的孔洞。</w:t>
      </w:r>
    </w:p>
    <w:p>
      <w:pPr>
        <w:widowControl/>
        <w:spacing w:before="4" w:line="360" w:lineRule="auto"/>
        <w:ind w:left="0"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2）电力电缆与控制电缆或通信电缆敷设在同一电缆沟，采取防火分隔措施。隔板的耐火极限不低于0.75h。</w:t>
      </w:r>
    </w:p>
    <w:p>
      <w:pPr>
        <w:widowControl/>
        <w:spacing w:before="4" w:line="360" w:lineRule="auto"/>
        <w:ind w:left="0"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eastAsia="zh-CN"/>
        </w:rPr>
        <w:t>3）开关柜、端子箱、控制屏以及本期未上设备的下部开孔与电缆沟接口处均用防火堵料进行封堵</w:t>
      </w:r>
      <w:r>
        <w:rPr>
          <w:rFonts w:ascii="宋体" w:eastAsia="宋体" w:cs="宋体" w:hAnsi="宋体" w:hint="eastAsia"/>
          <w:color w:val="auto"/>
          <w:kern w:val="0"/>
          <w:sz w:val="28"/>
          <w:szCs w:val="28"/>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4</w:t>
      </w:r>
      <w:r>
        <w:rPr>
          <w:rFonts w:ascii="宋体" w:eastAsia="宋体" w:cs="宋体" w:hAnsi="宋体" w:hint="eastAsia"/>
          <w:color w:val="auto"/>
          <w:kern w:val="0"/>
          <w:sz w:val="28"/>
          <w:szCs w:val="28"/>
          <w:lang w:eastAsia="zh-CN"/>
        </w:rPr>
        <w:t>）风力发电机组及箱变消防措施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风力发电机组、箱变分布较广且风力发电机舱是在几十米以上的高空，发生火灾时消防人员不可能及时扑救。因此，风力发电机组及箱变的防火措施主要以预防为主，同时配备相应的灭火器及自动灭火装置，灭火设施由供货商配套供应</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1</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风机机舱内含油及容易引发火灾部位(含齿轮箱、液压制动器、制动盘等)安装一套火探管式自动灭火系统</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在塔筒内设2具手提式干粉灭火器</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塔筒外箱变设2具手提式干粉灭火器。</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2</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在风力发电机内部作业时，保持内部卫生，禁止在风机内部遗留杂物，特别是油污棉丝等易燃物，对于机舱内部泄</w:t>
      </w:r>
      <w:r>
        <w:rPr>
          <w:rFonts w:ascii="宋体" w:eastAsia="宋体" w:cs="宋体" w:hAnsi="宋体"/>
          <w:color w:val="auto"/>
          <w:kern w:val="0"/>
          <w:sz w:val="28"/>
          <w:szCs w:val="28"/>
        </w:rPr>
        <w:t>漏</w:t>
      </w:r>
      <w:r>
        <w:rPr>
          <w:rFonts w:ascii="宋体" w:eastAsia="宋体" w:cs="宋体" w:hAnsi="宋体" w:hint="eastAsia"/>
          <w:color w:val="auto"/>
          <w:kern w:val="0"/>
          <w:sz w:val="28"/>
          <w:szCs w:val="28"/>
        </w:rPr>
        <w:t>的齿轮油、液压油等必须及时清理，以减少火险隐患</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3</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定期检查电器、电缆、电源主回路电缆端子的联接质量，以防电源回路虚接而引发的电气火灾。</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rPr>
        <w:t>4</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编制风力发电机组火灾应急预案，</w:t>
      </w:r>
      <w:r>
        <w:rPr>
          <w:rFonts w:ascii="宋体" w:eastAsia="宋体" w:cs="宋体" w:hAnsi="宋体" w:hint="eastAsia"/>
          <w:color w:val="auto"/>
          <w:kern w:val="0"/>
          <w:sz w:val="28"/>
          <w:szCs w:val="28"/>
          <w:lang w:eastAsia="zh-CN"/>
        </w:rPr>
        <w:t>一</w:t>
      </w:r>
      <w:r>
        <w:rPr>
          <w:rFonts w:ascii="宋体" w:eastAsia="宋体" w:cs="宋体" w:hAnsi="宋体" w:hint="eastAsia"/>
          <w:color w:val="auto"/>
          <w:kern w:val="0"/>
          <w:sz w:val="28"/>
          <w:szCs w:val="28"/>
        </w:rPr>
        <w:t>旦发生风力发电机起火，火灾信号应远传至消防控制室，由风电场运行人员迅速切断集电线路的电源防止场内电网短路事故并派人控制现场，同时通知当地消防队控制起火范围并进行灭火。</w:t>
      </w:r>
    </w:p>
    <w:p>
      <w:pPr>
        <w:pStyle w:val="18"/>
        <w:autoSpaceDE w:val="0"/>
        <w:autoSpaceDN w:val="0"/>
        <w:spacing w:before="4" w:line="420" w:lineRule="auto"/>
        <w:ind w:left="118" w:right="351" w:firstLineChars="200" w:firstLine="560"/>
        <w:rPr>
          <w:color w:val="auto"/>
          <w:kern w:val="0"/>
          <w:sz w:val="28"/>
          <w:szCs w:val="28"/>
          <w:lang w:val="en-US"/>
        </w:rPr>
      </w:pPr>
      <w:r>
        <w:rPr>
          <w:rFonts w:hint="eastAsia"/>
          <w:b/>
          <w:bCs/>
          <w:color w:val="auto"/>
          <w:sz w:val="28"/>
          <w:szCs w:val="28"/>
          <w:lang w:val="en-US" w:eastAsia="zh-CN"/>
        </w:rPr>
        <w:t xml:space="preserve">6.1.5 </w:t>
      </w:r>
      <w:r>
        <w:rPr>
          <w:rFonts w:hint="eastAsia"/>
          <w:b/>
          <w:bCs/>
          <w:color w:val="auto"/>
          <w:sz w:val="28"/>
          <w:szCs w:val="28"/>
        </w:rPr>
        <w:t>消防用水</w:t>
      </w:r>
    </w:p>
    <w:p>
      <w:pPr>
        <w:widowControl/>
        <w:spacing w:before="4" w:line="360" w:lineRule="auto"/>
        <w:ind w:left="118" w:right="351" w:firstLineChars="200" w:firstLine="560"/>
        <w:jc w:val="left"/>
        <w:rPr>
          <w:rFonts w:ascii="宋体" w:eastAsia="宋体" w:cs="宋体" w:hAnsi="宋体"/>
          <w:color w:val="auto"/>
          <w:kern w:val="0"/>
          <w:sz w:val="28"/>
          <w:szCs w:val="28"/>
        </w:rPr>
      </w:pPr>
      <w:r>
        <w:rPr>
          <w:rFonts w:ascii="宋体" w:eastAsia="宋体" w:cs="宋体" w:hAnsi="宋体" w:hint="eastAsia"/>
          <w:color w:val="auto"/>
          <w:kern w:val="0"/>
          <w:sz w:val="28"/>
          <w:szCs w:val="28"/>
          <w:lang w:eastAsia="zh-CN"/>
        </w:rPr>
        <w:t>本风电场内的</w:t>
      </w:r>
      <w:r>
        <w:rPr>
          <w:rFonts w:ascii="宋体" w:eastAsia="宋体" w:cs="宋体" w:hAnsi="宋体" w:hint="eastAsia"/>
          <w:color w:val="auto"/>
          <w:kern w:val="0"/>
          <w:sz w:val="28"/>
          <w:szCs w:val="28"/>
        </w:rPr>
        <w:t>地块用水主要为</w:t>
      </w:r>
      <w:r>
        <w:rPr>
          <w:rFonts w:ascii="宋体" w:eastAsia="宋体" w:cs="宋体" w:hAnsi="宋体" w:hint="eastAsia"/>
          <w:color w:val="auto"/>
          <w:kern w:val="0"/>
          <w:sz w:val="28"/>
          <w:szCs w:val="28"/>
          <w:lang w:eastAsia="zh-CN"/>
        </w:rPr>
        <w:t>升压站的</w:t>
      </w:r>
      <w:r>
        <w:rPr>
          <w:rFonts w:ascii="宋体" w:eastAsia="宋体" w:cs="宋体" w:hAnsi="宋体" w:hint="eastAsia"/>
          <w:color w:val="auto"/>
          <w:kern w:val="0"/>
          <w:sz w:val="28"/>
          <w:szCs w:val="28"/>
        </w:rPr>
        <w:t>生活和消防用水。根据用地情况，通过在</w:t>
      </w:r>
      <w:r>
        <w:rPr>
          <w:rFonts w:ascii="宋体" w:eastAsia="宋体" w:cs="宋体" w:hAnsi="宋体" w:hint="eastAsia"/>
          <w:color w:val="auto"/>
          <w:kern w:val="0"/>
          <w:sz w:val="28"/>
          <w:szCs w:val="28"/>
          <w:lang w:eastAsia="zh-CN"/>
        </w:rPr>
        <w:t>升压站东南面</w:t>
      </w:r>
      <w:r>
        <w:rPr>
          <w:rFonts w:ascii="宋体" w:eastAsia="宋体" w:cs="宋体" w:hAnsi="宋体" w:hint="eastAsia"/>
          <w:color w:val="auto"/>
          <w:kern w:val="0"/>
          <w:sz w:val="28"/>
          <w:szCs w:val="28"/>
        </w:rPr>
        <w:t>附近</w:t>
      </w:r>
      <w:r>
        <w:rPr>
          <w:rFonts w:ascii="宋体" w:eastAsia="宋体" w:cs="宋体" w:hAnsi="宋体" w:hint="eastAsia"/>
          <w:color w:val="auto"/>
          <w:kern w:val="0"/>
          <w:sz w:val="28"/>
          <w:szCs w:val="28"/>
          <w:lang w:val="en-US" w:eastAsia="zh-CN"/>
        </w:rPr>
        <w:t>400米处</w:t>
      </w:r>
      <w:r>
        <w:rPr>
          <w:rFonts w:ascii="宋体" w:eastAsia="宋体" w:cs="宋体" w:hAnsi="宋体" w:hint="eastAsia"/>
          <w:color w:val="auto"/>
          <w:kern w:val="0"/>
          <w:sz w:val="28"/>
          <w:szCs w:val="28"/>
        </w:rPr>
        <w:t>打深井的方式为地块供水。地块内生活、消防给水管网分开独立设置，生活给水由生活水泵经站内给水管网直接供给，消防给水系统包括消防蓄水池、联合泵房、消防水泵、消防稳压设备及消防给水管网等。</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消防用水量及水压：</w:t>
      </w:r>
      <w:r>
        <w:rPr>
          <w:rFonts w:ascii="宋体" w:eastAsia="宋体" w:cs="宋体" w:hAnsi="宋体" w:hint="eastAsia"/>
          <w:color w:val="auto"/>
          <w:kern w:val="0"/>
          <w:sz w:val="28"/>
          <w:szCs w:val="28"/>
          <w:lang w:eastAsia="zh-CN"/>
        </w:rPr>
        <w:t>参考</w:t>
      </w:r>
      <w:r>
        <w:rPr>
          <w:rFonts w:ascii="宋体" w:eastAsia="宋体" w:cs="宋体" w:hAnsi="宋体" w:hint="eastAsia"/>
          <w:color w:val="auto"/>
          <w:kern w:val="0"/>
          <w:sz w:val="28"/>
          <w:szCs w:val="28"/>
        </w:rPr>
        <w:t>《火力发电厂与变电站设计防火规范》GB50229—2006 规定，工程按最大建筑物综合楼计，室外消火栓消防用水量15L/s，室内消火栓消防用水量10L/s。因此升压站一次消防最大用水量为90m³/h，消防延续时间按2 小时计算，消防用水量180m³。当发生火灾时，启动消防水泵，同时关闭洒水栓，以保证消防水量，消防水泵从蓄水池吸水升压后送至消防给水管网。</w:t>
      </w:r>
    </w:p>
    <w:p>
      <w:pPr>
        <w:pStyle w:val="15"/>
        <w:rPr>
          <w:rFonts w:eastAsia="宋体" w:hint="eastAsia"/>
          <w:color w:val="auto"/>
          <w:lang w:eastAsia="zh-CN"/>
        </w:rPr>
      </w:pPr>
      <w:r>
        <w:rPr>
          <w:rFonts w:eastAsia="宋体" w:hint="eastAsia"/>
          <w:color w:val="auto"/>
          <w:lang w:eastAsia="zh-CN"/>
        </w:rPr>
        <w:drawing>
          <wp:inline distT="0" distB="0" distL="114300" distR="114300">
            <wp:extent cx="5363209" cy="4028440"/>
            <wp:effectExtent l="0" t="0" r="46" b="2"/>
            <wp:docPr id="57" name="图片 16" descr="古道岭消防示意"/>
            <wp:cNvGraphicFramePr>
              <a:graphicFrameLocks noChangeAspect="1"/>
            </wp:cNvGraphicFramePr>
            <a:graphic>
              <a:graphicData uri="http://schemas.openxmlformats.org/drawingml/2006/picture">
                <pic:pic>
                  <pic:nvPicPr>
                    <pic:cNvPr id="59" name="图片 16 59"/>
                    <pic:cNvPicPr/>
                  </pic:nvPicPr>
                  <pic:blipFill>
                    <a:blip r:embed="rId22"/>
                    <a:stretch>
                      <a:fillRect/>
                    </a:stretch>
                  </pic:blipFill>
                  <pic:spPr>
                    <a:xfrm rot="0">
                      <a:off x="0" y="0"/>
                      <a:ext cx="5363209" cy="4028440"/>
                    </a:xfrm>
                    <a:prstGeom prst="rect"/>
                    <a:noFill/>
                    <a:ln w="9525" cmpd="sng" cap="flat">
                      <a:noFill/>
                      <a:prstDash val="solid"/>
                      <a:miter/>
                    </a:ln>
                  </pic:spPr>
                </pic:pic>
              </a:graphicData>
            </a:graphic>
          </wp:inline>
        </w:drawing>
      </w:r>
    </w:p>
    <w:p>
      <w:pPr>
        <w:widowControl/>
        <w:spacing w:before="4" w:line="360" w:lineRule="auto"/>
        <w:ind w:left="0" w:right="351"/>
        <w:jc w:val="center"/>
        <w:rPr>
          <w:color w:val="auto"/>
        </w:rPr>
      </w:pPr>
      <w:r>
        <w:rPr>
          <w:rFonts w:ascii="宋体" w:eastAsia="宋体" w:cs="宋体" w:hAnsi="宋体" w:hint="eastAsia"/>
          <w:b/>
          <w:bCs/>
          <w:color w:val="auto"/>
          <w:kern w:val="0"/>
          <w:sz w:val="28"/>
          <w:szCs w:val="28"/>
          <w:lang w:eastAsia="zh-CN"/>
        </w:rPr>
        <w:t>规划消防救灾设施位置示意图</w:t>
      </w:r>
    </w:p>
    <w:p>
      <w:pPr>
        <w:pStyle w:val="18"/>
        <w:autoSpaceDE w:val="0"/>
        <w:autoSpaceDN w:val="0"/>
        <w:spacing w:before="4" w:line="420" w:lineRule="auto"/>
        <w:ind w:left="118" w:right="351" w:firstLineChars="200" w:firstLine="560"/>
        <w:rPr>
          <w:color w:val="auto"/>
          <w:kern w:val="0"/>
          <w:sz w:val="28"/>
          <w:szCs w:val="28"/>
          <w:lang w:val="en-US"/>
        </w:rPr>
      </w:pPr>
      <w:r>
        <w:rPr>
          <w:rFonts w:hint="eastAsia"/>
          <w:b/>
          <w:bCs/>
          <w:color w:val="auto"/>
          <w:sz w:val="28"/>
          <w:szCs w:val="28"/>
          <w:lang w:val="en-US" w:eastAsia="zh-CN"/>
        </w:rPr>
        <w:t xml:space="preserve">6.1.6 </w:t>
      </w:r>
      <w:r>
        <w:rPr>
          <w:rFonts w:hint="eastAsia"/>
          <w:b/>
          <w:bCs/>
          <w:color w:val="auto"/>
          <w:sz w:val="28"/>
          <w:szCs w:val="28"/>
        </w:rPr>
        <w:t>消防通道规划</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通过对外交通公路，消防车可快速到达</w:t>
      </w:r>
      <w:r>
        <w:rPr>
          <w:rFonts w:ascii="宋体" w:eastAsia="宋体" w:cs="宋体" w:hAnsi="宋体" w:hint="eastAsia"/>
          <w:color w:val="auto"/>
          <w:kern w:val="0"/>
          <w:sz w:val="28"/>
          <w:szCs w:val="28"/>
          <w:lang w:eastAsia="zh-CN"/>
        </w:rPr>
        <w:t>风电场各风电机组</w:t>
      </w:r>
      <w:r>
        <w:rPr>
          <w:rFonts w:ascii="宋体" w:eastAsia="宋体" w:cs="宋体" w:hAnsi="宋体" w:hint="eastAsia"/>
          <w:color w:val="auto"/>
          <w:kern w:val="0"/>
          <w:sz w:val="28"/>
          <w:szCs w:val="28"/>
        </w:rPr>
        <w:t>地块</w:t>
      </w:r>
      <w:r>
        <w:rPr>
          <w:rFonts w:ascii="宋体" w:eastAsia="宋体" w:cs="宋体" w:hAnsi="宋体" w:hint="eastAsia"/>
          <w:color w:val="auto"/>
          <w:kern w:val="0"/>
          <w:sz w:val="28"/>
          <w:szCs w:val="28"/>
          <w:lang w:eastAsia="zh-CN"/>
        </w:rPr>
        <w:t>和升压站地块</w:t>
      </w:r>
      <w:r>
        <w:rPr>
          <w:rFonts w:ascii="宋体" w:eastAsia="宋体" w:cs="宋体" w:hAnsi="宋体" w:hint="eastAsia"/>
          <w:color w:val="auto"/>
          <w:kern w:val="0"/>
          <w:sz w:val="28"/>
          <w:szCs w:val="28"/>
        </w:rPr>
        <w:t>，</w:t>
      </w:r>
      <w:r>
        <w:rPr>
          <w:rFonts w:ascii="宋体" w:eastAsia="宋体" w:cs="宋体" w:hAnsi="宋体" w:hint="eastAsia"/>
          <w:color w:val="auto"/>
          <w:kern w:val="0"/>
          <w:sz w:val="28"/>
          <w:szCs w:val="28"/>
          <w:lang w:eastAsia="zh-CN"/>
        </w:rPr>
        <w:t>根据本项目升压站</w:t>
      </w:r>
      <w:r>
        <w:rPr>
          <w:rFonts w:ascii="宋体" w:eastAsia="宋体" w:cs="宋体" w:hAnsi="宋体" w:hint="eastAsia"/>
          <w:color w:val="auto"/>
          <w:kern w:val="0"/>
          <w:sz w:val="28"/>
          <w:szCs w:val="28"/>
        </w:rPr>
        <w:t>地块</w:t>
      </w:r>
      <w:r>
        <w:rPr>
          <w:rFonts w:ascii="宋体" w:eastAsia="宋体" w:cs="宋体" w:hAnsi="宋体" w:hint="eastAsia"/>
          <w:color w:val="auto"/>
          <w:kern w:val="0"/>
          <w:sz w:val="28"/>
          <w:szCs w:val="28"/>
          <w:lang w:eastAsia="zh-CN"/>
        </w:rPr>
        <w:t>规划布局，</w:t>
      </w:r>
      <w:r>
        <w:rPr>
          <w:rFonts w:ascii="宋体" w:eastAsia="宋体" w:cs="宋体" w:hAnsi="宋体" w:hint="eastAsia"/>
          <w:color w:val="auto"/>
          <w:kern w:val="0"/>
          <w:sz w:val="28"/>
          <w:szCs w:val="28"/>
        </w:rPr>
        <w:t>地块内部四周规划设置环形消防车道，</w:t>
      </w:r>
      <w:r>
        <w:rPr>
          <w:rFonts w:ascii="宋体" w:eastAsia="宋体" w:cs="宋体" w:hAnsi="宋体" w:hint="eastAsia"/>
          <w:color w:val="auto"/>
          <w:kern w:val="0"/>
          <w:sz w:val="28"/>
          <w:szCs w:val="28"/>
          <w:lang w:eastAsia="zh-CN"/>
        </w:rPr>
        <w:t>进站</w:t>
      </w:r>
      <w:r>
        <w:rPr>
          <w:rFonts w:ascii="宋体" w:eastAsia="宋体" w:cs="宋体" w:hAnsi="宋体" w:hint="eastAsia"/>
          <w:color w:val="auto"/>
          <w:kern w:val="0"/>
          <w:sz w:val="28"/>
          <w:szCs w:val="28"/>
        </w:rPr>
        <w:t>消防车道宽度均≥4米，消防车道转弯半径≥9米、坡度≤8%，并且消防车道的地下管道或暗沟，应能满足大型消防车辆的压力。</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55" w:name="_Toc25243"/>
      <w:r>
        <w:rPr>
          <w:rFonts w:ascii="宋体" w:eastAsia="宋体" w:cs="宋体" w:hAnsi="宋体" w:hint="eastAsia"/>
          <w:bCs/>
          <w:color w:val="auto"/>
          <w:sz w:val="32"/>
          <w:szCs w:val="32"/>
          <w:lang w:val="en-US" w:eastAsia="zh-CN"/>
        </w:rPr>
        <w:t>6.2抗震防灾规划</w:t>
      </w:r>
      <w:bookmarkEnd w:id="55"/>
    </w:p>
    <w:p>
      <w:pPr>
        <w:pStyle w:val="18"/>
        <w:autoSpaceDE w:val="0"/>
        <w:autoSpaceDN w:val="0"/>
        <w:spacing w:before="4" w:line="420" w:lineRule="auto"/>
        <w:ind w:left="118" w:right="351" w:firstLine="479"/>
        <w:rPr>
          <w:rFonts w:hint="eastAsia"/>
          <w:b/>
          <w:bCs/>
          <w:color w:val="auto"/>
          <w:sz w:val="28"/>
          <w:szCs w:val="28"/>
        </w:rPr>
      </w:pPr>
      <w:r>
        <w:rPr>
          <w:rFonts w:hint="eastAsia"/>
          <w:b/>
          <w:bCs/>
          <w:color w:val="auto"/>
          <w:sz w:val="28"/>
          <w:szCs w:val="28"/>
          <w:lang w:val="en-US" w:eastAsia="zh-CN"/>
        </w:rPr>
        <w:t xml:space="preserve">6.2.1 </w:t>
      </w:r>
      <w:r>
        <w:rPr>
          <w:rFonts w:hint="eastAsia"/>
          <w:b/>
          <w:bCs/>
          <w:color w:val="auto"/>
          <w:sz w:val="28"/>
          <w:szCs w:val="28"/>
        </w:rPr>
        <w:t>规划依据</w:t>
      </w:r>
    </w:p>
    <w:p>
      <w:pPr>
        <w:pStyle w:val="18"/>
        <w:autoSpaceDE w:val="0"/>
        <w:autoSpaceDN w:val="0"/>
        <w:spacing w:before="4" w:line="420" w:lineRule="auto"/>
        <w:ind w:left="118" w:right="351" w:firstLine="479"/>
        <w:rPr>
          <w:rFonts w:eastAsia="宋体" w:hint="eastAsia"/>
          <w:color w:val="auto"/>
          <w:kern w:val="0"/>
          <w:sz w:val="28"/>
          <w:szCs w:val="28"/>
          <w:lang w:eastAsia="zh-CN"/>
        </w:rPr>
      </w:pPr>
      <w:r>
        <w:rPr>
          <w:rFonts w:hint="eastAsia"/>
          <w:color w:val="auto"/>
          <w:kern w:val="0"/>
          <w:sz w:val="28"/>
          <w:szCs w:val="28"/>
        </w:rPr>
        <w:t>《中华人民共和国防震减灾法》</w:t>
      </w:r>
      <w:r>
        <w:rPr>
          <w:rFonts w:hint="eastAsia"/>
          <w:color w:val="auto"/>
          <w:kern w:val="0"/>
          <w:sz w:val="28"/>
          <w:szCs w:val="28"/>
          <w:lang w:eastAsia="zh-CN"/>
        </w:rPr>
        <w:t>；</w:t>
      </w:r>
    </w:p>
    <w:p>
      <w:pPr>
        <w:pStyle w:val="18"/>
        <w:autoSpaceDE w:val="0"/>
        <w:autoSpaceDN w:val="0"/>
        <w:spacing w:before="4" w:line="420" w:lineRule="auto"/>
        <w:ind w:left="118" w:right="351" w:firstLine="479"/>
        <w:rPr>
          <w:rFonts w:eastAsia="宋体" w:hint="eastAsia"/>
          <w:color w:val="auto"/>
          <w:kern w:val="0"/>
          <w:sz w:val="28"/>
          <w:szCs w:val="28"/>
          <w:lang w:eastAsia="zh-CN"/>
        </w:rPr>
      </w:pPr>
      <w:r>
        <w:rPr>
          <w:rFonts w:hint="eastAsia"/>
          <w:color w:val="auto"/>
          <w:kern w:val="0"/>
          <w:sz w:val="28"/>
          <w:szCs w:val="28"/>
        </w:rPr>
        <w:t>《中国地震动参数区划图》（GB18306-2015）</w:t>
      </w:r>
      <w:r>
        <w:rPr>
          <w:rFonts w:hint="eastAsia"/>
          <w:color w:val="auto"/>
          <w:kern w:val="0"/>
          <w:sz w:val="28"/>
          <w:szCs w:val="28"/>
          <w:lang w:eastAsia="zh-CN"/>
        </w:rPr>
        <w:t>；</w:t>
      </w:r>
    </w:p>
    <w:p>
      <w:pPr>
        <w:pStyle w:val="18"/>
        <w:autoSpaceDE w:val="0"/>
        <w:autoSpaceDN w:val="0"/>
        <w:spacing w:before="4" w:line="420" w:lineRule="auto"/>
        <w:ind w:left="118" w:right="351" w:firstLine="479"/>
        <w:rPr>
          <w:rFonts w:eastAsia="宋体" w:hint="eastAsia"/>
          <w:color w:val="auto"/>
          <w:kern w:val="0"/>
          <w:sz w:val="28"/>
          <w:szCs w:val="28"/>
          <w:lang w:eastAsia="zh-CN"/>
        </w:rPr>
      </w:pPr>
      <w:r>
        <w:rPr>
          <w:rFonts w:hint="eastAsia"/>
          <w:color w:val="auto"/>
          <w:kern w:val="0"/>
          <w:sz w:val="28"/>
          <w:szCs w:val="28"/>
        </w:rPr>
        <w:t>《建筑工程抗震设防分类标准》（GB50223-2008）</w:t>
      </w:r>
      <w:r>
        <w:rPr>
          <w:rFonts w:hint="eastAsia"/>
          <w:color w:val="auto"/>
          <w:kern w:val="0"/>
          <w:sz w:val="28"/>
          <w:szCs w:val="28"/>
          <w:lang w:eastAsia="zh-CN"/>
        </w:rPr>
        <w:t>；</w:t>
      </w:r>
    </w:p>
    <w:p>
      <w:pPr>
        <w:pStyle w:val="18"/>
        <w:autoSpaceDE w:val="0"/>
        <w:autoSpaceDN w:val="0"/>
        <w:spacing w:before="4" w:line="420" w:lineRule="auto"/>
        <w:ind w:left="118" w:right="351" w:firstLine="479"/>
        <w:rPr>
          <w:rFonts w:eastAsia="宋体" w:hint="eastAsia"/>
          <w:color w:val="auto"/>
          <w:kern w:val="0"/>
          <w:sz w:val="28"/>
          <w:szCs w:val="28"/>
          <w:lang w:eastAsia="zh-CN"/>
        </w:rPr>
      </w:pPr>
      <w:r>
        <w:rPr>
          <w:rFonts w:hint="eastAsia"/>
          <w:color w:val="auto"/>
          <w:kern w:val="0"/>
          <w:sz w:val="28"/>
          <w:szCs w:val="28"/>
        </w:rPr>
        <w:t>《镇（乡）村建筑抗震技术规程》（JGJ161-2008）</w:t>
      </w:r>
      <w:r>
        <w:rPr>
          <w:rFonts w:hint="eastAsia"/>
          <w:color w:val="auto"/>
          <w:kern w:val="0"/>
          <w:sz w:val="28"/>
          <w:szCs w:val="28"/>
          <w:lang w:eastAsia="zh-CN"/>
        </w:rPr>
        <w:t>；</w:t>
      </w:r>
    </w:p>
    <w:p>
      <w:pPr>
        <w:pStyle w:val="18"/>
        <w:autoSpaceDE w:val="0"/>
        <w:autoSpaceDN w:val="0"/>
        <w:spacing w:before="4" w:line="420" w:lineRule="auto"/>
        <w:ind w:left="118" w:right="351" w:firstLine="479"/>
        <w:rPr>
          <w:rFonts w:hint="eastAsia"/>
          <w:color w:val="auto"/>
          <w:kern w:val="0"/>
          <w:sz w:val="28"/>
          <w:szCs w:val="28"/>
          <w:lang w:eastAsia="zh-CN"/>
        </w:rPr>
      </w:pPr>
      <w:r>
        <w:rPr>
          <w:rFonts w:hint="eastAsia"/>
          <w:color w:val="auto"/>
          <w:kern w:val="0"/>
          <w:sz w:val="28"/>
          <w:szCs w:val="28"/>
        </w:rPr>
        <w:t>《建筑抗震设计规范》（GB50011-2010）(2016年版)</w:t>
      </w:r>
      <w:r>
        <w:rPr>
          <w:rFonts w:hint="eastAsia"/>
          <w:color w:val="auto"/>
          <w:kern w:val="0"/>
          <w:sz w:val="28"/>
          <w:szCs w:val="28"/>
          <w:lang w:eastAsia="zh-CN"/>
        </w:rPr>
        <w:t>；</w:t>
      </w:r>
    </w:p>
    <w:p>
      <w:pPr>
        <w:pStyle w:val="18"/>
        <w:autoSpaceDE w:val="0"/>
        <w:autoSpaceDN w:val="0"/>
        <w:spacing w:before="4" w:line="420" w:lineRule="auto"/>
        <w:ind w:left="118" w:right="351" w:firstLine="479"/>
        <w:rPr>
          <w:rFonts w:hint="eastAsia"/>
          <w:color w:val="auto"/>
          <w:lang w:eastAsia="zh-CN"/>
        </w:rPr>
      </w:pPr>
      <w:r>
        <w:rPr>
          <w:rFonts w:hint="eastAsia"/>
          <w:color w:val="auto"/>
          <w:kern w:val="0"/>
          <w:sz w:val="28"/>
          <w:szCs w:val="28"/>
          <w:lang w:eastAsia="zh-CN"/>
        </w:rPr>
        <w:t>《风电场工程等级划分及设计安全标准》（NB/T 10101-2018）。</w:t>
      </w:r>
    </w:p>
    <w:p>
      <w:pPr>
        <w:pStyle w:val="18"/>
        <w:widowControl/>
        <w:autoSpaceDE w:val="0"/>
        <w:autoSpaceDN w:val="0"/>
        <w:spacing w:before="4" w:line="420" w:lineRule="auto"/>
        <w:ind w:left="118" w:right="351" w:firstLineChars="200" w:firstLine="560"/>
        <w:jc w:val="left"/>
        <w:rPr>
          <w:rFonts w:ascii="宋体" w:eastAsia="宋体" w:cs="宋体" w:hAnsi="宋体" w:hint="eastAsia"/>
          <w:b/>
          <w:bCs/>
          <w:color w:val="auto"/>
          <w:kern w:val="0"/>
          <w:sz w:val="28"/>
          <w:szCs w:val="28"/>
        </w:rPr>
      </w:pPr>
      <w:r>
        <w:rPr>
          <w:rFonts w:hint="eastAsia"/>
          <w:b/>
          <w:bCs/>
          <w:color w:val="auto"/>
          <w:sz w:val="28"/>
          <w:szCs w:val="28"/>
          <w:lang w:val="en-US" w:eastAsia="zh-CN"/>
        </w:rPr>
        <w:t xml:space="preserve">6.2.2 </w:t>
      </w:r>
      <w:r>
        <w:rPr>
          <w:rFonts w:hint="eastAsia"/>
          <w:b/>
          <w:bCs/>
          <w:color w:val="auto"/>
          <w:sz w:val="28"/>
          <w:szCs w:val="28"/>
        </w:rPr>
        <w:t>抗震设防标准</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eastAsia="zh-CN"/>
        </w:rPr>
        <w:t>本项目用地</w:t>
      </w:r>
      <w:r>
        <w:rPr>
          <w:rFonts w:ascii="宋体" w:eastAsia="宋体" w:cs="宋体" w:hAnsi="宋体" w:hint="eastAsia"/>
          <w:color w:val="auto"/>
          <w:kern w:val="0"/>
          <w:sz w:val="28"/>
          <w:szCs w:val="28"/>
        </w:rPr>
        <w:t>位于钦州市钦北区小董镇</w:t>
      </w:r>
      <w:r>
        <w:rPr>
          <w:rFonts w:ascii="宋体" w:eastAsia="宋体" w:cs="宋体" w:hAnsi="宋体" w:hint="eastAsia"/>
          <w:color w:val="auto"/>
          <w:kern w:val="0"/>
          <w:sz w:val="28"/>
          <w:szCs w:val="28"/>
          <w:lang w:eastAsia="zh-CN"/>
        </w:rPr>
        <w:t>、平吉镇和大垌镇三镇交界区域</w:t>
      </w:r>
      <w:r>
        <w:rPr>
          <w:rFonts w:ascii="宋体" w:eastAsia="宋体" w:cs="宋体" w:hAnsi="宋体" w:hint="eastAsia"/>
          <w:color w:val="auto"/>
          <w:kern w:val="0"/>
          <w:sz w:val="28"/>
          <w:szCs w:val="28"/>
        </w:rPr>
        <w:t>，根据《建筑抗震设计规范》（GB50011-2010）(2016年版)附录A和《中国地震动参数区划图》（GB18306-2015），研究地块为供电用地，为生命线工程，抗震设防烈度按7度设防，地震动峰值加速度为0.10g，地震动加速度反应谱特征周期0.35s。</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本地块所在地及附近抗震场地类别为Ⅱ类，升压站及各风</w:t>
      </w:r>
      <w:r>
        <w:rPr>
          <w:rFonts w:ascii="宋体" w:eastAsia="宋体" w:cs="宋体" w:hAnsi="宋体" w:hint="eastAsia"/>
          <w:color w:val="auto"/>
          <w:kern w:val="0"/>
          <w:sz w:val="28"/>
          <w:szCs w:val="28"/>
          <w:lang w:eastAsia="zh-CN"/>
        </w:rPr>
        <w:t>电</w:t>
      </w:r>
      <w:r>
        <w:rPr>
          <w:rFonts w:ascii="宋体" w:eastAsia="宋体" w:cs="宋体" w:hAnsi="宋体" w:hint="eastAsia"/>
          <w:color w:val="auto"/>
          <w:kern w:val="0"/>
          <w:sz w:val="28"/>
          <w:szCs w:val="28"/>
        </w:rPr>
        <w:t>机</w:t>
      </w:r>
      <w:r>
        <w:rPr>
          <w:rFonts w:ascii="宋体" w:eastAsia="宋体" w:cs="宋体" w:hAnsi="宋体" w:hint="eastAsia"/>
          <w:color w:val="auto"/>
          <w:kern w:val="0"/>
          <w:sz w:val="28"/>
          <w:szCs w:val="28"/>
          <w:lang w:eastAsia="zh-CN"/>
        </w:rPr>
        <w:t>组</w:t>
      </w:r>
      <w:r>
        <w:rPr>
          <w:rFonts w:ascii="宋体" w:eastAsia="宋体" w:cs="宋体" w:hAnsi="宋体" w:hint="eastAsia"/>
          <w:color w:val="auto"/>
          <w:kern w:val="0"/>
          <w:sz w:val="28"/>
          <w:szCs w:val="28"/>
        </w:rPr>
        <w:t>均位于地势较高的山顶、山坡地段，地形略有起伏，覆盖层厚度较小，下伏为稳定的基岩，场地属抗震一般地段，区域稳定性较好</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hint="eastAsia"/>
          <w:color w:val="auto"/>
          <w:kern w:val="0"/>
          <w:sz w:val="28"/>
          <w:szCs w:val="28"/>
          <w:lang w:eastAsia="zh-CN"/>
        </w:rPr>
      </w:pPr>
      <w:r>
        <w:rPr>
          <w:rFonts w:ascii="宋体" w:eastAsia="宋体" w:cs="宋体" w:hAnsi="宋体" w:hint="eastAsia"/>
          <w:color w:val="auto"/>
          <w:kern w:val="0"/>
          <w:sz w:val="28"/>
          <w:szCs w:val="28"/>
          <w:lang w:eastAsia="zh-CN"/>
        </w:rPr>
        <w:t>根据</w:t>
      </w:r>
      <w:r>
        <w:rPr>
          <w:rFonts w:hint="eastAsia"/>
          <w:color w:val="auto"/>
          <w:kern w:val="0"/>
          <w:sz w:val="28"/>
          <w:szCs w:val="28"/>
          <w:lang w:eastAsia="zh-CN"/>
        </w:rPr>
        <w:t>《风电场工程等级划分及设计安全标准》（NB/T 10101-2018），风电机组地基基础的抗震设防类别应为标准设防类，也称为丙类。</w:t>
      </w:r>
    </w:p>
    <w:p>
      <w:pPr>
        <w:widowControl/>
        <w:spacing w:before="4" w:line="360" w:lineRule="auto"/>
        <w:ind w:left="118" w:right="351" w:firstLineChars="200" w:firstLine="560"/>
        <w:jc w:val="left"/>
        <w:rPr>
          <w:rFonts w:hint="eastAsia"/>
          <w:color w:val="auto"/>
          <w:kern w:val="0"/>
          <w:sz w:val="28"/>
          <w:szCs w:val="28"/>
          <w:lang w:eastAsia="zh-CN"/>
        </w:rPr>
      </w:pPr>
      <w:r>
        <w:rPr>
          <w:rFonts w:hint="eastAsia"/>
          <w:color w:val="auto"/>
          <w:kern w:val="0"/>
          <w:sz w:val="28"/>
          <w:szCs w:val="28"/>
          <w:lang w:eastAsia="zh-CN"/>
        </w:rPr>
        <w:t>风电场变电站的抗震设防类别应根据其电压等级和建（构）筑物的重要性确定，并应符合《风电场工程等级划分及设计安全标准》表7.0.2的规定。</w:t>
      </w:r>
    </w:p>
    <w:p>
      <w:pPr>
        <w:widowControl/>
        <w:spacing w:before="4" w:line="360" w:lineRule="auto"/>
        <w:ind w:right="351"/>
        <w:jc w:val="left"/>
        <w:rPr>
          <w:rFonts w:ascii="宋体" w:eastAsia="宋体" w:cs="宋体" w:hAnsi="宋体" w:hint="eastAsia"/>
          <w:color w:val="auto"/>
          <w:kern w:val="0"/>
          <w:sz w:val="28"/>
          <w:szCs w:val="28"/>
        </w:rPr>
      </w:pPr>
      <w:r>
        <w:rPr>
          <w:color w:val="auto"/>
        </w:rPr>
        <w:drawing>
          <wp:inline distT="0" distB="0" distL="114300" distR="114300">
            <wp:extent cx="5274310" cy="2235835"/>
            <wp:effectExtent l="0" t="0" r="17" b="29"/>
            <wp:docPr id="60" name="图片 3"/>
            <wp:cNvGraphicFramePr>
              <a:graphicFrameLocks noChangeAspect="1"/>
            </wp:cNvGraphicFramePr>
            <a:graphic>
              <a:graphicData uri="http://schemas.openxmlformats.org/drawingml/2006/picture">
                <pic:pic>
                  <pic:nvPicPr>
                    <pic:cNvPr id="62" name="图片 3 62"/>
                    <pic:cNvPicPr/>
                  </pic:nvPicPr>
                  <pic:blipFill>
                    <a:blip r:embed="rId23"/>
                    <a:stretch>
                      <a:fillRect/>
                    </a:stretch>
                  </pic:blipFill>
                  <pic:spPr>
                    <a:xfrm rot="0">
                      <a:off x="0" y="0"/>
                      <a:ext cx="5274310" cy="2235835"/>
                    </a:xfrm>
                    <a:prstGeom prst="rect"/>
                    <a:noFill/>
                    <a:ln w="9525" cmpd="sng" cap="flat">
                      <a:noFill/>
                      <a:prstDash val="solid"/>
                      <a:round/>
                    </a:ln>
                  </pic:spPr>
                </pic:pic>
              </a:graphicData>
            </a:graphic>
          </wp:inline>
        </w:drawing>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eastAsia="zh-CN"/>
        </w:rPr>
        <w:t>本项目</w:t>
      </w:r>
      <w:r>
        <w:rPr>
          <w:rFonts w:ascii="宋体" w:eastAsia="宋体" w:cs="宋体" w:hAnsi="宋体" w:hint="eastAsia"/>
          <w:color w:val="auto"/>
          <w:kern w:val="0"/>
          <w:sz w:val="28"/>
          <w:szCs w:val="28"/>
        </w:rPr>
        <w:t>场地内未发现影响场地稳定的断裂构造和不良物理地质现象，场地稳定性好，基本适宜</w:t>
      </w:r>
      <w:r>
        <w:rPr>
          <w:rFonts w:ascii="宋体" w:eastAsia="宋体" w:cs="宋体" w:hAnsi="宋体" w:hint="eastAsia"/>
          <w:color w:val="auto"/>
          <w:kern w:val="0"/>
          <w:sz w:val="28"/>
          <w:szCs w:val="28"/>
          <w:lang w:eastAsia="zh-CN"/>
        </w:rPr>
        <w:t>项目工程</w:t>
      </w:r>
      <w:r>
        <w:rPr>
          <w:rFonts w:ascii="宋体" w:eastAsia="宋体" w:cs="宋体" w:hAnsi="宋体" w:hint="eastAsia"/>
          <w:color w:val="auto"/>
          <w:kern w:val="0"/>
          <w:sz w:val="28"/>
          <w:szCs w:val="28"/>
        </w:rPr>
        <w:t>建设。</w:t>
      </w:r>
      <w:r>
        <w:rPr>
          <w:rFonts w:ascii="宋体" w:eastAsia="宋体" w:cs="宋体" w:hAnsi="宋体" w:hint="eastAsia"/>
          <w:color w:val="auto"/>
          <w:kern w:val="0"/>
          <w:sz w:val="28"/>
          <w:szCs w:val="28"/>
          <w:lang w:eastAsia="zh-CN"/>
        </w:rPr>
        <w:t>规划的升压站</w:t>
      </w:r>
      <w:r>
        <w:rPr>
          <w:rFonts w:ascii="宋体" w:eastAsia="宋体" w:cs="宋体" w:hAnsi="宋体" w:hint="eastAsia"/>
          <w:color w:val="auto"/>
          <w:kern w:val="0"/>
          <w:sz w:val="28"/>
          <w:szCs w:val="28"/>
        </w:rPr>
        <w:t>地块</w:t>
      </w:r>
      <w:r>
        <w:rPr>
          <w:rFonts w:ascii="宋体" w:eastAsia="宋体" w:cs="宋体" w:hAnsi="宋体" w:hint="eastAsia"/>
          <w:color w:val="auto"/>
          <w:kern w:val="0"/>
          <w:sz w:val="28"/>
          <w:szCs w:val="28"/>
          <w:lang w:eastAsia="zh-CN"/>
        </w:rPr>
        <w:t>电压等级为</w:t>
      </w:r>
      <w:r>
        <w:rPr>
          <w:rFonts w:ascii="宋体" w:eastAsia="宋体" w:cs="宋体" w:hAnsi="宋体" w:hint="eastAsia"/>
          <w:color w:val="auto"/>
          <w:kern w:val="0"/>
          <w:sz w:val="28"/>
          <w:szCs w:val="28"/>
          <w:lang w:val="en-US" w:eastAsia="zh-CN"/>
        </w:rPr>
        <w:t>110kV，</w:t>
      </w:r>
      <w:r>
        <w:rPr>
          <w:rFonts w:ascii="宋体" w:eastAsia="宋体" w:cs="宋体" w:hAnsi="宋体" w:hint="eastAsia"/>
          <w:color w:val="auto"/>
          <w:kern w:val="0"/>
          <w:sz w:val="28"/>
          <w:szCs w:val="28"/>
        </w:rPr>
        <w:t>为</w:t>
      </w:r>
      <w:r>
        <w:rPr>
          <w:rFonts w:ascii="宋体" w:eastAsia="宋体" w:cs="宋体" w:hAnsi="宋体" w:hint="eastAsia"/>
          <w:color w:val="auto"/>
          <w:kern w:val="0"/>
          <w:sz w:val="28"/>
          <w:szCs w:val="28"/>
          <w:lang w:eastAsia="zh-CN"/>
        </w:rPr>
        <w:t>公用设施的</w:t>
      </w:r>
      <w:r>
        <w:rPr>
          <w:rFonts w:ascii="宋体" w:eastAsia="宋体" w:cs="宋体" w:hAnsi="宋体" w:hint="eastAsia"/>
          <w:color w:val="auto"/>
          <w:kern w:val="0"/>
          <w:sz w:val="28"/>
          <w:szCs w:val="28"/>
        </w:rPr>
        <w:t>供电用地，为生命线工程，</w:t>
      </w:r>
      <w:r>
        <w:rPr>
          <w:rFonts w:ascii="宋体" w:eastAsia="宋体" w:cs="宋体" w:hAnsi="宋体" w:hint="eastAsia"/>
          <w:color w:val="auto"/>
          <w:kern w:val="0"/>
          <w:sz w:val="28"/>
          <w:szCs w:val="28"/>
          <w:lang w:eastAsia="zh-CN"/>
        </w:rPr>
        <w:t>根据上表分析属标准</w:t>
      </w:r>
      <w:r>
        <w:rPr>
          <w:rFonts w:ascii="宋体" w:eastAsia="宋体" w:cs="宋体" w:hAnsi="宋体" w:hint="eastAsia"/>
          <w:color w:val="auto"/>
          <w:kern w:val="0"/>
          <w:sz w:val="28"/>
          <w:szCs w:val="28"/>
        </w:rPr>
        <w:t>设防类，应按本地区抗震设防烈度确定其抗震措施和地震作用，达到在遭遇高于当地抗震设防烈度的预估罕遇地震影响时不致倒塌或发生危及生命安全的严重破坏的抗震设防目标</w:t>
      </w:r>
      <w:r>
        <w:rPr>
          <w:rFonts w:ascii="宋体" w:eastAsia="宋体" w:cs="宋体" w:hAnsi="宋体" w:hint="eastAsia"/>
          <w:color w:val="auto"/>
          <w:kern w:val="0"/>
          <w:sz w:val="28"/>
          <w:szCs w:val="28"/>
          <w:lang w:eastAsia="zh-CN"/>
        </w:rPr>
        <w:t>，规划的</w:t>
      </w:r>
      <w:r>
        <w:rPr>
          <w:rFonts w:ascii="宋体" w:eastAsia="宋体" w:cs="宋体" w:hAnsi="宋体" w:hint="eastAsia"/>
          <w:color w:val="auto"/>
          <w:kern w:val="0"/>
          <w:sz w:val="28"/>
          <w:szCs w:val="28"/>
          <w:lang w:val="en-US" w:eastAsia="zh-CN"/>
        </w:rPr>
        <w:t>110kV</w:t>
      </w:r>
      <w:r>
        <w:rPr>
          <w:rFonts w:ascii="宋体" w:eastAsia="宋体" w:cs="宋体" w:hAnsi="宋体" w:hint="eastAsia"/>
          <w:color w:val="auto"/>
          <w:kern w:val="0"/>
          <w:sz w:val="28"/>
          <w:szCs w:val="28"/>
          <w:lang w:eastAsia="zh-CN"/>
        </w:rPr>
        <w:t>升压站</w:t>
      </w:r>
      <w:r>
        <w:rPr>
          <w:rFonts w:ascii="宋体" w:eastAsia="宋体" w:cs="宋体" w:hAnsi="宋体" w:hint="eastAsia"/>
          <w:color w:val="auto"/>
          <w:kern w:val="0"/>
          <w:sz w:val="28"/>
          <w:szCs w:val="28"/>
        </w:rPr>
        <w:t>抗震设防烈度按</w:t>
      </w:r>
      <w:r>
        <w:rPr>
          <w:rFonts w:ascii="宋体" w:eastAsia="宋体" w:cs="宋体" w:hAnsi="宋体" w:hint="eastAsia"/>
          <w:color w:val="auto"/>
          <w:kern w:val="0"/>
          <w:sz w:val="28"/>
          <w:szCs w:val="28"/>
          <w:lang w:val="en-US" w:eastAsia="zh-CN"/>
        </w:rPr>
        <w:t>7</w:t>
      </w:r>
      <w:r>
        <w:rPr>
          <w:rFonts w:ascii="宋体" w:eastAsia="宋体" w:cs="宋体" w:hAnsi="宋体" w:hint="eastAsia"/>
          <w:color w:val="auto"/>
          <w:kern w:val="0"/>
          <w:sz w:val="28"/>
          <w:szCs w:val="28"/>
        </w:rPr>
        <w:t>度设防。</w:t>
      </w:r>
    </w:p>
    <w:p>
      <w:pPr>
        <w:pStyle w:val="18"/>
        <w:autoSpaceDE w:val="0"/>
        <w:autoSpaceDN w:val="0"/>
        <w:spacing w:before="4" w:line="420" w:lineRule="auto"/>
        <w:ind w:left="118" w:right="351" w:firstLine="562"/>
        <w:rPr>
          <w:rFonts w:hint="eastAsia"/>
          <w:b/>
          <w:bCs/>
          <w:color w:val="auto"/>
          <w:sz w:val="28"/>
          <w:szCs w:val="28"/>
        </w:rPr>
      </w:pPr>
      <w:r>
        <w:rPr>
          <w:rFonts w:hint="eastAsia"/>
          <w:b/>
          <w:bCs/>
          <w:color w:val="auto"/>
          <w:sz w:val="28"/>
          <w:szCs w:val="28"/>
          <w:lang w:val="en-US" w:eastAsia="zh-CN"/>
        </w:rPr>
        <w:t xml:space="preserve">6.2.3 </w:t>
      </w:r>
      <w:r>
        <w:rPr>
          <w:rFonts w:hint="eastAsia"/>
          <w:b/>
          <w:bCs/>
          <w:color w:val="auto"/>
          <w:sz w:val="28"/>
          <w:szCs w:val="28"/>
        </w:rPr>
        <w:t>工程抗震</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rPr>
        <w:t>（1）新建、改建、扩建建筑物、构筑物和工程设施应确定其抗震设防类别，按国家和钦州市现行有关标准进行设防</w:t>
      </w:r>
      <w:r>
        <w:rPr>
          <w:rFonts w:ascii="宋体" w:eastAsia="宋体" w:cs="宋体" w:hAnsi="宋体" w:hint="eastAsia"/>
          <w:color w:val="auto"/>
          <w:kern w:val="0"/>
          <w:sz w:val="28"/>
          <w:szCs w:val="28"/>
          <w:lang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rPr>
        <w:t>（2）现有建筑物、构筑物和工程设施应按国家和钦州市现行有关标准进行鉴定，提出抗震加固、改建和拆迁的意见。</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56" w:name="_Toc27583"/>
      <w:r>
        <w:rPr>
          <w:rFonts w:ascii="宋体" w:eastAsia="宋体" w:cs="宋体" w:hAnsi="宋体" w:hint="eastAsia"/>
          <w:bCs/>
          <w:color w:val="auto"/>
          <w:sz w:val="32"/>
          <w:szCs w:val="32"/>
          <w:lang w:val="en-US" w:eastAsia="zh-CN"/>
        </w:rPr>
        <w:t>6.3防洪排涝</w:t>
      </w:r>
      <w:bookmarkEnd w:id="56"/>
    </w:p>
    <w:p>
      <w:pPr>
        <w:pStyle w:val="18"/>
        <w:autoSpaceDE w:val="0"/>
        <w:autoSpaceDN w:val="0"/>
        <w:spacing w:before="4" w:line="420" w:lineRule="auto"/>
        <w:ind w:left="118" w:right="351" w:firstLine="479"/>
        <w:rPr>
          <w:rFonts w:hint="eastAsia"/>
          <w:b/>
          <w:bCs/>
          <w:color w:val="auto"/>
          <w:sz w:val="28"/>
          <w:szCs w:val="28"/>
        </w:rPr>
      </w:pPr>
      <w:r>
        <w:rPr>
          <w:rFonts w:hint="eastAsia"/>
          <w:b/>
          <w:bCs/>
          <w:color w:val="auto"/>
          <w:sz w:val="28"/>
          <w:szCs w:val="28"/>
          <w:lang w:val="en-US" w:eastAsia="zh-CN"/>
        </w:rPr>
        <w:t xml:space="preserve">6.3.1 </w:t>
      </w:r>
      <w:r>
        <w:rPr>
          <w:rFonts w:hint="eastAsia"/>
          <w:b/>
          <w:bCs/>
          <w:color w:val="auto"/>
          <w:sz w:val="28"/>
          <w:szCs w:val="28"/>
        </w:rPr>
        <w:t>规划依据</w:t>
      </w:r>
    </w:p>
    <w:p>
      <w:pPr>
        <w:ind w:firstLineChars="200" w:firstLine="560"/>
        <w:jc w:val="left"/>
        <w:rPr>
          <w:rFonts w:eastAsia="宋体" w:hint="eastAsia"/>
          <w:color w:val="auto"/>
          <w:kern w:val="0"/>
          <w:sz w:val="28"/>
          <w:szCs w:val="28"/>
          <w:lang w:eastAsia="zh-CN"/>
        </w:rPr>
      </w:pPr>
      <w:r>
        <w:rPr>
          <w:rFonts w:hint="eastAsia"/>
          <w:color w:val="auto"/>
          <w:kern w:val="0"/>
          <w:sz w:val="28"/>
          <w:szCs w:val="28"/>
        </w:rPr>
        <w:t>（1）《中华人民共和国防洪法（</w:t>
      </w:r>
      <w:r>
        <w:rPr>
          <w:rFonts w:hint="eastAsia"/>
          <w:color w:val="auto"/>
          <w:kern w:val="0"/>
          <w:sz w:val="28"/>
          <w:szCs w:val="28"/>
          <w:lang w:val="en-US" w:eastAsia="zh-CN"/>
        </w:rPr>
        <w:t>2016修正</w:t>
      </w:r>
      <w:r>
        <w:rPr>
          <w:rFonts w:hint="eastAsia"/>
          <w:color w:val="auto"/>
          <w:kern w:val="0"/>
          <w:sz w:val="28"/>
          <w:szCs w:val="28"/>
        </w:rPr>
        <w:t>）》</w:t>
      </w:r>
      <w:r>
        <w:rPr>
          <w:rFonts w:hint="eastAsia"/>
          <w:color w:val="auto"/>
          <w:kern w:val="0"/>
          <w:sz w:val="28"/>
          <w:szCs w:val="28"/>
          <w:lang w:eastAsia="zh-CN"/>
        </w:rPr>
        <w:t>；</w:t>
      </w:r>
    </w:p>
    <w:p>
      <w:pPr>
        <w:ind w:firstLineChars="200" w:firstLine="560"/>
        <w:jc w:val="left"/>
        <w:rPr>
          <w:rFonts w:hint="eastAsia"/>
          <w:color w:val="auto"/>
          <w:kern w:val="0"/>
          <w:sz w:val="28"/>
          <w:szCs w:val="28"/>
          <w:lang w:eastAsia="zh-CN"/>
        </w:rPr>
      </w:pPr>
      <w:r>
        <w:rPr>
          <w:rFonts w:hint="eastAsia"/>
          <w:color w:val="auto"/>
          <w:kern w:val="0"/>
          <w:sz w:val="28"/>
          <w:szCs w:val="28"/>
        </w:rPr>
        <w:t>（</w:t>
      </w:r>
      <w:r>
        <w:rPr>
          <w:rFonts w:hint="eastAsia"/>
          <w:color w:val="auto"/>
          <w:kern w:val="0"/>
          <w:sz w:val="28"/>
          <w:szCs w:val="28"/>
          <w:lang w:val="en-US" w:eastAsia="zh-CN"/>
        </w:rPr>
        <w:t>2</w:t>
      </w:r>
      <w:r>
        <w:rPr>
          <w:rFonts w:hint="eastAsia"/>
          <w:color w:val="auto"/>
          <w:kern w:val="0"/>
          <w:sz w:val="28"/>
          <w:szCs w:val="28"/>
        </w:rPr>
        <w:t>）《防洪标准》</w:t>
      </w:r>
      <w:r>
        <w:rPr>
          <w:rFonts w:hint="eastAsia"/>
          <w:color w:val="auto"/>
          <w:kern w:val="0"/>
          <w:sz w:val="28"/>
          <w:szCs w:val="28"/>
          <w:lang w:eastAsia="zh-CN"/>
        </w:rPr>
        <w:t>（</w:t>
      </w:r>
      <w:r>
        <w:rPr>
          <w:rFonts w:hint="eastAsia"/>
          <w:color w:val="auto"/>
          <w:kern w:val="0"/>
          <w:sz w:val="28"/>
          <w:szCs w:val="28"/>
        </w:rPr>
        <w:t>GB50201-</w:t>
      </w:r>
      <w:r>
        <w:rPr>
          <w:rFonts w:hint="eastAsia"/>
          <w:color w:val="auto"/>
          <w:kern w:val="0"/>
          <w:sz w:val="28"/>
          <w:szCs w:val="28"/>
          <w:lang w:val="en-US" w:eastAsia="zh-CN"/>
        </w:rPr>
        <w:t>2014</w:t>
      </w:r>
      <w:r>
        <w:rPr>
          <w:rFonts w:hint="eastAsia"/>
          <w:color w:val="auto"/>
          <w:kern w:val="0"/>
          <w:sz w:val="28"/>
          <w:szCs w:val="28"/>
          <w:lang w:eastAsia="zh-CN"/>
        </w:rPr>
        <w:t>）；</w:t>
      </w:r>
    </w:p>
    <w:p>
      <w:pPr>
        <w:ind w:firstLineChars="200" w:firstLine="560"/>
        <w:jc w:val="left"/>
        <w:rPr>
          <w:rFonts w:hint="eastAsia"/>
          <w:color w:val="auto"/>
          <w:kern w:val="0"/>
          <w:sz w:val="28"/>
          <w:szCs w:val="28"/>
        </w:rPr>
      </w:pPr>
      <w:r>
        <w:rPr>
          <w:rFonts w:hint="eastAsia"/>
          <w:color w:val="auto"/>
          <w:kern w:val="0"/>
          <w:sz w:val="28"/>
          <w:szCs w:val="28"/>
          <w:lang w:eastAsia="zh-CN"/>
        </w:rPr>
        <w:t>（</w:t>
      </w:r>
      <w:r>
        <w:rPr>
          <w:rFonts w:hint="eastAsia"/>
          <w:color w:val="auto"/>
          <w:kern w:val="0"/>
          <w:sz w:val="28"/>
          <w:szCs w:val="28"/>
          <w:lang w:val="en-US" w:eastAsia="zh-CN"/>
        </w:rPr>
        <w:t>3</w:t>
      </w:r>
      <w:r>
        <w:rPr>
          <w:rFonts w:hint="eastAsia"/>
          <w:color w:val="auto"/>
          <w:kern w:val="0"/>
          <w:sz w:val="28"/>
          <w:szCs w:val="28"/>
          <w:lang w:eastAsia="zh-CN"/>
        </w:rPr>
        <w:t>）《风电场工程等级划分及设计安全标准》（NB/T 10101-2018）；</w:t>
      </w:r>
    </w:p>
    <w:p>
      <w:pPr>
        <w:ind w:firstLineChars="200" w:firstLine="560"/>
        <w:jc w:val="left"/>
        <w:rPr>
          <w:rFonts w:hint="eastAsia"/>
          <w:color w:val="auto"/>
          <w:kern w:val="0"/>
          <w:sz w:val="28"/>
          <w:szCs w:val="28"/>
        </w:rPr>
      </w:pPr>
      <w:r>
        <w:rPr>
          <w:rFonts w:hint="eastAsia"/>
          <w:color w:val="auto"/>
          <w:kern w:val="0"/>
          <w:sz w:val="28"/>
          <w:szCs w:val="28"/>
        </w:rPr>
        <w:t>（</w:t>
      </w:r>
      <w:r>
        <w:rPr>
          <w:rFonts w:hint="eastAsia"/>
          <w:color w:val="auto"/>
          <w:kern w:val="0"/>
          <w:sz w:val="28"/>
          <w:szCs w:val="28"/>
          <w:lang w:val="en-US" w:eastAsia="zh-CN"/>
        </w:rPr>
        <w:t>4</w:t>
      </w:r>
      <w:r>
        <w:rPr>
          <w:rFonts w:hint="eastAsia"/>
          <w:color w:val="auto"/>
          <w:kern w:val="0"/>
          <w:sz w:val="28"/>
          <w:szCs w:val="28"/>
        </w:rPr>
        <w:t>）《城市防洪工程设计规范》</w:t>
      </w:r>
      <w:r>
        <w:rPr>
          <w:rFonts w:hint="eastAsia"/>
          <w:color w:val="auto"/>
          <w:kern w:val="0"/>
          <w:sz w:val="28"/>
          <w:szCs w:val="28"/>
          <w:lang w:eastAsia="zh-CN"/>
        </w:rPr>
        <w:t>（</w:t>
      </w:r>
      <w:r>
        <w:rPr>
          <w:rFonts w:hint="eastAsia"/>
          <w:color w:val="auto"/>
          <w:kern w:val="0"/>
          <w:sz w:val="28"/>
          <w:szCs w:val="28"/>
        </w:rPr>
        <w:t>GB/T50805-2012</w:t>
      </w:r>
      <w:r>
        <w:rPr>
          <w:rFonts w:hint="eastAsia"/>
          <w:color w:val="auto"/>
          <w:kern w:val="0"/>
          <w:sz w:val="28"/>
          <w:szCs w:val="28"/>
          <w:lang w:eastAsia="zh-CN"/>
        </w:rPr>
        <w:t>）；</w:t>
      </w:r>
    </w:p>
    <w:p>
      <w:pPr>
        <w:ind w:firstLineChars="200" w:firstLine="560"/>
        <w:rPr>
          <w:rFonts w:eastAsia="宋体" w:hint="eastAsia"/>
          <w:color w:val="auto"/>
          <w:kern w:val="0"/>
          <w:sz w:val="28"/>
          <w:szCs w:val="28"/>
          <w:lang w:eastAsia="zh-CN"/>
        </w:rPr>
      </w:pPr>
      <w:r>
        <w:rPr>
          <w:rFonts w:hint="eastAsia"/>
          <w:color w:val="auto"/>
          <w:kern w:val="0"/>
          <w:sz w:val="28"/>
          <w:szCs w:val="28"/>
        </w:rPr>
        <w:t>（</w:t>
      </w:r>
      <w:r>
        <w:rPr>
          <w:rFonts w:hint="eastAsia"/>
          <w:color w:val="auto"/>
          <w:kern w:val="0"/>
          <w:sz w:val="28"/>
          <w:szCs w:val="28"/>
          <w:lang w:val="en-US" w:eastAsia="zh-CN"/>
        </w:rPr>
        <w:t>5</w:t>
      </w:r>
      <w:r>
        <w:rPr>
          <w:rFonts w:hint="eastAsia"/>
          <w:color w:val="auto"/>
          <w:kern w:val="0"/>
          <w:sz w:val="28"/>
          <w:szCs w:val="28"/>
        </w:rPr>
        <w:t>）《堤防工程设计规范》</w:t>
      </w:r>
      <w:r>
        <w:rPr>
          <w:rFonts w:hint="eastAsia"/>
          <w:color w:val="auto"/>
          <w:kern w:val="0"/>
          <w:sz w:val="28"/>
          <w:szCs w:val="28"/>
          <w:lang w:eastAsia="zh-CN"/>
        </w:rPr>
        <w:t>（</w:t>
      </w:r>
      <w:r>
        <w:rPr>
          <w:rFonts w:hint="eastAsia"/>
          <w:color w:val="auto"/>
          <w:kern w:val="0"/>
          <w:sz w:val="28"/>
          <w:szCs w:val="28"/>
        </w:rPr>
        <w:t>GB50286-2013</w:t>
      </w:r>
      <w:r>
        <w:rPr>
          <w:rFonts w:hint="eastAsia"/>
          <w:color w:val="auto"/>
          <w:kern w:val="0"/>
          <w:sz w:val="28"/>
          <w:szCs w:val="28"/>
          <w:lang w:eastAsia="zh-CN"/>
        </w:rPr>
        <w:t>）。</w:t>
      </w:r>
    </w:p>
    <w:p>
      <w:pPr>
        <w:pStyle w:val="18"/>
        <w:autoSpaceDE w:val="0"/>
        <w:autoSpaceDN w:val="0"/>
        <w:spacing w:before="4" w:line="420" w:lineRule="auto"/>
        <w:ind w:left="118" w:right="351" w:firstLine="479"/>
        <w:rPr>
          <w:rFonts w:hint="eastAsia"/>
          <w:color w:val="auto"/>
          <w:kern w:val="0"/>
          <w:sz w:val="28"/>
          <w:szCs w:val="28"/>
        </w:rPr>
      </w:pPr>
      <w:r>
        <w:rPr>
          <w:rFonts w:hint="eastAsia"/>
          <w:b/>
          <w:bCs/>
          <w:color w:val="auto"/>
          <w:sz w:val="28"/>
          <w:szCs w:val="28"/>
          <w:lang w:val="en-US" w:eastAsia="zh-CN"/>
        </w:rPr>
        <w:t xml:space="preserve">6.3.2 </w:t>
      </w:r>
      <w:r>
        <w:rPr>
          <w:rFonts w:hint="eastAsia"/>
          <w:b/>
          <w:bCs/>
          <w:color w:val="auto"/>
          <w:sz w:val="28"/>
          <w:szCs w:val="28"/>
          <w:lang w:eastAsia="zh-CN"/>
        </w:rPr>
        <w:t>防洪规划</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eastAsia="zh-CN"/>
        </w:rPr>
        <w:t>本</w:t>
      </w:r>
      <w:r>
        <w:rPr>
          <w:rFonts w:ascii="宋体" w:eastAsia="宋体" w:cs="宋体" w:hAnsi="宋体" w:hint="eastAsia"/>
          <w:color w:val="auto"/>
          <w:kern w:val="0"/>
          <w:sz w:val="28"/>
          <w:szCs w:val="28"/>
          <w:lang w:val="en-US" w:eastAsia="zh-CN"/>
        </w:rPr>
        <w:t>项目规划用地的地势相对所在镇区较高，该区域海拔在250-500m之间，属山区风力发电场。根据《风电场工程等级划分及设计安全标准》（NB/T 10101-2018）的规定，风电场工程建筑物应根据工程所处位置确定其洪(潮)水设计标准。本风电场位于广西</w:t>
      </w:r>
      <w:r>
        <w:rPr>
          <w:rFonts w:ascii="宋体" w:eastAsia="宋体" w:cs="宋体" w:hAnsi="宋体" w:hint="eastAsia"/>
          <w:color w:val="auto"/>
          <w:kern w:val="0"/>
          <w:sz w:val="28"/>
          <w:szCs w:val="28"/>
        </w:rPr>
        <w:t>钦州市钦北区小董镇</w:t>
      </w:r>
      <w:r>
        <w:rPr>
          <w:rFonts w:ascii="宋体" w:eastAsia="宋体" w:cs="宋体" w:hAnsi="宋体" w:hint="eastAsia"/>
          <w:color w:val="auto"/>
          <w:kern w:val="0"/>
          <w:sz w:val="28"/>
          <w:szCs w:val="28"/>
          <w:lang w:eastAsia="zh-CN"/>
        </w:rPr>
        <w:t>、平吉镇及大垌镇交界处山脊</w:t>
      </w:r>
      <w:r>
        <w:rPr>
          <w:rFonts w:ascii="宋体" w:eastAsia="宋体" w:cs="宋体" w:hAnsi="宋体" w:hint="eastAsia"/>
          <w:color w:val="auto"/>
          <w:kern w:val="0"/>
          <w:sz w:val="28"/>
          <w:szCs w:val="28"/>
          <w:lang w:val="en-US" w:eastAsia="zh-CN"/>
        </w:rPr>
        <w:t>上，属于山区的洪水设计标准。</w:t>
      </w:r>
    </w:p>
    <w:p>
      <w:pPr>
        <w:widowControl/>
        <w:spacing w:before="4" w:line="360" w:lineRule="auto"/>
        <w:ind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风电机组地基基础的洪水设计标准，应根据风电机组地基基础的设计等级确定，并符合《风电场工程等级划分及设计安全标准》（NB/T 10101-2018）表6.0.1的要求。</w:t>
      </w:r>
    </w:p>
    <w:p>
      <w:pPr>
        <w:widowControl/>
        <w:spacing w:before="4" w:line="360" w:lineRule="auto"/>
        <w:ind w:right="351"/>
        <w:jc w:val="left"/>
        <w:rPr>
          <w:color w:val="auto"/>
        </w:rPr>
      </w:pPr>
      <w:r>
        <w:rPr>
          <w:color w:val="auto"/>
        </w:rPr>
        <w:drawing>
          <wp:inline distT="0" distB="0" distL="114300" distR="114300">
            <wp:extent cx="5272404" cy="1203960"/>
            <wp:effectExtent l="0" t="0" r="16" b="19"/>
            <wp:docPr id="63" name="图片 2"/>
            <wp:cNvGraphicFramePr>
              <a:graphicFrameLocks noChangeAspect="1"/>
            </wp:cNvGraphicFramePr>
            <a:graphic>
              <a:graphicData uri="http://schemas.openxmlformats.org/drawingml/2006/picture">
                <pic:pic>
                  <pic:nvPicPr>
                    <pic:cNvPr id="65" name="图片 2 65"/>
                    <pic:cNvPicPr/>
                  </pic:nvPicPr>
                  <pic:blipFill>
                    <a:blip r:embed="rId24"/>
                    <a:stretch>
                      <a:fillRect/>
                    </a:stretch>
                  </pic:blipFill>
                  <pic:spPr>
                    <a:xfrm rot="0">
                      <a:off x="0" y="0"/>
                      <a:ext cx="5272404" cy="1203960"/>
                    </a:xfrm>
                    <a:prstGeom prst="rect"/>
                    <a:noFill/>
                    <a:ln w="9525" cmpd="sng" cap="flat">
                      <a:noFill/>
                      <a:prstDash val="solid"/>
                      <a:round/>
                    </a:ln>
                  </pic:spPr>
                </pic:pic>
              </a:graphicData>
            </a:graphic>
          </wp:inline>
        </w:drawing>
      </w:r>
    </w:p>
    <w:p>
      <w:pPr>
        <w:widowControl/>
        <w:spacing w:before="4" w:line="360" w:lineRule="auto"/>
        <w:ind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根据上表，本规划风电机组地基基础设计等级为甲级，洪水设计标准按50年重现期计。</w:t>
      </w:r>
    </w:p>
    <w:p>
      <w:pPr>
        <w:widowControl/>
        <w:spacing w:before="4" w:line="360" w:lineRule="auto"/>
        <w:ind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hint="eastAsia"/>
          <w:color w:val="auto"/>
          <w:kern w:val="0"/>
          <w:sz w:val="28"/>
          <w:szCs w:val="28"/>
          <w:lang w:val="en-US" w:eastAsia="zh-CN"/>
        </w:rPr>
        <w:t>风电场变电站的洪水设计标准，应根据风电场变电站的电压等级，按《风电场工程等级划分及设计安全标准》（NB/T 10101-2018）表6.0.2确定。</w:t>
      </w:r>
    </w:p>
    <w:p>
      <w:pPr>
        <w:widowControl/>
        <w:spacing w:before="4" w:line="360" w:lineRule="auto"/>
        <w:ind w:right="351"/>
        <w:jc w:val="left"/>
        <w:rPr>
          <w:rFonts w:ascii="宋体" w:eastAsia="宋体" w:cs="宋体" w:hAnsi="宋体" w:hint="eastAsia"/>
          <w:color w:val="auto"/>
          <w:kern w:val="0"/>
          <w:sz w:val="28"/>
          <w:szCs w:val="28"/>
          <w:lang w:val="en-US" w:eastAsia="zh-CN"/>
        </w:rPr>
      </w:pPr>
      <w:r>
        <w:rPr>
          <w:color w:val="auto"/>
        </w:rPr>
        <w:drawing>
          <wp:inline distT="0" distB="0" distL="114300" distR="114300">
            <wp:extent cx="5269230" cy="1201420"/>
            <wp:effectExtent l="0" t="0" r="15" b="45"/>
            <wp:docPr id="66" name="图片 1"/>
            <wp:cNvGraphicFramePr>
              <a:graphicFrameLocks noChangeAspect="1"/>
            </wp:cNvGraphicFramePr>
            <a:graphic>
              <a:graphicData uri="http://schemas.openxmlformats.org/drawingml/2006/picture">
                <pic:pic>
                  <pic:nvPicPr>
                    <pic:cNvPr id="68" name="图片 1 68"/>
                    <pic:cNvPicPr/>
                  </pic:nvPicPr>
                  <pic:blipFill>
                    <a:blip r:embed="rId25"/>
                    <a:stretch>
                      <a:fillRect/>
                    </a:stretch>
                  </pic:blipFill>
                  <pic:spPr>
                    <a:xfrm rot="0">
                      <a:off x="0" y="0"/>
                      <a:ext cx="5269230" cy="1201420"/>
                    </a:xfrm>
                    <a:prstGeom prst="rect"/>
                    <a:noFill/>
                    <a:ln w="9525" cmpd="sng" cap="flat">
                      <a:noFill/>
                      <a:prstDash val="solid"/>
                      <a:round/>
                    </a:ln>
                  </pic:spPr>
                </pic:pic>
              </a:graphicData>
            </a:graphic>
          </wp:inline>
        </w:drawing>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根据上表，本规划升压站的电压等级为110kV，洪水设计标准按50年重现期计。</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风电场项目属</w:t>
      </w:r>
      <w:r>
        <w:rPr>
          <w:rFonts w:ascii="宋体" w:eastAsia="宋体" w:cs="宋体" w:hAnsi="宋体" w:hint="eastAsia"/>
          <w:color w:val="auto"/>
          <w:kern w:val="0"/>
          <w:sz w:val="28"/>
          <w:szCs w:val="28"/>
        </w:rPr>
        <w:t>生命线工程</w:t>
      </w:r>
      <w:r>
        <w:rPr>
          <w:rFonts w:ascii="宋体" w:eastAsia="宋体" w:cs="宋体" w:hAnsi="宋体" w:hint="eastAsia"/>
          <w:color w:val="auto"/>
          <w:kern w:val="0"/>
          <w:sz w:val="28"/>
          <w:szCs w:val="28"/>
          <w:lang w:eastAsia="zh-CN"/>
        </w:rPr>
        <w:t>，应制定严格的防洪、防淹管理制度：</w:t>
      </w:r>
    </w:p>
    <w:p>
      <w:pPr>
        <w:widowControl/>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color w:val="auto"/>
          <w:kern w:val="0"/>
          <w:sz w:val="28"/>
          <w:szCs w:val="28"/>
          <w:lang w:val="en-US" w:eastAsia="zh-CN"/>
        </w:rPr>
        <w:t>（1）风电场升压站</w:t>
      </w:r>
      <w:r>
        <w:rPr>
          <w:rFonts w:ascii="宋体" w:eastAsia="宋体" w:cs="宋体" w:hAnsi="宋体" w:hint="eastAsia"/>
          <w:color w:val="auto"/>
          <w:kern w:val="0"/>
          <w:sz w:val="28"/>
          <w:szCs w:val="28"/>
          <w:lang w:val="en-US" w:eastAsia="zh-CN"/>
        </w:rPr>
        <w:t>及各风电机组</w:t>
      </w:r>
      <w:r>
        <w:rPr>
          <w:rFonts w:ascii="宋体" w:eastAsia="宋体" w:cs="宋体" w:hAnsi="宋体"/>
          <w:color w:val="auto"/>
          <w:kern w:val="0"/>
          <w:sz w:val="28"/>
          <w:szCs w:val="28"/>
          <w:lang w:val="en-US" w:eastAsia="zh-CN"/>
        </w:rPr>
        <w:t>建设选择地势较高处，区域内地面设有排水设施。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color w:val="auto"/>
          <w:kern w:val="0"/>
          <w:sz w:val="28"/>
          <w:szCs w:val="28"/>
          <w:lang w:val="en-US" w:eastAsia="zh-CN"/>
        </w:rPr>
        <w:t>（2）通向</w:t>
      </w:r>
      <w:r>
        <w:rPr>
          <w:rFonts w:ascii="宋体" w:eastAsia="宋体" w:cs="宋体" w:hAnsi="宋体" w:hint="eastAsia"/>
          <w:color w:val="auto"/>
          <w:kern w:val="0"/>
          <w:sz w:val="28"/>
          <w:szCs w:val="28"/>
          <w:lang w:val="en-US" w:eastAsia="zh-CN"/>
        </w:rPr>
        <w:t>站</w:t>
      </w:r>
      <w:r>
        <w:rPr>
          <w:rFonts w:ascii="宋体" w:eastAsia="宋体" w:cs="宋体" w:hAnsi="宋体"/>
          <w:color w:val="auto"/>
          <w:kern w:val="0"/>
          <w:sz w:val="28"/>
          <w:szCs w:val="28"/>
          <w:lang w:val="en-US" w:eastAsia="zh-CN"/>
        </w:rPr>
        <w:t>区建筑物外部的各种孔洞、管沟、通道、电缆沟设置相应的防洪措施</w:t>
      </w:r>
      <w:r>
        <w:rPr>
          <w:rFonts w:ascii="宋体" w:eastAsia="宋体" w:cs="宋体" w:hAnsi="宋体" w:hint="eastAsia"/>
          <w:color w:val="auto"/>
          <w:kern w:val="0"/>
          <w:sz w:val="28"/>
          <w:szCs w:val="28"/>
          <w:lang w:val="en-US" w:eastAsia="zh-CN"/>
        </w:rPr>
        <w:t>。</w:t>
      </w:r>
    </w:p>
    <w:p>
      <w:pPr>
        <w:widowControl/>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color w:val="auto"/>
          <w:kern w:val="0"/>
          <w:sz w:val="28"/>
          <w:szCs w:val="28"/>
          <w:lang w:val="en-US" w:eastAsia="zh-CN"/>
        </w:rPr>
        <w:t>（3）机械排水系统的水泵管道在排水管道上设置逆止阀。</w:t>
      </w:r>
    </w:p>
    <w:p>
      <w:pPr>
        <w:widowControl/>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color w:val="auto"/>
          <w:kern w:val="0"/>
          <w:sz w:val="28"/>
          <w:szCs w:val="28"/>
          <w:lang w:val="en-US" w:eastAsia="zh-CN"/>
        </w:rPr>
        <w:t>（4）防洪、防淹设施设有两个独立电源供电，任一电源均应满足工作负荷的要求</w:t>
      </w:r>
      <w:r>
        <w:rPr>
          <w:rFonts w:ascii="宋体" w:eastAsia="宋体" w:cs="宋体" w:hAnsi="宋体" w:hint="eastAsia"/>
          <w:color w:val="auto"/>
          <w:kern w:val="0"/>
          <w:sz w:val="28"/>
          <w:szCs w:val="28"/>
          <w:lang w:val="en-US"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eastAsia="zh-CN"/>
        </w:rPr>
        <w:t>升压站及风力发电机组基础应有防山洪和排山洪的措施，当遭遇特大暴雨时，需迅速地将场地雨水排出，</w:t>
      </w:r>
      <w:r>
        <w:rPr>
          <w:rFonts w:ascii="宋体" w:eastAsia="宋体" w:cs="宋体" w:hAnsi="宋体" w:hint="eastAsia"/>
          <w:color w:val="auto"/>
          <w:kern w:val="0"/>
          <w:sz w:val="28"/>
          <w:szCs w:val="28"/>
          <w:lang w:val="en-US" w:eastAsia="zh-CN"/>
        </w:rPr>
        <w:t>通过边坡防护，铺设排水沟等排水措施，加强项目区水土保持，具体措施如下：</w:t>
      </w:r>
    </w:p>
    <w:p>
      <w:pPr>
        <w:widowControl/>
        <w:numPr>
          <w:ilvl w:val="0"/>
          <w:numId w:val="4"/>
        </w:numPr>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升压站位于场区负荷中心地带，地面高程约为415m～418m，东南侧地势相比周围地势较低，可顺利排泄雨水。升压站用地地势平缓，周围无大的河流，站内受洪水、内涝等影响较小。升压站地面整平采用平坡式。站内排水考虑采用有组织排水方式，设排水明沟和管道。站内雨水经过管道排入附近地面，经东南侧自然坡面排出。</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风电机组防洪措施主要根据各现状场地竖向条件，确定场地和道路竖向，确定排水方向，排水坡度约为2%～3%，雨水主要往场地出入口方向排出场区检修道路的截洪排水沟，以</w:t>
      </w:r>
      <w:r>
        <w:rPr>
          <w:rFonts w:ascii="宋体" w:eastAsia="宋体" w:cs="宋体" w:hAnsi="宋体" w:hint="eastAsia"/>
          <w:color w:val="auto"/>
          <w:kern w:val="0"/>
          <w:sz w:val="28"/>
          <w:szCs w:val="28"/>
        </w:rPr>
        <w:t>山地冲沟和坑塘河道为主要排水出口迅速将雨水排出</w:t>
      </w:r>
      <w:r>
        <w:rPr>
          <w:rFonts w:ascii="宋体" w:eastAsia="宋体" w:cs="宋体" w:hAnsi="宋体" w:hint="eastAsia"/>
          <w:color w:val="auto"/>
          <w:kern w:val="0"/>
          <w:sz w:val="28"/>
          <w:szCs w:val="28"/>
          <w:lang w:val="en-US" w:eastAsia="zh-CN"/>
        </w:rPr>
        <w:t>。</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57" w:name="_Toc10701"/>
      <w:r>
        <w:rPr>
          <w:rFonts w:ascii="宋体" w:eastAsia="宋体" w:cs="宋体" w:hAnsi="宋体" w:hint="eastAsia"/>
          <w:bCs/>
          <w:color w:val="auto"/>
          <w:sz w:val="32"/>
          <w:szCs w:val="32"/>
          <w:lang w:val="en-US" w:eastAsia="zh-CN"/>
        </w:rPr>
        <w:t>6.4地质灾害防治规划</w:t>
      </w:r>
      <w:bookmarkEnd w:id="57"/>
    </w:p>
    <w:p>
      <w:pPr>
        <w:widowControl/>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color w:val="auto"/>
          <w:kern w:val="0"/>
          <w:sz w:val="28"/>
          <w:szCs w:val="28"/>
          <w:lang w:val="en-US" w:eastAsia="zh-CN"/>
        </w:rPr>
        <w:t>贯彻“以防为主，避让与治理相结合，全面规划，综合治理”的方针，坚持近期规划与</w:t>
      </w:r>
      <w:r>
        <w:rPr>
          <w:rFonts w:ascii="宋体" w:eastAsia="宋体" w:cs="宋体" w:hAnsi="宋体" w:hint="eastAsia"/>
          <w:color w:val="auto"/>
          <w:kern w:val="0"/>
          <w:sz w:val="28"/>
          <w:szCs w:val="28"/>
          <w:lang w:val="en-US" w:eastAsia="zh-CN"/>
        </w:rPr>
        <w:t>远</w:t>
      </w:r>
      <w:r>
        <w:rPr>
          <w:rFonts w:ascii="宋体" w:eastAsia="宋体" w:cs="宋体" w:hAnsi="宋体"/>
          <w:color w:val="auto"/>
          <w:kern w:val="0"/>
          <w:sz w:val="28"/>
          <w:szCs w:val="28"/>
          <w:lang w:val="en-US" w:eastAsia="zh-CN"/>
        </w:rPr>
        <w:t>期规划相结合、地质灾害体系全面规划与综合规划相结合、非工程治理（预防、避让）与工程治理相结合的原则，综合治理，统筹兼顾，突出重点，量力而行，分阶段实施。建立和完善地质灾害防治法规体系、行政监督管理体系和监测预报群测群防体系，对重点地区、重点灾害做到长期监测，及时预报，逐步治理，尽可能降低地质灾害发生率和损失，争取达到减少固定保护目标遇突发性地质灾害时的人员伤亡，减少重要建筑受地质灾害破坏。</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根据《地质灾害防治条例》第二十四条：“对经评估认为可能引发地质灾害或者可能遭受地质灾害危害的建设工程，应当配套建设地质灾害治理工程。地质灾害治理工程的设计、施工和验收应当与主体工程的设计、施工、验收同时进行。配套的地质灾害治理工程未经验收或者经验收不合格的，主体工程不得投入生产或者使用。”</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color w:val="auto"/>
          <w:kern w:val="0"/>
          <w:sz w:val="28"/>
          <w:szCs w:val="28"/>
          <w:lang w:val="en-US" w:eastAsia="zh-CN"/>
        </w:rPr>
        <w:t>工程建设施工前应进行详细的岩土工程勘察，查明场地岩土体的分布特征，查明建设场地浅层溶洞、隐伏土洞、软弱土体的分布特征。</w:t>
      </w:r>
      <w:r>
        <w:rPr>
          <w:rFonts w:ascii="宋体" w:eastAsia="宋体" w:cs="宋体" w:hAnsi="宋体" w:hint="eastAsia"/>
          <w:color w:val="auto"/>
          <w:kern w:val="0"/>
          <w:sz w:val="28"/>
          <w:szCs w:val="28"/>
          <w:lang w:val="en-US" w:eastAsia="zh-CN"/>
        </w:rPr>
        <w:t>对可能引发地质灾害或者可能遭受地质灾害危害的建设工程，配套建设地质灾害治理工程。</w:t>
      </w:r>
      <w:r>
        <w:rPr>
          <w:rFonts w:ascii="宋体" w:eastAsia="宋体" w:cs="宋体" w:hAnsi="宋体"/>
          <w:color w:val="auto"/>
          <w:kern w:val="0"/>
          <w:sz w:val="28"/>
          <w:szCs w:val="28"/>
          <w:lang w:val="en-US" w:eastAsia="zh-CN"/>
        </w:rPr>
        <w:t>在工程建设和投入使用后对可能出现的不同地质灾害类型采取相应的防治措施，并加强监测，防止引发和遭受地质灾害</w:t>
      </w:r>
      <w:r>
        <w:rPr>
          <w:rFonts w:ascii="宋体" w:eastAsia="宋体" w:cs="宋体" w:hAnsi="宋体" w:hint="eastAsia"/>
          <w:color w:val="auto"/>
          <w:kern w:val="0"/>
          <w:sz w:val="28"/>
          <w:szCs w:val="28"/>
          <w:lang w:val="en-US" w:eastAsia="zh-CN"/>
        </w:rPr>
        <w:t>。</w:t>
      </w:r>
    </w:p>
    <w:p>
      <w:pPr>
        <w:pStyle w:val="1"/>
        <w:numPr>
          <w:ilvl w:val="0"/>
          <w:numId w:val="0"/>
        </w:numPr>
        <w:spacing w:before="260" w:line="360" w:lineRule="auto"/>
        <w:ind w:left="420" w:right="351"/>
        <w:jc w:val="center"/>
        <w:rPr>
          <w:rFonts w:ascii="宋体" w:eastAsia="宋体" w:cs="宋体" w:hAnsi="宋体"/>
          <w:bCs/>
          <w:color w:val="auto"/>
          <w:sz w:val="32"/>
          <w:szCs w:val="32"/>
        </w:rPr>
      </w:pPr>
      <w:bookmarkStart w:id="58" w:name="_Toc27299"/>
      <w:r>
        <w:rPr>
          <w:rFonts w:ascii="宋体" w:eastAsia="宋体" w:cs="宋体" w:hAnsi="宋体" w:hint="eastAsia"/>
          <w:bCs/>
          <w:color w:val="auto"/>
          <w:sz w:val="32"/>
          <w:szCs w:val="32"/>
          <w:lang w:eastAsia="zh-CN"/>
        </w:rPr>
        <w:t>第七章</w:t>
      </w:r>
      <w:r>
        <w:rPr>
          <w:rFonts w:ascii="宋体" w:eastAsia="宋体" w:cs="宋体" w:hAnsi="宋体" w:hint="eastAsia"/>
          <w:bCs/>
          <w:color w:val="auto"/>
          <w:sz w:val="32"/>
          <w:szCs w:val="32"/>
          <w:lang w:val="en-US" w:eastAsia="zh-CN"/>
        </w:rPr>
        <w:t xml:space="preserve"> </w:t>
      </w:r>
      <w:r>
        <w:rPr>
          <w:rFonts w:ascii="宋体" w:eastAsia="宋体" w:cs="宋体" w:hAnsi="宋体" w:hint="eastAsia"/>
          <w:bCs/>
          <w:color w:val="auto"/>
          <w:sz w:val="32"/>
          <w:szCs w:val="32"/>
          <w:lang w:eastAsia="zh-CN"/>
        </w:rPr>
        <w:t>地块管控</w:t>
      </w:r>
      <w:r>
        <w:rPr>
          <w:rFonts w:ascii="宋体" w:eastAsia="宋体" w:cs="宋体" w:hAnsi="宋体" w:hint="eastAsia"/>
          <w:bCs/>
          <w:color w:val="auto"/>
          <w:sz w:val="32"/>
          <w:szCs w:val="32"/>
        </w:rPr>
        <w:t>规划</w:t>
      </w:r>
      <w:bookmarkEnd w:id="58"/>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59" w:name="_Toc24788"/>
      <w:r>
        <w:rPr>
          <w:rFonts w:ascii="宋体" w:eastAsia="宋体" w:cs="宋体" w:hAnsi="宋体" w:hint="eastAsia"/>
          <w:bCs/>
          <w:color w:val="auto"/>
          <w:sz w:val="32"/>
          <w:szCs w:val="32"/>
          <w:lang w:val="en-US" w:eastAsia="zh-CN"/>
        </w:rPr>
        <w:t>7.1地块控制内容</w:t>
      </w:r>
      <w:bookmarkEnd w:id="59"/>
    </w:p>
    <w:p>
      <w:pPr>
        <w:widowControl/>
        <w:spacing w:before="4" w:line="360" w:lineRule="auto"/>
        <w:ind w:left="118" w:right="351" w:firstLineChars="200" w:firstLine="560"/>
        <w:jc w:val="left"/>
        <w:rPr>
          <w:rFonts w:hint="eastAsia"/>
          <w:color w:val="auto"/>
          <w:lang w:val="en-US" w:eastAsia="zh-CN"/>
        </w:rPr>
      </w:pPr>
      <w:r>
        <w:rPr>
          <w:rFonts w:ascii="宋体" w:eastAsia="宋体" w:cs="宋体" w:hAnsi="宋体" w:hint="eastAsia"/>
          <w:color w:val="auto"/>
          <w:kern w:val="0"/>
          <w:sz w:val="28"/>
          <w:szCs w:val="28"/>
          <w:lang w:val="en-US" w:eastAsia="zh-CN"/>
        </w:rPr>
        <w:t>本规划为</w:t>
      </w:r>
      <w:r>
        <w:rPr>
          <w:rFonts w:ascii="宋体" w:eastAsia="宋体" w:cs="宋体" w:hAnsi="宋体" w:hint="eastAsia"/>
          <w:color w:val="auto"/>
          <w:kern w:val="0"/>
          <w:sz w:val="28"/>
          <w:szCs w:val="28"/>
          <w:lang w:eastAsia="zh-CN"/>
        </w:rPr>
        <w:t>钦北区古道岭风电场一期工程</w:t>
      </w:r>
      <w:r>
        <w:rPr>
          <w:rFonts w:ascii="宋体" w:eastAsia="宋体" w:cs="宋体" w:hAnsi="宋体" w:hint="eastAsia"/>
          <w:color w:val="auto"/>
          <w:kern w:val="0"/>
          <w:sz w:val="28"/>
          <w:szCs w:val="28"/>
          <w:lang w:val="en-US" w:eastAsia="zh-CN"/>
        </w:rPr>
        <w:t>项目独立地块控规，本章节重点对项目升压站地块的建设提出</w:t>
      </w:r>
      <w:r>
        <w:rPr>
          <w:rFonts w:ascii="宋体" w:eastAsia="宋体" w:cs="宋体" w:hAnsi="宋体" w:hint="eastAsia"/>
          <w:color w:val="auto"/>
          <w:kern w:val="0"/>
          <w:sz w:val="28"/>
          <w:szCs w:val="28"/>
          <w:lang w:eastAsia="zh-CN"/>
        </w:rPr>
        <w:t>合理的建设容量控制指标，</w:t>
      </w:r>
      <w:r>
        <w:rPr>
          <w:rFonts w:ascii="宋体" w:eastAsia="宋体" w:cs="宋体" w:hAnsi="宋体" w:hint="eastAsia"/>
          <w:color w:val="auto"/>
          <w:kern w:val="0"/>
          <w:sz w:val="28"/>
          <w:szCs w:val="28"/>
          <w:lang w:val="en-US" w:eastAsia="zh-CN"/>
        </w:rPr>
        <w:t>主要包括容积率、建筑密度、建筑限高、绿地率以及规划控制线、建筑退线、建筑控制、交通管控、停车位配建等方面。其余风电机组用地着重在容积率方面进行管控。其中，各地块的用地性质、用地面积、容积率、建筑密度/建筑系数、绿地率、建筑限高为约束性指标。具体控制指标详见各地块图则。</w:t>
      </w:r>
    </w:p>
    <w:p>
      <w:pPr>
        <w:pStyle w:val="18"/>
        <w:widowControl/>
        <w:autoSpaceDE w:val="0"/>
        <w:autoSpaceDN w:val="0"/>
        <w:spacing w:before="4" w:line="420" w:lineRule="auto"/>
        <w:ind w:left="118" w:right="351" w:firstLineChars="200" w:firstLine="560"/>
        <w:jc w:val="left"/>
        <w:rPr>
          <w:rFonts w:ascii="宋体" w:eastAsia="宋体" w:cs="宋体" w:hAnsi="宋体" w:hint="eastAsia"/>
          <w:b/>
          <w:bCs/>
          <w:color w:val="auto"/>
          <w:kern w:val="0"/>
          <w:sz w:val="28"/>
          <w:szCs w:val="28"/>
        </w:rPr>
      </w:pPr>
      <w:r>
        <w:rPr>
          <w:rFonts w:hint="eastAsia"/>
          <w:b/>
          <w:bCs/>
          <w:color w:val="auto"/>
          <w:sz w:val="28"/>
          <w:szCs w:val="28"/>
          <w:lang w:val="en-US" w:eastAsia="zh-CN"/>
        </w:rPr>
        <w:t>7.1.1</w:t>
      </w:r>
      <w:r>
        <w:rPr>
          <w:rFonts w:hint="eastAsia"/>
          <w:color w:val="auto"/>
        </w:rPr>
        <w:t xml:space="preserve"> </w:t>
      </w:r>
      <w:r>
        <w:rPr>
          <w:rFonts w:hint="eastAsia"/>
          <w:b/>
          <w:bCs/>
          <w:color w:val="auto"/>
          <w:sz w:val="28"/>
          <w:szCs w:val="28"/>
          <w:lang w:eastAsia="zh-CN"/>
        </w:rPr>
        <w:t>容积率</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hint="eastAsia"/>
          <w:color w:val="auto"/>
          <w:sz w:val="28"/>
          <w:szCs w:val="28"/>
          <w:lang w:eastAsia="zh-CN"/>
        </w:rPr>
        <w:t>（</w:t>
      </w:r>
      <w:r>
        <w:rPr>
          <w:rFonts w:hint="eastAsia"/>
          <w:color w:val="auto"/>
          <w:sz w:val="28"/>
          <w:szCs w:val="28"/>
          <w:lang w:val="en-US" w:eastAsia="zh-CN"/>
        </w:rPr>
        <w:t>1</w:t>
      </w:r>
      <w:r>
        <w:rPr>
          <w:rFonts w:hint="eastAsia"/>
          <w:color w:val="auto"/>
          <w:sz w:val="28"/>
          <w:szCs w:val="28"/>
          <w:lang w:eastAsia="zh-CN"/>
        </w:rPr>
        <w:t>）升压站用地容积率控制</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eastAsia="zh-CN"/>
        </w:rPr>
        <w:t>参照</w:t>
      </w:r>
      <w:r>
        <w:rPr>
          <w:rFonts w:ascii="宋体" w:eastAsia="宋体" w:cs="宋体" w:hAnsi="宋体" w:hint="eastAsia"/>
          <w:color w:val="auto"/>
          <w:kern w:val="0"/>
          <w:sz w:val="28"/>
          <w:szCs w:val="28"/>
        </w:rPr>
        <w:t>《风电场工程设计导则》</w:t>
      </w:r>
      <w:r>
        <w:rPr>
          <w:rFonts w:ascii="宋体" w:eastAsia="宋体" w:cs="宋体" w:hAnsi="宋体" w:hint="eastAsia"/>
          <w:color w:val="auto"/>
          <w:kern w:val="0"/>
          <w:sz w:val="28"/>
          <w:szCs w:val="28"/>
          <w:lang w:eastAsia="zh-CN"/>
        </w:rPr>
        <w:t>第</w:t>
      </w:r>
      <w:r>
        <w:rPr>
          <w:rFonts w:ascii="宋体" w:eastAsia="宋体" w:cs="宋体" w:hAnsi="宋体" w:hint="eastAsia"/>
          <w:color w:val="auto"/>
          <w:kern w:val="0"/>
          <w:sz w:val="28"/>
          <w:szCs w:val="28"/>
          <w:lang w:val="en-US" w:eastAsia="zh-CN"/>
        </w:rPr>
        <w:t>5.5.2.13章节</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100MW及以上风电场变电站35kV配电装置宜布置在靠近主变的位置，35kV配电装置从工艺布置、人员安全上考虑可不与综合楼合并。若变电站为地区的中心站，可根据需要增大建筑面积</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ascii="宋体" w:eastAsia="宋体" w:cs="宋体" w:hAnsi="宋体" w:hint="eastAsia"/>
          <w:color w:val="auto"/>
          <w:kern w:val="0"/>
          <w:sz w:val="28"/>
          <w:szCs w:val="28"/>
          <w:lang w:val="en-US" w:eastAsia="zh-CN"/>
        </w:rPr>
        <w:t>第5.5.4.2.11章节</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分期建设的风电场，变电站的设计应根据整体规划统一考虑。变电站征地应尽量一次完成，综合楼要按风电场总体规划设计，在一期一次施工完成。电气配电装置及设备在不影响运行的情况下可根据规划工期分期施工。</w:t>
      </w:r>
      <w:r>
        <w:rPr>
          <w:rFonts w:ascii="宋体" w:eastAsia="宋体" w:cs="宋体" w:hAnsi="宋体" w:hint="eastAsia"/>
          <w:color w:val="auto"/>
          <w:kern w:val="0"/>
          <w:sz w:val="28"/>
          <w:szCs w:val="28"/>
          <w:lang w:eastAsia="zh-CN"/>
        </w:rPr>
        <w:t>”</w:t>
      </w:r>
    </w:p>
    <w:p>
      <w:pPr>
        <w:widowControl/>
        <w:spacing w:before="4" w:line="360" w:lineRule="auto"/>
        <w:ind w:left="560" w:right="351" w:hangingChars="200" w:hanging="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drawing>
          <wp:inline distT="0" distB="0" distL="114300" distR="114300">
            <wp:extent cx="5213984" cy="2411729"/>
            <wp:effectExtent l="0" t="0" r="16" b="36"/>
            <wp:docPr id="69" name="图片 10" descr="QQ20250219-181138"/>
            <wp:cNvGraphicFramePr>
              <a:graphicFrameLocks noChangeAspect="1"/>
            </wp:cNvGraphicFramePr>
            <a:graphic>
              <a:graphicData uri="http://schemas.openxmlformats.org/drawingml/2006/picture">
                <pic:pic>
                  <pic:nvPicPr>
                    <pic:cNvPr id="71" name="图片 10 71"/>
                    <pic:cNvPicPr/>
                  </pic:nvPicPr>
                  <pic:blipFill>
                    <a:blip r:embed="rId26"/>
                    <a:stretch>
                      <a:fillRect/>
                    </a:stretch>
                  </pic:blipFill>
                  <pic:spPr>
                    <a:xfrm rot="0">
                      <a:off x="0" y="0"/>
                      <a:ext cx="5213984" cy="2411729"/>
                    </a:xfrm>
                    <a:prstGeom prst="rect"/>
                    <a:noFill/>
                    <a:ln w="9525" cmpd="sng" cap="flat">
                      <a:noFill/>
                      <a:prstDash val="solid"/>
                      <a:miter/>
                    </a:ln>
                  </pic:spPr>
                </pic:pic>
              </a:graphicData>
            </a:graphic>
          </wp:inline>
        </w:drawing>
      </w:r>
    </w:p>
    <w:p>
      <w:pPr>
        <w:widowControl/>
        <w:spacing w:before="4" w:line="360" w:lineRule="auto"/>
        <w:ind w:left="0"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eastAsia="zh-CN"/>
        </w:rPr>
        <w:t>本项目规划建设的升压站用地为整个钦北区古道岭风电场的中心站，用地面积为</w:t>
      </w:r>
      <w:r>
        <w:rPr>
          <w:rFonts w:ascii="宋体" w:eastAsia="宋体" w:cs="宋体" w:hAnsi="宋体" w:hint="eastAsia"/>
          <w:color w:val="auto"/>
          <w:kern w:val="0"/>
          <w:sz w:val="28"/>
          <w:szCs w:val="28"/>
          <w:lang w:val="en-US" w:eastAsia="zh-CN"/>
        </w:rPr>
        <w:t>6017.44平方米，</w:t>
      </w:r>
      <w:r>
        <w:rPr>
          <w:rFonts w:ascii="宋体" w:eastAsia="宋体" w:cs="宋体" w:hAnsi="宋体" w:hint="eastAsia"/>
          <w:color w:val="auto"/>
          <w:kern w:val="0"/>
          <w:sz w:val="28"/>
          <w:szCs w:val="28"/>
          <w:lang w:eastAsia="zh-CN"/>
        </w:rPr>
        <w:t>风电场及电气配电设施分期建设，一期装机容量为</w:t>
      </w:r>
      <w:r>
        <w:rPr>
          <w:rFonts w:ascii="宋体" w:eastAsia="宋体" w:cs="宋体" w:hAnsi="宋体" w:hint="eastAsia"/>
          <w:color w:val="auto"/>
          <w:kern w:val="0"/>
          <w:sz w:val="28"/>
          <w:szCs w:val="28"/>
          <w:lang w:val="en-US" w:eastAsia="zh-CN"/>
        </w:rPr>
        <w:t>50MW，</w:t>
      </w:r>
      <w:r>
        <w:rPr>
          <w:rFonts w:ascii="宋体" w:eastAsia="宋体" w:cs="宋体" w:hAnsi="宋体" w:hint="eastAsia"/>
          <w:color w:val="auto"/>
          <w:kern w:val="0"/>
          <w:sz w:val="28"/>
          <w:szCs w:val="28"/>
          <w:lang w:eastAsia="zh-CN"/>
        </w:rPr>
        <w:t>远期总装机容量规模为</w:t>
      </w:r>
      <w:r>
        <w:rPr>
          <w:rFonts w:ascii="宋体" w:eastAsia="宋体" w:cs="宋体" w:hAnsi="宋体" w:hint="eastAsia"/>
          <w:color w:val="auto"/>
          <w:kern w:val="0"/>
          <w:sz w:val="28"/>
          <w:szCs w:val="28"/>
          <w:lang w:val="en-US" w:eastAsia="zh-CN"/>
        </w:rPr>
        <w:t>200MW。对应上</w:t>
      </w:r>
      <w:r>
        <w:rPr>
          <w:rFonts w:ascii="宋体" w:eastAsia="宋体" w:cs="宋体" w:hAnsi="宋体"/>
          <w:color w:val="auto"/>
          <w:kern w:val="0"/>
          <w:sz w:val="28"/>
          <w:szCs w:val="28"/>
          <w:lang w:val="en-US" w:eastAsia="zh-CN"/>
        </w:rPr>
        <w:t>标</w:t>
      </w:r>
      <w:r>
        <w:rPr>
          <w:rFonts w:ascii="宋体" w:eastAsia="宋体" w:cs="宋体" w:hAnsi="宋体" w:hint="eastAsia"/>
          <w:color w:val="auto"/>
          <w:kern w:val="0"/>
          <w:sz w:val="28"/>
          <w:szCs w:val="28"/>
          <w:lang w:eastAsia="zh-CN"/>
        </w:rPr>
        <w:t>容量为</w:t>
      </w:r>
      <w:r>
        <w:rPr>
          <w:rFonts w:ascii="宋体" w:eastAsia="宋体" w:cs="宋体" w:hAnsi="宋体" w:hint="eastAsia"/>
          <w:color w:val="auto"/>
          <w:kern w:val="0"/>
          <w:sz w:val="28"/>
          <w:szCs w:val="28"/>
          <w:lang w:val="en-US" w:eastAsia="zh-CN"/>
        </w:rPr>
        <w:t>200MW风电场综合楼的建筑规模约2300㎡，除综合楼外，还有配电楼、水泵房、备品备件库房等辅助生产建筑以及分期建设的电气配电设施等未在上表列出，为了发挥</w:t>
      </w:r>
      <w:r>
        <w:rPr>
          <w:rFonts w:ascii="宋体" w:eastAsia="宋体" w:cs="宋体" w:hAnsi="宋体" w:hint="eastAsia"/>
          <w:color w:val="auto"/>
          <w:kern w:val="0"/>
          <w:sz w:val="28"/>
          <w:szCs w:val="28"/>
          <w:lang w:eastAsia="zh-CN"/>
        </w:rPr>
        <w:t>地区中心站的最大供电效益，</w:t>
      </w:r>
      <w:r>
        <w:rPr>
          <w:rFonts w:ascii="宋体" w:eastAsia="宋体" w:cs="宋体" w:hAnsi="宋体" w:hint="eastAsia"/>
          <w:color w:val="auto"/>
          <w:kern w:val="0"/>
          <w:sz w:val="28"/>
          <w:szCs w:val="28"/>
          <w:lang w:val="en-US" w:eastAsia="zh-CN"/>
        </w:rPr>
        <w:t>根据实际适当增加建筑面积，提高地块容积率，节约用地，提高场地使用效益，</w:t>
      </w:r>
      <w:r>
        <w:rPr>
          <w:rFonts w:ascii="宋体" w:eastAsia="宋体" w:cs="宋体" w:hAnsi="宋体" w:hint="eastAsia"/>
          <w:color w:val="auto"/>
          <w:kern w:val="0"/>
          <w:sz w:val="28"/>
          <w:szCs w:val="28"/>
          <w:lang w:eastAsia="zh-CN"/>
        </w:rPr>
        <w:t>规划本项目升压站地块</w:t>
      </w:r>
      <w:r>
        <w:rPr>
          <w:rFonts w:ascii="宋体" w:eastAsia="宋体" w:cs="宋体" w:hAnsi="宋体" w:hint="eastAsia"/>
          <w:color w:val="auto"/>
          <w:kern w:val="0"/>
          <w:sz w:val="28"/>
          <w:szCs w:val="28"/>
          <w:lang w:val="en-US" w:eastAsia="zh-CN"/>
        </w:rPr>
        <w:t>容积</w:t>
      </w:r>
      <w:r>
        <w:rPr>
          <w:rFonts w:ascii="宋体" w:eastAsia="宋体" w:cs="宋体" w:hAnsi="宋体" w:hint="eastAsia"/>
          <w:color w:val="auto"/>
          <w:kern w:val="0"/>
          <w:sz w:val="28"/>
          <w:szCs w:val="28"/>
          <w:lang w:eastAsia="zh-CN"/>
        </w:rPr>
        <w:t>率控制为</w:t>
      </w:r>
      <w:r>
        <w:rPr>
          <w:rFonts w:ascii="宋体" w:eastAsia="宋体" w:cs="宋体" w:hAnsi="宋体" w:hint="eastAsia"/>
          <w:color w:val="auto"/>
          <w:kern w:val="0"/>
          <w:sz w:val="28"/>
          <w:szCs w:val="28"/>
          <w:lang w:val="en-US" w:eastAsia="zh-CN"/>
        </w:rPr>
        <w:t>R</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1.0。</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hint="eastAsia"/>
          <w:color w:val="auto"/>
          <w:sz w:val="28"/>
          <w:szCs w:val="28"/>
          <w:lang w:eastAsia="zh-CN"/>
        </w:rPr>
        <w:t>（</w:t>
      </w:r>
      <w:r>
        <w:rPr>
          <w:rFonts w:hint="eastAsia"/>
          <w:color w:val="auto"/>
          <w:sz w:val="28"/>
          <w:szCs w:val="28"/>
          <w:lang w:val="en-US" w:eastAsia="zh-CN"/>
        </w:rPr>
        <w:t>2</w:t>
      </w:r>
      <w:r>
        <w:rPr>
          <w:rFonts w:hint="eastAsia"/>
          <w:color w:val="auto"/>
          <w:sz w:val="28"/>
          <w:szCs w:val="28"/>
          <w:lang w:eastAsia="zh-CN"/>
        </w:rPr>
        <w:t>）风电机组和箱变用地容积率控制</w:t>
      </w:r>
    </w:p>
    <w:p>
      <w:pPr>
        <w:widowControl/>
        <w:spacing w:before="4" w:line="360" w:lineRule="auto"/>
        <w:ind w:left="0"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hint="eastAsia"/>
          <w:color w:val="auto"/>
          <w:kern w:val="0"/>
          <w:sz w:val="28"/>
          <w:szCs w:val="28"/>
          <w:lang w:eastAsia="zh-CN"/>
        </w:rPr>
        <w:t>风机属于大型构筑物，风机和箱式变压器由于常年运转难免会出现设备问题，如更换设备，从运输、施工吊装整个过程较困难，因此，风机和箱变用地内需要建设小型的临时检修站对其定期检查、保养和维护，待设备正常运行时即拆除临建建筑。本规划控制</w:t>
      </w:r>
      <w:r>
        <w:rPr>
          <w:rFonts w:hint="eastAsia"/>
          <w:color w:val="auto"/>
          <w:sz w:val="28"/>
          <w:szCs w:val="28"/>
          <w:lang w:eastAsia="zh-CN"/>
        </w:rPr>
        <w:t>风机和箱变用地</w:t>
      </w:r>
      <w:r>
        <w:rPr>
          <w:rFonts w:ascii="宋体" w:eastAsia="宋体" w:cs="宋体" w:hAnsi="宋体" w:hint="eastAsia"/>
          <w:color w:val="auto"/>
          <w:kern w:val="0"/>
          <w:sz w:val="28"/>
          <w:szCs w:val="28"/>
          <w:lang w:val="en-US" w:eastAsia="zh-CN"/>
        </w:rPr>
        <w:t>容积</w:t>
      </w:r>
      <w:r>
        <w:rPr>
          <w:rFonts w:ascii="宋体" w:eastAsia="宋体" w:cs="宋体" w:hAnsi="宋体" w:hint="eastAsia"/>
          <w:color w:val="auto"/>
          <w:kern w:val="0"/>
          <w:sz w:val="28"/>
          <w:szCs w:val="28"/>
          <w:lang w:eastAsia="zh-CN"/>
        </w:rPr>
        <w:t>率为</w:t>
      </w:r>
      <w:r>
        <w:rPr>
          <w:rFonts w:ascii="宋体" w:eastAsia="宋体" w:cs="宋体" w:hAnsi="宋体" w:hint="eastAsia"/>
          <w:color w:val="auto"/>
          <w:kern w:val="0"/>
          <w:sz w:val="28"/>
          <w:szCs w:val="28"/>
          <w:lang w:val="en-US" w:eastAsia="zh-CN"/>
        </w:rPr>
        <w:t>R</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0.2。</w:t>
      </w:r>
    </w:p>
    <w:p>
      <w:pPr>
        <w:pStyle w:val="18"/>
        <w:widowControl/>
        <w:autoSpaceDE w:val="0"/>
        <w:autoSpaceDN w:val="0"/>
        <w:spacing w:before="4" w:line="420" w:lineRule="auto"/>
        <w:ind w:left="118" w:right="351" w:firstLineChars="200" w:firstLine="560"/>
        <w:jc w:val="left"/>
        <w:rPr>
          <w:rFonts w:ascii="宋体" w:eastAsia="宋体" w:cs="宋体" w:hAnsi="宋体" w:hint="eastAsia"/>
          <w:b/>
          <w:bCs/>
          <w:color w:val="auto"/>
          <w:kern w:val="0"/>
          <w:sz w:val="28"/>
          <w:szCs w:val="28"/>
        </w:rPr>
      </w:pPr>
      <w:r>
        <w:rPr>
          <w:rFonts w:hint="eastAsia"/>
          <w:b/>
          <w:bCs/>
          <w:color w:val="auto"/>
          <w:sz w:val="28"/>
          <w:szCs w:val="28"/>
          <w:lang w:val="en-US" w:eastAsia="zh-CN"/>
        </w:rPr>
        <w:t xml:space="preserve">7.1.2 </w:t>
      </w:r>
      <w:r>
        <w:rPr>
          <w:rFonts w:hint="eastAsia"/>
          <w:b/>
          <w:bCs/>
          <w:color w:val="auto"/>
          <w:sz w:val="28"/>
          <w:szCs w:val="28"/>
          <w:lang w:eastAsia="zh-CN"/>
        </w:rPr>
        <w:t>建筑密度</w:t>
      </w:r>
    </w:p>
    <w:p>
      <w:pPr>
        <w:widowControl/>
        <w:spacing w:before="4" w:line="360" w:lineRule="auto"/>
        <w:ind w:left="118" w:right="351" w:firstLineChars="200" w:firstLine="560"/>
        <w:jc w:val="left"/>
        <w:rPr>
          <w:rFonts w:hint="eastAsia"/>
          <w:color w:val="auto"/>
          <w:sz w:val="28"/>
          <w:szCs w:val="28"/>
          <w:lang w:eastAsia="zh-CN"/>
        </w:rPr>
      </w:pPr>
      <w:r>
        <w:rPr>
          <w:rFonts w:hint="eastAsia"/>
          <w:color w:val="auto"/>
          <w:sz w:val="28"/>
          <w:szCs w:val="28"/>
          <w:lang w:eastAsia="zh-CN"/>
        </w:rPr>
        <w:t>风电场工程项目建设应根据风电行业发展的需要，在综合考虑风能资源、场址、电力市场、接入系统和资金筹措能力等建设条件的同时，体现科学、合理和节约集约用地的原则。本项目</w:t>
      </w:r>
      <w:r>
        <w:rPr>
          <w:rFonts w:hint="eastAsia"/>
          <w:color w:val="auto"/>
          <w:sz w:val="28"/>
          <w:szCs w:val="28"/>
          <w:lang w:val="en-US" w:eastAsia="zh-CN"/>
        </w:rPr>
        <w:t>风电机组和箱变用地为永久用地，其报批的建设用地指标即为风电机组和箱变的基础底板外轮廓面积，因此，本规划着重对</w:t>
      </w:r>
      <w:r>
        <w:rPr>
          <w:rFonts w:hint="eastAsia"/>
          <w:color w:val="auto"/>
          <w:sz w:val="28"/>
          <w:szCs w:val="28"/>
          <w:lang w:eastAsia="zh-CN"/>
        </w:rPr>
        <w:t>升压站地块的建筑密度进行规划控制。</w:t>
      </w:r>
    </w:p>
    <w:p>
      <w:pPr>
        <w:widowControl/>
        <w:spacing w:before="4" w:line="360" w:lineRule="auto"/>
        <w:ind w:left="118" w:right="351" w:firstLineChars="200" w:firstLine="560"/>
        <w:jc w:val="left"/>
        <w:rPr>
          <w:rFonts w:ascii="宋体" w:eastAsia="宋体" w:cs="宋体" w:hAnsi="宋体" w:hint="eastAsia"/>
          <w:color w:val="auto"/>
          <w:kern w:val="0"/>
          <w:sz w:val="28"/>
          <w:szCs w:val="28"/>
        </w:rPr>
      </w:pPr>
      <w:r>
        <w:rPr>
          <w:rFonts w:hint="eastAsia"/>
          <w:color w:val="auto"/>
          <w:sz w:val="28"/>
          <w:szCs w:val="28"/>
          <w:lang w:eastAsia="zh-CN"/>
        </w:rPr>
        <w:t>根据</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电力工程项目建设用地指标(风电场)</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建标(2011)209号</w:t>
      </w:r>
      <w:r>
        <w:rPr>
          <w:rFonts w:hint="eastAsia"/>
          <w:color w:val="auto"/>
          <w:sz w:val="28"/>
          <w:szCs w:val="28"/>
          <w:lang w:eastAsia="zh-CN"/>
        </w:rPr>
        <w:t>第</w:t>
      </w:r>
      <w:r>
        <w:rPr>
          <w:rFonts w:hint="eastAsia"/>
          <w:color w:val="auto"/>
          <w:sz w:val="28"/>
          <w:szCs w:val="28"/>
          <w:lang w:val="en-US" w:eastAsia="zh-CN"/>
        </w:rPr>
        <w:t>5.0.3和5.0.6条及表格分析，110kV（远期200MW）升压变电站用地指标上限应为9750㎡+6100㎡=15850㎡（升压变电站+运行管理中心），而</w:t>
      </w:r>
      <w:r>
        <w:rPr>
          <w:rFonts w:ascii="宋体" w:eastAsia="宋体" w:cs="宋体" w:hAnsi="宋体" w:hint="eastAsia"/>
          <w:color w:val="auto"/>
          <w:kern w:val="0"/>
          <w:sz w:val="28"/>
          <w:szCs w:val="28"/>
          <w:lang w:eastAsia="zh-CN"/>
        </w:rPr>
        <w:t>研究地块用地面积仅为</w:t>
      </w:r>
      <w:r>
        <w:rPr>
          <w:rFonts w:ascii="宋体" w:eastAsia="宋体" w:cs="宋体" w:hAnsi="宋体" w:hint="eastAsia"/>
          <w:color w:val="auto"/>
          <w:kern w:val="0"/>
          <w:sz w:val="28"/>
          <w:szCs w:val="28"/>
          <w:lang w:val="en-US" w:eastAsia="zh-CN"/>
        </w:rPr>
        <w:t>6017.44</w:t>
      </w:r>
      <w:r>
        <w:rPr>
          <w:rFonts w:hint="eastAsia"/>
          <w:color w:val="auto"/>
          <w:sz w:val="28"/>
          <w:szCs w:val="28"/>
          <w:lang w:val="en-US" w:eastAsia="zh-CN"/>
        </w:rPr>
        <w:t>㎡</w:t>
      </w:r>
      <w:r>
        <w:rPr>
          <w:rFonts w:ascii="宋体" w:eastAsia="宋体" w:cs="宋体" w:hAnsi="宋体" w:hint="eastAsia"/>
          <w:color w:val="auto"/>
          <w:kern w:val="0"/>
          <w:sz w:val="28"/>
          <w:szCs w:val="28"/>
          <w:lang w:val="en-US" w:eastAsia="zh-CN"/>
        </w:rPr>
        <w:t>，远小于上限指标15850㎡，规划</w:t>
      </w:r>
      <w:r>
        <w:rPr>
          <w:rFonts w:hint="eastAsia"/>
          <w:color w:val="auto"/>
          <w:sz w:val="28"/>
          <w:szCs w:val="28"/>
          <w:lang w:eastAsia="zh-CN"/>
        </w:rPr>
        <w:t>在该地块内合建</w:t>
      </w:r>
      <w:r>
        <w:rPr>
          <w:rFonts w:hint="eastAsia"/>
          <w:color w:val="auto"/>
          <w:sz w:val="28"/>
          <w:szCs w:val="28"/>
          <w:lang w:val="en-US" w:eastAsia="zh-CN"/>
        </w:rPr>
        <w:t>升压变电站和运行管理中心，用地面积十分有限，秉着</w:t>
      </w:r>
      <w:r>
        <w:rPr>
          <w:rFonts w:ascii="宋体" w:eastAsia="宋体" w:cs="宋体" w:hAnsi="宋体" w:hint="eastAsia"/>
          <w:color w:val="auto"/>
          <w:kern w:val="0"/>
          <w:sz w:val="28"/>
          <w:szCs w:val="28"/>
          <w:lang w:val="en-US" w:eastAsia="zh-CN"/>
        </w:rPr>
        <w:t>节约集约利用土地原则，为升压站分期建设的电气配电装置及设备预留发展空间，本次</w:t>
      </w:r>
      <w:r>
        <w:rPr>
          <w:rFonts w:hint="eastAsia"/>
          <w:color w:val="auto"/>
          <w:sz w:val="28"/>
          <w:szCs w:val="28"/>
          <w:lang w:val="en-US" w:eastAsia="zh-CN"/>
        </w:rPr>
        <w:t>规划升压站地块的建筑密度控制为≤30%</w:t>
      </w:r>
      <w:r>
        <w:rPr>
          <w:rFonts w:ascii="宋体" w:eastAsia="宋体" w:cs="宋体" w:hAnsi="宋体" w:hint="eastAsia"/>
          <w:color w:val="auto"/>
          <w:kern w:val="0"/>
          <w:sz w:val="28"/>
          <w:szCs w:val="28"/>
        </w:rPr>
        <w:t>。</w:t>
      </w:r>
    </w:p>
    <w:p>
      <w:pPr>
        <w:pStyle w:val="18"/>
        <w:rPr>
          <w:rFonts w:eastAsia="宋体" w:hint="eastAsia"/>
          <w:color w:val="auto"/>
          <w:lang w:eastAsia="zh-CN"/>
        </w:rPr>
      </w:pPr>
      <w:r>
        <w:rPr>
          <w:rFonts w:eastAsia="宋体" w:hint="eastAsia"/>
          <w:color w:val="auto"/>
          <w:lang w:eastAsia="zh-CN"/>
        </w:rPr>
        <w:drawing>
          <wp:inline distT="0" distB="0" distL="114300" distR="114300">
            <wp:extent cx="5273675" cy="2158365"/>
            <wp:effectExtent l="0" t="0" r="46" b="33"/>
            <wp:docPr id="72" name="图片 18" descr="QQ20250227-122449"/>
            <wp:cNvGraphicFramePr>
              <a:graphicFrameLocks noChangeAspect="1"/>
            </wp:cNvGraphicFramePr>
            <a:graphic>
              <a:graphicData uri="http://schemas.openxmlformats.org/drawingml/2006/picture">
                <pic:pic>
                  <pic:nvPicPr>
                    <pic:cNvPr id="74" name="图片 18 74"/>
                    <pic:cNvPicPr/>
                  </pic:nvPicPr>
                  <pic:blipFill>
                    <a:blip r:embed="rId27"/>
                    <a:stretch>
                      <a:fillRect/>
                    </a:stretch>
                  </pic:blipFill>
                  <pic:spPr>
                    <a:xfrm rot="0">
                      <a:off x="0" y="0"/>
                      <a:ext cx="5273675" cy="2158365"/>
                    </a:xfrm>
                    <a:prstGeom prst="rect"/>
                    <a:noFill/>
                    <a:ln w="9525" cmpd="sng" cap="flat">
                      <a:noFill/>
                      <a:prstDash val="solid"/>
                      <a:miter/>
                    </a:ln>
                  </pic:spPr>
                </pic:pic>
              </a:graphicData>
            </a:graphic>
          </wp:inline>
        </w:drawing>
      </w:r>
    </w:p>
    <w:p>
      <w:pPr>
        <w:rPr>
          <w:rFonts w:hint="eastAsia"/>
          <w:color w:val="auto"/>
          <w:lang w:eastAsia="zh-CN"/>
        </w:rPr>
      </w:pPr>
    </w:p>
    <w:p>
      <w:pPr>
        <w:pStyle w:val="18"/>
        <w:widowControl/>
        <w:autoSpaceDE w:val="0"/>
        <w:autoSpaceDN w:val="0"/>
        <w:spacing w:before="4" w:line="420" w:lineRule="auto"/>
        <w:ind w:left="118" w:right="351" w:firstLineChars="200" w:firstLine="560"/>
        <w:jc w:val="left"/>
        <w:rPr>
          <w:rFonts w:ascii="宋体" w:eastAsia="宋体" w:cs="宋体" w:hAnsi="宋体" w:hint="eastAsia"/>
          <w:b/>
          <w:bCs/>
          <w:color w:val="auto"/>
          <w:kern w:val="0"/>
          <w:sz w:val="28"/>
          <w:szCs w:val="28"/>
        </w:rPr>
      </w:pPr>
      <w:r>
        <w:rPr>
          <w:rFonts w:hint="eastAsia"/>
          <w:b/>
          <w:bCs/>
          <w:color w:val="auto"/>
          <w:sz w:val="28"/>
          <w:szCs w:val="28"/>
          <w:lang w:val="en-US" w:eastAsia="zh-CN"/>
        </w:rPr>
        <w:t xml:space="preserve">7.1.3 </w:t>
      </w:r>
      <w:r>
        <w:rPr>
          <w:rFonts w:hint="eastAsia"/>
          <w:b/>
          <w:bCs/>
          <w:color w:val="auto"/>
          <w:sz w:val="28"/>
          <w:szCs w:val="28"/>
          <w:lang w:eastAsia="zh-CN"/>
        </w:rPr>
        <w:t>绿地率</w:t>
      </w:r>
    </w:p>
    <w:p>
      <w:pPr>
        <w:widowControl/>
        <w:autoSpaceDE w:val="0"/>
        <w:autoSpaceDN w:val="0"/>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hint="eastAsia"/>
          <w:color w:val="auto"/>
          <w:kern w:val="0"/>
          <w:sz w:val="28"/>
          <w:szCs w:val="28"/>
          <w:lang w:eastAsia="zh-CN"/>
        </w:rPr>
        <w:t>参照</w:t>
      </w:r>
      <w:r>
        <w:rPr>
          <w:rFonts w:ascii="宋体" w:eastAsia="宋体" w:cs="宋体" w:hAnsi="宋体" w:hint="eastAsia"/>
          <w:color w:val="auto"/>
          <w:kern w:val="0"/>
          <w:sz w:val="28"/>
          <w:szCs w:val="28"/>
        </w:rPr>
        <w:t>《风电场工程设计导则》</w:t>
      </w:r>
      <w:r>
        <w:rPr>
          <w:rFonts w:ascii="宋体" w:eastAsia="宋体" w:cs="宋体" w:hAnsi="宋体" w:hint="eastAsia"/>
          <w:color w:val="auto"/>
          <w:kern w:val="0"/>
          <w:sz w:val="28"/>
          <w:szCs w:val="28"/>
          <w:lang w:eastAsia="zh-CN"/>
        </w:rPr>
        <w:t>第</w:t>
      </w:r>
      <w:r>
        <w:rPr>
          <w:rFonts w:ascii="宋体" w:eastAsia="宋体" w:cs="宋体" w:hAnsi="宋体" w:hint="eastAsia"/>
          <w:color w:val="auto"/>
          <w:kern w:val="0"/>
          <w:sz w:val="28"/>
          <w:szCs w:val="28"/>
          <w:lang w:val="en-US" w:eastAsia="zh-CN"/>
        </w:rPr>
        <w:t>4.9.6条</w:t>
      </w:r>
      <w:r>
        <w:rPr>
          <w:rFonts w:ascii="宋体" w:eastAsia="宋体" w:cs="宋体" w:hAnsi="宋体" w:hint="eastAsia"/>
          <w:color w:val="auto"/>
          <w:kern w:val="0"/>
          <w:sz w:val="28"/>
          <w:szCs w:val="28"/>
          <w:lang w:eastAsia="zh-CN"/>
        </w:rPr>
        <w:t>“变电站的选所和建设应符合国家《全国生态环境保护纲要》的有关要求。根据绿化规划应因地制宜在变电站所区内外种植树木和草皮，变电站绿化率不宜低于</w:t>
      </w:r>
      <w:r>
        <w:rPr>
          <w:rFonts w:ascii="宋体" w:eastAsia="宋体" w:cs="宋体" w:hAnsi="宋体" w:hint="eastAsia"/>
          <w:color w:val="auto"/>
          <w:kern w:val="0"/>
          <w:sz w:val="28"/>
          <w:szCs w:val="28"/>
          <w:lang w:val="en-US" w:eastAsia="zh-CN"/>
        </w:rPr>
        <w:t>15%……</w:t>
      </w:r>
      <w:r>
        <w:rPr>
          <w:rFonts w:ascii="宋体" w:eastAsia="宋体" w:cs="宋体" w:hAnsi="宋体" w:hint="eastAsia"/>
          <w:color w:val="auto"/>
          <w:kern w:val="0"/>
          <w:sz w:val="28"/>
          <w:szCs w:val="28"/>
          <w:lang w:eastAsia="zh-CN"/>
        </w:rPr>
        <w:t>”，风电场升压</w:t>
      </w:r>
      <w:r>
        <w:rPr>
          <w:rFonts w:ascii="宋体" w:eastAsia="宋体" w:cs="宋体" w:hAnsi="宋体" w:hint="eastAsia"/>
          <w:color w:val="auto"/>
          <w:kern w:val="0"/>
          <w:sz w:val="28"/>
          <w:szCs w:val="28"/>
        </w:rPr>
        <w:t>站</w:t>
      </w:r>
      <w:r>
        <w:rPr>
          <w:rFonts w:ascii="宋体" w:eastAsia="宋体" w:cs="宋体" w:hAnsi="宋体" w:hint="eastAsia"/>
          <w:color w:val="auto"/>
          <w:kern w:val="0"/>
          <w:sz w:val="28"/>
          <w:szCs w:val="28"/>
          <w:lang w:eastAsia="zh-CN"/>
        </w:rPr>
        <w:t>地块</w:t>
      </w:r>
      <w:r>
        <w:rPr>
          <w:rFonts w:ascii="宋体" w:eastAsia="宋体" w:cs="宋体" w:hAnsi="宋体" w:hint="eastAsia"/>
          <w:color w:val="auto"/>
          <w:kern w:val="0"/>
          <w:sz w:val="28"/>
          <w:szCs w:val="28"/>
        </w:rPr>
        <w:t>属于公用设施</w:t>
      </w:r>
      <w:r>
        <w:rPr>
          <w:rFonts w:ascii="宋体" w:eastAsia="宋体" w:cs="宋体" w:hAnsi="宋体" w:hint="eastAsia"/>
          <w:color w:val="auto"/>
          <w:kern w:val="0"/>
          <w:sz w:val="28"/>
          <w:szCs w:val="28"/>
          <w:lang w:eastAsia="zh-CN"/>
        </w:rPr>
        <w:t>的供电</w:t>
      </w:r>
      <w:r>
        <w:rPr>
          <w:rFonts w:ascii="宋体" w:eastAsia="宋体" w:cs="宋体" w:hAnsi="宋体" w:hint="eastAsia"/>
          <w:color w:val="auto"/>
          <w:kern w:val="0"/>
          <w:sz w:val="28"/>
          <w:szCs w:val="28"/>
        </w:rPr>
        <w:t>用地，</w:t>
      </w:r>
      <w:r>
        <w:rPr>
          <w:rFonts w:ascii="宋体" w:eastAsia="宋体" w:cs="宋体" w:hAnsi="宋体" w:hint="eastAsia"/>
          <w:color w:val="auto"/>
          <w:kern w:val="0"/>
          <w:sz w:val="28"/>
          <w:szCs w:val="28"/>
          <w:lang w:eastAsia="zh-CN"/>
        </w:rPr>
        <w:t>地块内配建的绿化用地是属于单位附属绿地，应充分利用路旁、建筑物旁以及其他空闲场地，种植生长力强、维护量小的植物，并应注意保护站区周围原有绿化。本规划控制升压站地块绿地率为≥</w:t>
      </w:r>
      <w:r>
        <w:rPr>
          <w:rFonts w:ascii="宋体" w:eastAsia="宋体" w:cs="宋体" w:hAnsi="宋体" w:hint="eastAsia"/>
          <w:color w:val="auto"/>
          <w:kern w:val="0"/>
          <w:sz w:val="28"/>
          <w:szCs w:val="28"/>
          <w:lang w:val="en-US" w:eastAsia="zh-CN"/>
        </w:rPr>
        <w:t>30%。</w:t>
      </w:r>
    </w:p>
    <w:p>
      <w:pPr>
        <w:pStyle w:val="18"/>
        <w:widowControl/>
        <w:autoSpaceDE w:val="0"/>
        <w:autoSpaceDN w:val="0"/>
        <w:spacing w:before="4" w:line="420" w:lineRule="auto"/>
        <w:ind w:left="118" w:right="351" w:firstLineChars="200" w:firstLine="560"/>
        <w:jc w:val="left"/>
        <w:rPr>
          <w:rFonts w:hint="eastAsia"/>
          <w:b/>
          <w:bCs/>
          <w:color w:val="auto"/>
          <w:sz w:val="28"/>
          <w:szCs w:val="28"/>
          <w:lang w:val="en-US" w:eastAsia="zh-CN"/>
        </w:rPr>
      </w:pPr>
      <w:r>
        <w:rPr>
          <w:rFonts w:hint="eastAsia"/>
          <w:b/>
          <w:bCs/>
          <w:color w:val="auto"/>
          <w:sz w:val="28"/>
          <w:szCs w:val="28"/>
          <w:lang w:val="en-US" w:eastAsia="zh-CN"/>
        </w:rPr>
        <w:t>7.1.4 建筑限高</w:t>
      </w:r>
    </w:p>
    <w:p>
      <w:pPr>
        <w:widowControl/>
        <w:spacing w:before="4" w:line="360" w:lineRule="auto"/>
        <w:ind w:left="118" w:right="351" w:firstLineChars="200" w:firstLine="560"/>
        <w:jc w:val="left"/>
        <w:rPr>
          <w:rFonts w:hint="eastAsia"/>
          <w:color w:val="auto"/>
          <w:sz w:val="28"/>
          <w:szCs w:val="28"/>
          <w:lang w:eastAsia="zh-CN"/>
        </w:rPr>
      </w:pPr>
      <w:r>
        <w:rPr>
          <w:rFonts w:ascii="宋体" w:eastAsia="宋体" w:cs="宋体" w:hAnsi="宋体" w:hint="eastAsia"/>
          <w:color w:val="auto"/>
          <w:kern w:val="0"/>
          <w:sz w:val="28"/>
          <w:szCs w:val="28"/>
          <w:lang w:eastAsia="zh-CN"/>
        </w:rPr>
        <w:t>本项目风电场根据实际建设需要，</w:t>
      </w:r>
      <w:r>
        <w:rPr>
          <w:rFonts w:ascii="宋体" w:eastAsia="宋体" w:cs="宋体" w:hAnsi="宋体" w:hint="eastAsia"/>
          <w:color w:val="auto"/>
          <w:kern w:val="0"/>
          <w:sz w:val="28"/>
          <w:szCs w:val="28"/>
          <w:lang w:val="en-US" w:eastAsia="zh-CN"/>
        </w:rPr>
        <w:t>110kV</w:t>
      </w:r>
      <w:r>
        <w:rPr>
          <w:rFonts w:ascii="宋体" w:eastAsia="宋体" w:cs="宋体" w:hAnsi="宋体" w:hint="eastAsia"/>
          <w:color w:val="auto"/>
          <w:kern w:val="0"/>
          <w:sz w:val="28"/>
          <w:szCs w:val="28"/>
          <w:lang w:eastAsia="zh-CN"/>
        </w:rPr>
        <w:t>升压站地块内主要布置综合楼、配电楼、</w:t>
      </w:r>
      <w:r>
        <w:rPr>
          <w:rFonts w:ascii="宋体" w:eastAsia="宋体" w:cs="宋体" w:hAnsi="宋体" w:hint="eastAsia"/>
          <w:color w:val="auto"/>
          <w:kern w:val="0"/>
          <w:sz w:val="28"/>
          <w:szCs w:val="28"/>
          <w:lang w:val="en-US" w:eastAsia="zh-CN"/>
        </w:rPr>
        <w:t>电气配电装置和设备等，</w:t>
      </w:r>
      <w:r>
        <w:rPr>
          <w:rFonts w:ascii="宋体" w:eastAsia="宋体" w:cs="宋体" w:hAnsi="宋体" w:hint="eastAsia"/>
          <w:color w:val="auto"/>
          <w:kern w:val="0"/>
          <w:sz w:val="28"/>
          <w:szCs w:val="28"/>
          <w:lang w:eastAsia="zh-CN"/>
        </w:rPr>
        <w:t>参照</w:t>
      </w:r>
      <w:r>
        <w:rPr>
          <w:rFonts w:ascii="宋体" w:eastAsia="宋体" w:cs="宋体" w:hAnsi="宋体" w:hint="eastAsia"/>
          <w:color w:val="auto"/>
          <w:kern w:val="0"/>
          <w:sz w:val="28"/>
          <w:szCs w:val="28"/>
        </w:rPr>
        <w:t>《风电场工程设计导则》</w:t>
      </w:r>
      <w:r>
        <w:rPr>
          <w:rFonts w:ascii="宋体" w:eastAsia="宋体" w:cs="宋体" w:hAnsi="宋体" w:hint="eastAsia"/>
          <w:color w:val="auto"/>
          <w:kern w:val="0"/>
          <w:sz w:val="28"/>
          <w:szCs w:val="28"/>
          <w:lang w:eastAsia="zh-CN"/>
        </w:rPr>
        <w:t>：“变电站的生产楼宜设置二层，土地价格较高的地区，经技术经济比较后可设置两层以上</w:t>
      </w:r>
      <w:r>
        <w:rPr>
          <w:rFonts w:ascii="宋体" w:eastAsia="宋体" w:cs="宋体" w:hAnsi="宋体" w:hint="eastAsia"/>
          <w:color w:val="auto"/>
          <w:kern w:val="0"/>
          <w:sz w:val="28"/>
          <w:szCs w:val="28"/>
          <w:lang w:val="en-US" w:eastAsia="zh-CN"/>
        </w:rPr>
        <w:t>...综合楼根据规模和需要可采用一层～三层建筑</w:t>
      </w:r>
      <w:r>
        <w:rPr>
          <w:rFonts w:ascii="宋体" w:eastAsia="宋体" w:cs="宋体" w:hAnsi="宋体" w:hint="eastAsia"/>
          <w:color w:val="auto"/>
          <w:kern w:val="0"/>
          <w:sz w:val="28"/>
          <w:szCs w:val="28"/>
          <w:lang w:eastAsia="zh-CN"/>
        </w:rPr>
        <w:t>”</w:t>
      </w:r>
      <w:r>
        <w:rPr>
          <w:rFonts w:hint="eastAsia"/>
          <w:color w:val="auto"/>
          <w:sz w:val="28"/>
          <w:szCs w:val="28"/>
        </w:rPr>
        <w:t>，</w:t>
      </w:r>
      <w:r>
        <w:rPr>
          <w:rFonts w:hint="eastAsia"/>
          <w:color w:val="auto"/>
          <w:sz w:val="28"/>
          <w:szCs w:val="28"/>
          <w:lang w:eastAsia="zh-CN"/>
        </w:rPr>
        <w:t>从该导则和</w:t>
      </w:r>
      <w:r>
        <w:rPr>
          <w:rFonts w:hint="eastAsia"/>
          <w:color w:val="auto"/>
          <w:sz w:val="28"/>
          <w:szCs w:val="28"/>
          <w:lang w:val="en-US" w:eastAsia="zh-CN"/>
        </w:rPr>
        <w:t>风电行业的建设特点</w:t>
      </w:r>
      <w:r>
        <w:rPr>
          <w:rFonts w:hint="eastAsia"/>
          <w:color w:val="auto"/>
          <w:sz w:val="28"/>
          <w:szCs w:val="28"/>
          <w:lang w:eastAsia="zh-CN"/>
        </w:rPr>
        <w:t>分析，本项目升压站地块内的建</w:t>
      </w:r>
      <w:r>
        <w:rPr>
          <w:rFonts w:hint="eastAsia"/>
          <w:color w:val="auto"/>
          <w:sz w:val="28"/>
          <w:szCs w:val="28"/>
        </w:rPr>
        <w:t>筑高度</w:t>
      </w:r>
      <w:r>
        <w:rPr>
          <w:rFonts w:hint="eastAsia"/>
          <w:color w:val="auto"/>
          <w:sz w:val="28"/>
          <w:szCs w:val="28"/>
          <w:lang w:eastAsia="zh-CN"/>
        </w:rPr>
        <w:t>规划按≤</w:t>
      </w:r>
      <w:r>
        <w:rPr>
          <w:rFonts w:hint="eastAsia"/>
          <w:color w:val="auto"/>
          <w:sz w:val="28"/>
          <w:szCs w:val="28"/>
          <w:lang w:val="en-US" w:eastAsia="zh-CN"/>
        </w:rPr>
        <w:t>24</w:t>
      </w:r>
      <w:r>
        <w:rPr>
          <w:rFonts w:hint="eastAsia"/>
          <w:color w:val="auto"/>
          <w:sz w:val="28"/>
          <w:szCs w:val="28"/>
        </w:rPr>
        <w:t>米控制</w:t>
      </w:r>
      <w:r>
        <w:rPr>
          <w:rFonts w:hint="eastAsia"/>
          <w:color w:val="auto"/>
          <w:sz w:val="28"/>
          <w:szCs w:val="28"/>
          <w:lang w:eastAsia="zh-CN"/>
        </w:rPr>
        <w:t>。</w:t>
      </w:r>
    </w:p>
    <w:p>
      <w:pPr>
        <w:widowControl/>
        <w:spacing w:before="4" w:line="360" w:lineRule="auto"/>
        <w:ind w:left="118" w:right="351" w:firstLineChars="200" w:firstLine="560"/>
        <w:jc w:val="left"/>
        <w:rPr>
          <w:color w:val="auto"/>
          <w:sz w:val="28"/>
          <w:szCs w:val="28"/>
          <w:lang w:val="en-US" w:eastAsia="zh-CN"/>
        </w:rPr>
      </w:pPr>
      <w:r>
        <w:rPr>
          <w:rFonts w:hint="eastAsia"/>
          <w:color w:val="auto"/>
          <w:sz w:val="28"/>
          <w:szCs w:val="28"/>
          <w:lang w:eastAsia="zh-CN"/>
        </w:rPr>
        <w:t>此外，规划风电机组地块内的风机为构筑物，应从技术参数、基本性能、发电量、成本等方面进行全面的技术经济比较，合理选购并安装风电机组等设备，根据本项目装机容量和实际地形，本规划安装的风电机组轮毂高度为</w:t>
      </w:r>
      <w:r>
        <w:rPr>
          <w:rFonts w:hint="eastAsia"/>
          <w:color w:val="auto"/>
          <w:sz w:val="28"/>
          <w:szCs w:val="28"/>
          <w:lang w:val="en-US" w:eastAsia="zh-CN"/>
        </w:rPr>
        <w:t>95～100米。</w:t>
      </w:r>
    </w:p>
    <w:p>
      <w:pPr>
        <w:pStyle w:val="18"/>
        <w:widowControl/>
        <w:autoSpaceDE w:val="0"/>
        <w:autoSpaceDN w:val="0"/>
        <w:spacing w:before="4" w:line="420" w:lineRule="auto"/>
        <w:ind w:left="118" w:right="351" w:firstLineChars="200" w:firstLine="560"/>
        <w:jc w:val="left"/>
        <w:rPr>
          <w:rFonts w:hint="eastAsia"/>
          <w:b/>
          <w:bCs/>
          <w:color w:val="auto"/>
          <w:sz w:val="28"/>
          <w:szCs w:val="28"/>
          <w:lang w:val="en-US" w:eastAsia="zh-CN"/>
        </w:rPr>
      </w:pPr>
      <w:r>
        <w:rPr>
          <w:rFonts w:hint="eastAsia"/>
          <w:b/>
          <w:bCs/>
          <w:color w:val="auto"/>
          <w:sz w:val="28"/>
          <w:szCs w:val="28"/>
          <w:lang w:val="en-US" w:eastAsia="zh-CN"/>
        </w:rPr>
        <w:t>7.1.5 停车位配建</w:t>
      </w:r>
    </w:p>
    <w:p>
      <w:pPr>
        <w:widowControl/>
        <w:spacing w:before="4" w:line="360" w:lineRule="auto"/>
        <w:ind w:left="0" w:right="351" w:firstLineChars="200" w:firstLine="560"/>
        <w:jc w:val="left"/>
        <w:rPr>
          <w:rFonts w:hint="eastAsia"/>
          <w:color w:val="auto"/>
          <w:sz w:val="28"/>
          <w:szCs w:val="28"/>
          <w:lang w:eastAsia="zh-CN"/>
        </w:rPr>
      </w:pPr>
      <w:r>
        <w:rPr>
          <w:rFonts w:ascii="宋体" w:eastAsia="宋体" w:cs="宋体" w:hAnsi="宋体" w:hint="eastAsia"/>
          <w:color w:val="auto"/>
          <w:kern w:val="0"/>
          <w:sz w:val="28"/>
          <w:szCs w:val="28"/>
          <w:lang w:eastAsia="zh-CN"/>
        </w:rPr>
        <w:t>项目地块用地性质</w:t>
      </w:r>
      <w:r>
        <w:rPr>
          <w:rFonts w:ascii="宋体" w:eastAsia="宋体" w:cs="宋体" w:hAnsi="宋体" w:hint="eastAsia"/>
          <w:color w:val="auto"/>
          <w:kern w:val="0"/>
          <w:sz w:val="28"/>
          <w:szCs w:val="28"/>
        </w:rPr>
        <w:t>属于公用设施</w:t>
      </w:r>
      <w:r>
        <w:rPr>
          <w:rFonts w:ascii="宋体" w:eastAsia="宋体" w:cs="宋体" w:hAnsi="宋体" w:hint="eastAsia"/>
          <w:color w:val="auto"/>
          <w:kern w:val="0"/>
          <w:sz w:val="28"/>
          <w:szCs w:val="28"/>
          <w:lang w:eastAsia="zh-CN"/>
        </w:rPr>
        <w:t>的供电</w:t>
      </w:r>
      <w:r>
        <w:rPr>
          <w:rFonts w:ascii="宋体" w:eastAsia="宋体" w:cs="宋体" w:hAnsi="宋体" w:hint="eastAsia"/>
          <w:color w:val="auto"/>
          <w:kern w:val="0"/>
          <w:sz w:val="28"/>
          <w:szCs w:val="28"/>
        </w:rPr>
        <w:t>用地，</w:t>
      </w:r>
      <w:r>
        <w:rPr>
          <w:rFonts w:hint="eastAsia"/>
          <w:color w:val="auto"/>
          <w:sz w:val="28"/>
          <w:szCs w:val="28"/>
        </w:rPr>
        <w:t>停车位结合自身使用要求进行建设</w:t>
      </w:r>
      <w:r>
        <w:rPr>
          <w:rFonts w:hint="eastAsia"/>
          <w:color w:val="auto"/>
          <w:sz w:val="28"/>
          <w:szCs w:val="28"/>
          <w:lang w:eastAsia="zh-CN"/>
        </w:rPr>
        <w:t>。</w:t>
      </w:r>
    </w:p>
    <w:p>
      <w:pPr>
        <w:pStyle w:val="18"/>
        <w:widowControl/>
        <w:autoSpaceDE w:val="0"/>
        <w:autoSpaceDN w:val="0"/>
        <w:spacing w:before="4" w:line="420" w:lineRule="auto"/>
        <w:ind w:left="118" w:right="351" w:firstLineChars="200" w:firstLine="560"/>
        <w:jc w:val="left"/>
        <w:rPr>
          <w:rFonts w:hint="eastAsia"/>
          <w:b/>
          <w:bCs/>
          <w:color w:val="auto"/>
          <w:sz w:val="28"/>
          <w:szCs w:val="28"/>
          <w:lang w:val="en-US" w:eastAsia="zh-CN"/>
        </w:rPr>
      </w:pPr>
      <w:r>
        <w:rPr>
          <w:rFonts w:hint="eastAsia"/>
          <w:b/>
          <w:bCs/>
          <w:color w:val="auto"/>
          <w:sz w:val="28"/>
          <w:szCs w:val="28"/>
          <w:lang w:val="en-US" w:eastAsia="zh-CN"/>
        </w:rPr>
        <w:t>7.1.6 规划控制线</w:t>
      </w:r>
    </w:p>
    <w:p>
      <w:pPr>
        <w:widowControl/>
        <w:spacing w:before="4" w:line="360" w:lineRule="auto"/>
        <w:ind w:left="0" w:right="351" w:firstLineChars="200" w:firstLine="560"/>
        <w:jc w:val="left"/>
        <w:rPr>
          <w:rFonts w:hint="eastAsia"/>
          <w:color w:val="auto"/>
          <w:sz w:val="28"/>
          <w:szCs w:val="28"/>
          <w:lang w:eastAsia="zh-CN"/>
        </w:rPr>
      </w:pPr>
      <w:r>
        <w:rPr>
          <w:rFonts w:ascii="宋体" w:eastAsia="宋体" w:cs="宋体" w:hAnsi="宋体" w:hint="eastAsia"/>
          <w:color w:val="auto"/>
          <w:kern w:val="0"/>
          <w:sz w:val="28"/>
          <w:szCs w:val="28"/>
          <w:lang w:eastAsia="zh-CN"/>
        </w:rPr>
        <w:t>本规划的各地块用地性质为公用设施用地的供电用地，规划控制线为基础设施黄线，属城市基础设施用地的控制界线，在用地黄线内进行建设活动，必须贯彻安全、高效、经济的方针，处理好近远期关系，根据项目发展的实际需要，分期有序实施。</w:t>
      </w:r>
      <w:r>
        <w:rPr>
          <w:rFonts w:hint="eastAsia"/>
          <w:color w:val="auto"/>
          <w:sz w:val="28"/>
          <w:szCs w:val="28"/>
          <w:lang w:val="en-US" w:eastAsia="zh-CN"/>
        </w:rPr>
        <w:t>项目地块用地范围不涉及永久基本农田、生态保护红线</w:t>
      </w:r>
      <w:r>
        <w:rPr>
          <w:rFonts w:ascii="宋体" w:eastAsia="宋体" w:cs="宋体" w:hAnsi="宋体" w:hint="eastAsia"/>
          <w:color w:val="auto"/>
          <w:kern w:val="0"/>
          <w:sz w:val="28"/>
          <w:szCs w:val="28"/>
          <w:lang w:eastAsia="zh-CN"/>
        </w:rPr>
        <w:t>和城镇开发边界</w:t>
      </w:r>
      <w:r>
        <w:rPr>
          <w:rFonts w:hint="eastAsia"/>
          <w:color w:val="auto"/>
          <w:sz w:val="28"/>
          <w:szCs w:val="28"/>
          <w:lang w:val="en-US" w:eastAsia="zh-CN"/>
        </w:rPr>
        <w:t>等强制性内容。各地块具体界线范围和界址坐标详见用地勘测定界图。</w:t>
      </w:r>
    </w:p>
    <w:p>
      <w:pPr>
        <w:pStyle w:val="18"/>
        <w:widowControl/>
        <w:autoSpaceDE w:val="0"/>
        <w:autoSpaceDN w:val="0"/>
        <w:spacing w:before="4" w:line="420" w:lineRule="auto"/>
        <w:ind w:left="118" w:right="351" w:firstLineChars="200" w:firstLine="560"/>
        <w:jc w:val="left"/>
        <w:rPr>
          <w:rFonts w:hint="eastAsia"/>
          <w:b/>
          <w:bCs/>
          <w:color w:val="auto"/>
          <w:sz w:val="28"/>
          <w:szCs w:val="28"/>
          <w:lang w:val="en-US" w:eastAsia="zh-CN"/>
        </w:rPr>
      </w:pPr>
      <w:r>
        <w:rPr>
          <w:rFonts w:hint="eastAsia"/>
          <w:b/>
          <w:bCs/>
          <w:color w:val="auto"/>
          <w:sz w:val="28"/>
          <w:szCs w:val="28"/>
          <w:lang w:val="en-US" w:eastAsia="zh-CN"/>
        </w:rPr>
        <w:t>7.1.7 建筑退线</w:t>
      </w:r>
    </w:p>
    <w:p>
      <w:pPr>
        <w:widowControl/>
        <w:autoSpaceDE w:val="0"/>
        <w:autoSpaceDN w:val="0"/>
        <w:spacing w:before="4" w:line="360" w:lineRule="auto"/>
        <w:ind w:left="118" w:right="351" w:firstLineChars="200" w:firstLine="560"/>
        <w:jc w:val="left"/>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1</w:t>
      </w:r>
      <w:r>
        <w:rPr>
          <w:rFonts w:hint="eastAsia"/>
          <w:color w:val="auto"/>
          <w:sz w:val="28"/>
          <w:szCs w:val="28"/>
          <w:lang w:eastAsia="zh-CN"/>
        </w:rPr>
        <w:t>）升压站地块建筑退线</w:t>
      </w:r>
    </w:p>
    <w:p>
      <w:pPr>
        <w:widowControl/>
        <w:autoSpaceDE w:val="0"/>
        <w:autoSpaceDN w:val="0"/>
        <w:spacing w:before="4" w:line="360" w:lineRule="auto"/>
        <w:ind w:left="118" w:right="351" w:firstLineChars="200" w:firstLine="560"/>
        <w:jc w:val="left"/>
        <w:rPr>
          <w:rFonts w:hint="eastAsia"/>
          <w:color w:val="auto"/>
          <w:sz w:val="28"/>
          <w:szCs w:val="28"/>
          <w:lang w:eastAsia="zh-CN"/>
        </w:rPr>
      </w:pPr>
      <w:r>
        <w:rPr>
          <w:rFonts w:hint="eastAsia"/>
          <w:color w:val="auto"/>
          <w:sz w:val="28"/>
          <w:szCs w:val="28"/>
          <w:lang w:eastAsia="zh-CN"/>
        </w:rPr>
        <w:t>根据</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电力工程项目建设用地指标(风电场)</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rPr>
        <w:t>建标(2011)209号</w:t>
      </w:r>
      <w:r>
        <w:rPr>
          <w:rFonts w:hint="eastAsia"/>
          <w:color w:val="auto"/>
          <w:sz w:val="28"/>
          <w:szCs w:val="28"/>
          <w:lang w:eastAsia="zh-CN"/>
        </w:rPr>
        <w:t>第</w:t>
      </w:r>
      <w:r>
        <w:rPr>
          <w:rFonts w:hint="eastAsia"/>
          <w:color w:val="auto"/>
          <w:sz w:val="28"/>
          <w:szCs w:val="28"/>
          <w:lang w:val="en-US" w:eastAsia="zh-CN"/>
        </w:rPr>
        <w:t>5.0.3和5.0.6条对比分析，</w:t>
      </w:r>
      <w:r>
        <w:rPr>
          <w:rFonts w:ascii="宋体" w:eastAsia="宋体" w:cs="宋体" w:hAnsi="宋体" w:hint="eastAsia"/>
          <w:color w:val="auto"/>
          <w:kern w:val="0"/>
          <w:sz w:val="28"/>
          <w:szCs w:val="28"/>
          <w:lang w:eastAsia="zh-CN"/>
        </w:rPr>
        <w:t>升压站地块用地面积仅为</w:t>
      </w:r>
      <w:r>
        <w:rPr>
          <w:rFonts w:ascii="宋体" w:eastAsia="宋体" w:cs="宋体" w:hAnsi="宋体" w:hint="eastAsia"/>
          <w:color w:val="auto"/>
          <w:kern w:val="0"/>
          <w:sz w:val="28"/>
          <w:szCs w:val="28"/>
          <w:lang w:val="en-US" w:eastAsia="zh-CN"/>
        </w:rPr>
        <w:t>6017.44平方米，</w:t>
      </w:r>
      <w:r>
        <w:rPr>
          <w:rFonts w:hint="eastAsia"/>
          <w:color w:val="auto"/>
          <w:sz w:val="28"/>
          <w:szCs w:val="28"/>
          <w:lang w:val="en-US" w:eastAsia="zh-CN"/>
        </w:rPr>
        <w:t>用地面积十分有限，而且该地块为独立地块，且不宜在相邻较近位置建设其他项目，因此，在有限的用地面积且不受邻里关系约束及满足建筑物的通风、采光、日照的条件下，规划控制升压站地块内的建筑退离用地红线距离d≥1.5米</w:t>
      </w:r>
      <w:r>
        <w:rPr>
          <w:rFonts w:hint="eastAsia"/>
          <w:color w:val="auto"/>
          <w:sz w:val="28"/>
          <w:szCs w:val="28"/>
          <w:lang w:eastAsia="zh-CN"/>
        </w:rPr>
        <w:t>。</w:t>
      </w:r>
    </w:p>
    <w:p>
      <w:pPr>
        <w:widowControl/>
        <w:autoSpaceDE w:val="0"/>
        <w:autoSpaceDN w:val="0"/>
        <w:spacing w:before="4" w:line="360" w:lineRule="auto"/>
        <w:ind w:left="118" w:right="351" w:firstLineChars="200" w:firstLine="560"/>
        <w:jc w:val="left"/>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2</w:t>
      </w:r>
      <w:r>
        <w:rPr>
          <w:rFonts w:hint="eastAsia"/>
          <w:color w:val="auto"/>
          <w:sz w:val="28"/>
          <w:szCs w:val="28"/>
          <w:lang w:eastAsia="zh-CN"/>
        </w:rPr>
        <w:t>）风电机组和箱变地块建筑退线</w:t>
      </w:r>
    </w:p>
    <w:p>
      <w:pPr>
        <w:widowControl/>
        <w:autoSpaceDE w:val="0"/>
        <w:autoSpaceDN w:val="0"/>
        <w:spacing w:before="4" w:line="360" w:lineRule="auto"/>
        <w:ind w:left="118" w:right="351" w:firstLineChars="200" w:firstLine="560"/>
        <w:jc w:val="left"/>
        <w:rPr>
          <w:rFonts w:hint="eastAsia"/>
          <w:color w:val="auto"/>
          <w:sz w:val="28"/>
          <w:szCs w:val="28"/>
          <w:lang w:eastAsia="zh-CN"/>
        </w:rPr>
      </w:pPr>
      <w:r>
        <w:rPr>
          <w:rFonts w:hint="eastAsia"/>
          <w:color w:val="auto"/>
          <w:sz w:val="28"/>
          <w:szCs w:val="28"/>
          <w:lang w:val="en-US" w:eastAsia="zh-CN"/>
        </w:rPr>
        <w:t>根据风电行业的建设特点和用地指标要求，本项目风电机组和箱变用地范围基本为建设的构筑物的基础外轮廓，且两地块基础间距较近约为3米，因此，规划</w:t>
      </w:r>
      <w:r>
        <w:rPr>
          <w:rFonts w:hint="eastAsia"/>
          <w:color w:val="auto"/>
          <w:sz w:val="28"/>
          <w:szCs w:val="28"/>
          <w:lang w:eastAsia="zh-CN"/>
        </w:rPr>
        <w:t>箱变地块内的建筑控制线和箱变用地界线双线重合控制；</w:t>
      </w:r>
      <w:r>
        <w:rPr>
          <w:rFonts w:hint="eastAsia"/>
          <w:color w:val="auto"/>
          <w:sz w:val="28"/>
          <w:szCs w:val="28"/>
          <w:lang w:val="en-US" w:eastAsia="zh-CN"/>
        </w:rPr>
        <w:t>风电机组用地范围内的地面</w:t>
      </w:r>
      <w:r>
        <w:rPr>
          <w:rFonts w:hint="eastAsia"/>
          <w:color w:val="auto"/>
          <w:sz w:val="28"/>
          <w:szCs w:val="28"/>
          <w:lang w:eastAsia="zh-CN"/>
        </w:rPr>
        <w:t>建、构筑物建筑控制线退距用地红线轮廓≥</w:t>
      </w:r>
      <w:r>
        <w:rPr>
          <w:rFonts w:hint="eastAsia"/>
          <w:color w:val="auto"/>
          <w:sz w:val="28"/>
          <w:szCs w:val="28"/>
          <w:lang w:val="en-US" w:eastAsia="zh-CN"/>
        </w:rPr>
        <w:t>3米，控制风电机组用地范围内建构筑物与箱变的距离满足防火间距要求</w:t>
      </w:r>
      <w:r>
        <w:rPr>
          <w:rFonts w:hint="eastAsia"/>
          <w:color w:val="auto"/>
          <w:sz w:val="28"/>
          <w:szCs w:val="28"/>
          <w:lang w:eastAsia="zh-CN"/>
        </w:rPr>
        <w:t>。</w:t>
      </w:r>
    </w:p>
    <w:p>
      <w:pPr>
        <w:pStyle w:val="18"/>
        <w:widowControl/>
        <w:autoSpaceDE w:val="0"/>
        <w:autoSpaceDN w:val="0"/>
        <w:spacing w:before="4" w:line="420" w:lineRule="auto"/>
        <w:ind w:left="118" w:right="351" w:firstLineChars="200" w:firstLine="560"/>
        <w:jc w:val="left"/>
        <w:rPr>
          <w:rFonts w:hint="eastAsia"/>
          <w:b/>
          <w:bCs/>
          <w:color w:val="auto"/>
          <w:sz w:val="28"/>
          <w:szCs w:val="28"/>
          <w:lang w:val="en-US" w:eastAsia="zh-CN"/>
        </w:rPr>
      </w:pPr>
      <w:r>
        <w:rPr>
          <w:rFonts w:hint="eastAsia"/>
          <w:b/>
          <w:bCs/>
          <w:color w:val="auto"/>
          <w:sz w:val="28"/>
          <w:szCs w:val="28"/>
          <w:lang w:val="en-US" w:eastAsia="zh-CN"/>
        </w:rPr>
        <w:t>7.1.8 建筑控制</w:t>
      </w:r>
    </w:p>
    <w:p>
      <w:pPr>
        <w:widowControl/>
        <w:autoSpaceDE w:val="0"/>
        <w:autoSpaceDN w:val="0"/>
        <w:spacing w:before="4" w:line="360" w:lineRule="auto"/>
        <w:ind w:left="118" w:right="351" w:firstLineChars="200" w:firstLine="560"/>
        <w:jc w:val="left"/>
        <w:rPr>
          <w:rFonts w:hint="eastAsia"/>
          <w:color w:val="auto"/>
          <w:sz w:val="28"/>
          <w:szCs w:val="28"/>
          <w:lang w:eastAsia="zh-CN"/>
        </w:rPr>
      </w:pPr>
      <w:r>
        <w:rPr>
          <w:rFonts w:ascii="宋体" w:eastAsia="宋体" w:cs="宋体" w:hAnsi="宋体" w:hint="eastAsia"/>
          <w:color w:val="auto"/>
          <w:kern w:val="0"/>
          <w:sz w:val="28"/>
          <w:szCs w:val="28"/>
          <w:lang w:eastAsia="zh-CN"/>
        </w:rPr>
        <w:t>参照</w:t>
      </w:r>
      <w:r>
        <w:rPr>
          <w:rFonts w:ascii="宋体" w:eastAsia="宋体" w:cs="宋体" w:hAnsi="宋体" w:hint="eastAsia"/>
          <w:color w:val="auto"/>
          <w:kern w:val="0"/>
          <w:sz w:val="28"/>
          <w:szCs w:val="28"/>
        </w:rPr>
        <w:t>《风电场工程设计导则》</w:t>
      </w:r>
      <w:r>
        <w:rPr>
          <w:rFonts w:ascii="宋体" w:eastAsia="宋体" w:cs="宋体" w:hAnsi="宋体" w:hint="eastAsia"/>
          <w:color w:val="auto"/>
          <w:kern w:val="0"/>
          <w:sz w:val="28"/>
          <w:szCs w:val="28"/>
          <w:lang w:eastAsia="zh-CN"/>
        </w:rPr>
        <w:t>，建构筑物的设计应做到统一规划、造型协调、整体性好、生产及生活方便，同时结构的类型及材料品种应合理并简化，以利备料、加工、施工及运行。架构、设备支架等构筑物应根据变电站的电压等级、规模、施工及运行条件、制作水平、运输条件及当地的气候条件来选择合适的结构，其外形应做到相互协调(设备支架还应与上部设备相协调)。根据该地块用地性质，升压站内建筑宜设置</w:t>
      </w:r>
      <w:r>
        <w:rPr>
          <w:rFonts w:ascii="宋体" w:eastAsia="宋体" w:cs="宋体" w:hAnsi="宋体" w:hint="eastAsia"/>
          <w:color w:val="auto"/>
          <w:kern w:val="0"/>
          <w:sz w:val="28"/>
          <w:szCs w:val="28"/>
          <w:lang w:val="en-US" w:eastAsia="zh-CN"/>
        </w:rPr>
        <w:t>一～三层的低层建筑</w:t>
      </w:r>
      <w:r>
        <w:rPr>
          <w:rFonts w:hint="eastAsia"/>
          <w:color w:val="auto"/>
          <w:sz w:val="28"/>
          <w:szCs w:val="28"/>
          <w:lang w:eastAsia="zh-CN"/>
        </w:rPr>
        <w:t>。建筑立面设计主要从经济、美观的角度出发，采用现代简约的建筑风格，各建筑立面色调力求造型协调、统一，颜色稳重、大气，营造立面层次丰富感，能与周边自然环境相融。</w:t>
      </w:r>
    </w:p>
    <w:p>
      <w:pPr>
        <w:pStyle w:val="18"/>
        <w:widowControl/>
        <w:autoSpaceDE w:val="0"/>
        <w:autoSpaceDN w:val="0"/>
        <w:spacing w:before="4" w:line="420" w:lineRule="auto"/>
        <w:ind w:left="118" w:right="351" w:firstLineChars="200" w:firstLine="560"/>
        <w:jc w:val="left"/>
        <w:rPr>
          <w:rFonts w:hint="eastAsia"/>
          <w:b/>
          <w:bCs/>
          <w:color w:val="auto"/>
          <w:sz w:val="28"/>
          <w:szCs w:val="28"/>
          <w:lang w:val="en-US" w:eastAsia="zh-CN"/>
        </w:rPr>
      </w:pPr>
      <w:r>
        <w:rPr>
          <w:rFonts w:hint="eastAsia"/>
          <w:b/>
          <w:bCs/>
          <w:color w:val="auto"/>
          <w:sz w:val="28"/>
          <w:szCs w:val="28"/>
          <w:lang w:val="en-US" w:eastAsia="zh-CN"/>
        </w:rPr>
        <w:t>7.1.9 交通管控</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风电场位于丘陵区，为了减少对植被的破坏和节约投资，场内道路在利用场内现有的交通便道基础上局部扩宽裁弯取直，再新建连接升压站和各风机的道路。考虑风力发电设备大件运输，场内道路按山岭重丘四级公路标准建设，采用碾压石渣路面，路基宽5.5m。在风电场建成营运后，场区道路将作为</w:t>
      </w:r>
      <w:r>
        <w:rPr>
          <w:rFonts w:hint="eastAsia"/>
          <w:color w:val="auto"/>
          <w:kern w:val="0"/>
          <w:sz w:val="28"/>
          <w:szCs w:val="28"/>
          <w:lang w:val="en-US" w:eastAsia="zh-CN"/>
        </w:rPr>
        <w:t>公共道路和</w:t>
      </w:r>
      <w:r>
        <w:rPr>
          <w:rFonts w:ascii="宋体" w:eastAsia="宋体" w:cs="宋体" w:hAnsi="宋体" w:hint="eastAsia"/>
          <w:color w:val="auto"/>
          <w:kern w:val="0"/>
          <w:sz w:val="28"/>
          <w:szCs w:val="28"/>
          <w:lang w:eastAsia="zh-CN"/>
        </w:rPr>
        <w:t>林业三产道路使用。</w:t>
      </w:r>
    </w:p>
    <w:p>
      <w:pPr>
        <w:widowControl/>
        <w:autoSpaceDE w:val="0"/>
        <w:autoSpaceDN w:val="0"/>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eastAsia="zh-CN"/>
        </w:rPr>
        <w:t>升压站地块东面的</w:t>
      </w:r>
      <w:r>
        <w:rPr>
          <w:rFonts w:ascii="宋体" w:eastAsia="宋体" w:cs="宋体" w:hAnsi="宋体" w:hint="eastAsia"/>
          <w:color w:val="auto"/>
          <w:kern w:val="0"/>
          <w:sz w:val="28"/>
          <w:szCs w:val="28"/>
          <w:lang w:val="en-US" w:eastAsia="zh-CN"/>
        </w:rPr>
        <w:t>209.44平方米长条形用地为升压站的站前进站道路用地，</w:t>
      </w:r>
      <w:r>
        <w:rPr>
          <w:rFonts w:ascii="宋体" w:eastAsia="宋体" w:cs="宋体" w:hAnsi="宋体" w:hint="eastAsia"/>
          <w:color w:val="auto"/>
          <w:kern w:val="0"/>
          <w:sz w:val="28"/>
          <w:szCs w:val="28"/>
          <w:lang w:eastAsia="zh-CN"/>
        </w:rPr>
        <w:t>长</w:t>
      </w:r>
      <w:r>
        <w:rPr>
          <w:rFonts w:ascii="宋体" w:eastAsia="宋体" w:cs="宋体" w:hAnsi="宋体" w:hint="eastAsia"/>
          <w:color w:val="auto"/>
          <w:kern w:val="0"/>
          <w:sz w:val="28"/>
          <w:szCs w:val="28"/>
          <w:lang w:val="en-US" w:eastAsia="zh-CN"/>
        </w:rPr>
        <w:t>41.88米，宽5米，往东接出原有道路，</w:t>
      </w:r>
      <w:r>
        <w:rPr>
          <w:rFonts w:ascii="宋体" w:eastAsia="宋体" w:cs="宋体" w:hAnsi="宋体" w:hint="eastAsia"/>
          <w:color w:val="auto"/>
          <w:kern w:val="0"/>
          <w:sz w:val="28"/>
          <w:szCs w:val="28"/>
          <w:lang w:eastAsia="zh-CN"/>
        </w:rPr>
        <w:t>主要出入口规划于地块围墙东侧，</w:t>
      </w:r>
      <w:r>
        <w:rPr>
          <w:rFonts w:ascii="宋体" w:eastAsia="宋体" w:cs="宋体" w:hAnsi="宋体" w:hint="eastAsia"/>
          <w:color w:val="auto"/>
          <w:kern w:val="0"/>
          <w:sz w:val="28"/>
          <w:szCs w:val="28"/>
          <w:lang w:val="en-US" w:eastAsia="zh-CN"/>
        </w:rPr>
        <w:t>在该站前道路两侧至原有道路之间为禁止机动车开口路段（具体详见图纸）。</w:t>
      </w:r>
    </w:p>
    <w:p>
      <w:pPr>
        <w:pStyle w:val="18"/>
        <w:widowControl/>
        <w:autoSpaceDE w:val="0"/>
        <w:autoSpaceDN w:val="0"/>
        <w:spacing w:before="4" w:line="420" w:lineRule="auto"/>
        <w:ind w:left="118" w:right="351" w:firstLineChars="200" w:firstLine="560"/>
        <w:jc w:val="left"/>
        <w:rPr>
          <w:rFonts w:hint="eastAsia"/>
          <w:b/>
          <w:bCs/>
          <w:color w:val="auto"/>
          <w:sz w:val="28"/>
          <w:szCs w:val="28"/>
          <w:lang w:val="en-US" w:eastAsia="zh-CN"/>
        </w:rPr>
      </w:pPr>
      <w:r>
        <w:rPr>
          <w:rFonts w:hint="eastAsia"/>
          <w:b/>
          <w:bCs/>
          <w:color w:val="auto"/>
          <w:sz w:val="28"/>
          <w:szCs w:val="28"/>
          <w:lang w:val="en-US" w:eastAsia="zh-CN"/>
        </w:rPr>
        <w:t>7.1.10高压走廊宽度控制</w:t>
      </w:r>
    </w:p>
    <w:p>
      <w:pPr>
        <w:widowControl/>
        <w:autoSpaceDE/>
        <w:autoSpaceDN/>
        <w:spacing w:before="4" w:line="360" w:lineRule="auto"/>
        <w:ind w:left="118" w:right="351" w:firstLineChars="200" w:firstLine="560"/>
        <w:jc w:val="left"/>
        <w:rPr>
          <w:rFonts w:ascii="宋体" w:eastAsia="宋体" w:cs="宋体" w:hAnsi="宋体" w:hint="eastAsia"/>
          <w:color w:val="auto"/>
          <w:kern w:val="0"/>
          <w:sz w:val="28"/>
          <w:szCs w:val="28"/>
          <w:lang w:eastAsia="zh-CN"/>
        </w:rPr>
      </w:pPr>
      <w:r>
        <w:rPr>
          <w:rFonts w:ascii="宋体" w:eastAsia="宋体" w:cs="宋体" w:hAnsi="宋体" w:hint="eastAsia"/>
          <w:color w:val="auto"/>
          <w:kern w:val="0"/>
          <w:sz w:val="28"/>
          <w:szCs w:val="28"/>
          <w:lang w:eastAsia="zh-CN"/>
        </w:rPr>
        <w:t>本规划为钦北区古道岭风电场一期工程项目独立地块控规，规划建设</w:t>
      </w:r>
      <w:r>
        <w:rPr>
          <w:rFonts w:ascii="宋体" w:eastAsia="宋体" w:cs="宋体" w:hAnsi="宋体" w:hint="eastAsia"/>
          <w:color w:val="auto"/>
          <w:kern w:val="0"/>
          <w:sz w:val="28"/>
          <w:szCs w:val="28"/>
          <w:lang w:val="en-US" w:eastAsia="zh-CN"/>
        </w:rPr>
        <w:t>16组风电机组和110kV升压站用地，风电场线路工程主要包括风电场集电线路和风电场送出线路。</w:t>
      </w:r>
      <w:r>
        <w:rPr>
          <w:rFonts w:ascii="宋体" w:eastAsia="宋体" w:cs="宋体" w:hAnsi="宋体" w:hint="eastAsia"/>
          <w:color w:val="auto"/>
          <w:kern w:val="0"/>
          <w:sz w:val="28"/>
          <w:szCs w:val="28"/>
        </w:rPr>
        <w:t>风电</w:t>
      </w:r>
      <w:r>
        <w:rPr>
          <w:rFonts w:ascii="宋体" w:eastAsia="宋体" w:cs="宋体" w:hAnsi="宋体" w:hint="eastAsia"/>
          <w:color w:val="auto"/>
          <w:kern w:val="0"/>
          <w:sz w:val="28"/>
          <w:szCs w:val="28"/>
          <w:lang w:eastAsia="zh-CN"/>
        </w:rPr>
        <w:t>场生产的</w:t>
      </w:r>
      <w:r>
        <w:rPr>
          <w:rFonts w:ascii="宋体" w:eastAsia="宋体" w:cs="宋体" w:hAnsi="宋体" w:hint="eastAsia"/>
          <w:color w:val="auto"/>
          <w:kern w:val="0"/>
          <w:sz w:val="28"/>
          <w:szCs w:val="28"/>
        </w:rPr>
        <w:t>电能经</w:t>
      </w:r>
      <w:r>
        <w:rPr>
          <w:rFonts w:ascii="宋体" w:eastAsia="宋体" w:cs="宋体" w:hAnsi="宋体" w:hint="eastAsia"/>
          <w:color w:val="auto"/>
          <w:kern w:val="0"/>
          <w:sz w:val="28"/>
          <w:szCs w:val="28"/>
          <w:lang w:val="en-US" w:eastAsia="zh-CN"/>
        </w:rPr>
        <w:t>35kV直埋和架空集电线路输送至</w:t>
      </w:r>
      <w:r>
        <w:rPr>
          <w:rFonts w:ascii="宋体" w:eastAsia="宋体" w:cs="宋体" w:hAnsi="宋体" w:hint="eastAsia"/>
          <w:color w:val="auto"/>
          <w:kern w:val="0"/>
          <w:sz w:val="28"/>
          <w:szCs w:val="28"/>
        </w:rPr>
        <w:t>110</w:t>
      </w:r>
      <w:r>
        <w:rPr>
          <w:rFonts w:ascii="宋体" w:eastAsia="宋体" w:cs="宋体" w:hAnsi="宋体" w:hint="eastAsia"/>
          <w:color w:val="auto"/>
          <w:kern w:val="0"/>
          <w:sz w:val="28"/>
          <w:szCs w:val="28"/>
          <w:lang w:eastAsia="zh-CN"/>
        </w:rPr>
        <w:t>kV升压</w:t>
      </w:r>
      <w:r>
        <w:rPr>
          <w:rFonts w:ascii="宋体" w:eastAsia="宋体" w:cs="宋体" w:hAnsi="宋体" w:hint="eastAsia"/>
          <w:color w:val="auto"/>
          <w:kern w:val="0"/>
          <w:sz w:val="28"/>
          <w:szCs w:val="28"/>
        </w:rPr>
        <w:t>站升压后以1 回110</w:t>
      </w:r>
      <w:r>
        <w:rPr>
          <w:rFonts w:ascii="宋体" w:eastAsia="宋体" w:cs="宋体" w:hAnsi="宋体" w:hint="eastAsia"/>
          <w:color w:val="auto"/>
          <w:kern w:val="0"/>
          <w:sz w:val="28"/>
          <w:szCs w:val="28"/>
          <w:lang w:eastAsia="zh-CN"/>
        </w:rPr>
        <w:t>kV</w:t>
      </w:r>
      <w:r>
        <w:rPr>
          <w:rFonts w:ascii="宋体" w:eastAsia="宋体" w:cs="宋体" w:hAnsi="宋体" w:hint="eastAsia"/>
          <w:color w:val="auto"/>
          <w:kern w:val="0"/>
          <w:sz w:val="28"/>
          <w:szCs w:val="28"/>
        </w:rPr>
        <w:t>架空出线</w:t>
      </w:r>
      <w:r>
        <w:rPr>
          <w:rFonts w:ascii="宋体" w:eastAsia="宋体" w:cs="宋体" w:hAnsi="宋体"/>
          <w:color w:val="auto"/>
          <w:kern w:val="0"/>
          <w:sz w:val="28"/>
          <w:szCs w:val="28"/>
        </w:rPr>
        <w:t>接入拟建的220</w:t>
      </w:r>
      <w:r>
        <w:rPr>
          <w:rFonts w:ascii="宋体" w:eastAsia="宋体" w:cs="宋体" w:hAnsi="宋体" w:hint="eastAsia"/>
          <w:color w:val="auto"/>
          <w:kern w:val="0"/>
          <w:sz w:val="28"/>
          <w:szCs w:val="28"/>
          <w:lang w:eastAsia="zh-CN"/>
        </w:rPr>
        <w:t>kV</w:t>
      </w:r>
      <w:r>
        <w:rPr>
          <w:rFonts w:ascii="宋体" w:eastAsia="宋体" w:cs="宋体" w:hAnsi="宋体"/>
          <w:color w:val="auto"/>
          <w:kern w:val="0"/>
          <w:sz w:val="28"/>
          <w:szCs w:val="28"/>
        </w:rPr>
        <w:t>歌标站</w:t>
      </w:r>
      <w:r>
        <w:rPr>
          <w:rFonts w:ascii="宋体" w:eastAsia="宋体" w:cs="宋体" w:hAnsi="宋体" w:hint="eastAsia"/>
          <w:color w:val="auto"/>
          <w:kern w:val="0"/>
          <w:sz w:val="28"/>
          <w:szCs w:val="28"/>
        </w:rPr>
        <w:t>电网</w:t>
      </w:r>
      <w:r>
        <w:rPr>
          <w:rFonts w:ascii="宋体" w:eastAsia="宋体" w:cs="宋体" w:hAnsi="宋体"/>
          <w:color w:val="auto"/>
          <w:kern w:val="0"/>
          <w:sz w:val="28"/>
          <w:szCs w:val="28"/>
        </w:rPr>
        <w:t>，线路长度约15km</w:t>
      </w:r>
      <w:r>
        <w:rPr>
          <w:rFonts w:ascii="宋体" w:eastAsia="宋体" w:cs="宋体" w:hAnsi="宋体" w:hint="eastAsia"/>
          <w:color w:val="auto"/>
          <w:kern w:val="0"/>
          <w:sz w:val="28"/>
          <w:szCs w:val="28"/>
          <w:lang w:eastAsia="zh-CN"/>
        </w:rPr>
        <w:t>。根据</w:t>
      </w:r>
      <w:r>
        <w:rPr>
          <w:rFonts w:ascii="宋体" w:eastAsia="宋体" w:cs="宋体" w:hAnsi="宋体" w:hint="eastAsia"/>
          <w:color w:val="auto"/>
          <w:kern w:val="0"/>
          <w:sz w:val="28"/>
          <w:szCs w:val="28"/>
        </w:rPr>
        <w:t>《钦州市城市规划技术标准与准则》（</w:t>
      </w:r>
      <w:r>
        <w:rPr>
          <w:rFonts w:ascii="宋体" w:eastAsia="宋体" w:cs="宋体" w:hAnsi="宋体"/>
          <w:color w:val="auto"/>
          <w:kern w:val="0"/>
          <w:sz w:val="28"/>
          <w:szCs w:val="28"/>
        </w:rPr>
        <w:t>2015</w:t>
      </w:r>
      <w:r>
        <w:rPr>
          <w:rFonts w:ascii="宋体" w:eastAsia="宋体" w:cs="宋体" w:hAnsi="宋体" w:hint="eastAsia"/>
          <w:color w:val="auto"/>
          <w:kern w:val="0"/>
          <w:sz w:val="28"/>
          <w:szCs w:val="28"/>
        </w:rPr>
        <w:t>年版）</w:t>
      </w:r>
      <w:r>
        <w:rPr>
          <w:rFonts w:ascii="宋体" w:eastAsia="宋体" w:cs="宋体" w:hAnsi="宋体" w:hint="eastAsia"/>
          <w:color w:val="auto"/>
          <w:kern w:val="0"/>
          <w:sz w:val="28"/>
          <w:szCs w:val="28"/>
          <w:lang w:eastAsia="zh-CN"/>
        </w:rPr>
        <w:t>的要求：“高压走廊应根据城市规划和电网要求，结合山体和绿地等用地统一布置，架空线路应尽可能在规划高压走廊内集中敷设”，高压架空线路走廊控制宽度和直埋电缆通道控制宽度宜分别符合下表规定：</w:t>
      </w:r>
    </w:p>
    <w:p>
      <w:pPr>
        <w:widowControl/>
        <w:autoSpaceDE/>
        <w:autoSpaceDN/>
        <w:spacing w:before="4" w:line="360" w:lineRule="auto"/>
        <w:ind w:left="0" w:right="351" w:firstLine="0"/>
        <w:jc w:val="left"/>
        <w:rPr>
          <w:color w:val="auto"/>
        </w:rPr>
      </w:pPr>
      <w:r>
        <w:rPr>
          <w:color w:val="auto"/>
        </w:rPr>
        <w:drawing>
          <wp:inline distT="0" distB="0" distL="114300" distR="114300">
            <wp:extent cx="5270499" cy="1163320"/>
            <wp:effectExtent l="0" t="0" r="16" b="45"/>
            <wp:docPr id="75" name="图片 1"/>
            <wp:cNvGraphicFramePr>
              <a:graphicFrameLocks noChangeAspect="1"/>
            </wp:cNvGraphicFramePr>
            <a:graphic>
              <a:graphicData uri="http://schemas.openxmlformats.org/drawingml/2006/picture">
                <pic:pic>
                  <pic:nvPicPr>
                    <pic:cNvPr id="77" name="图片 1 77"/>
                    <pic:cNvPicPr/>
                  </pic:nvPicPr>
                  <pic:blipFill>
                    <a:blip r:embed="rId28"/>
                    <a:stretch>
                      <a:fillRect/>
                    </a:stretch>
                  </pic:blipFill>
                  <pic:spPr>
                    <a:xfrm rot="0">
                      <a:off x="0" y="0"/>
                      <a:ext cx="5270499" cy="1163320"/>
                    </a:xfrm>
                    <a:prstGeom prst="rect"/>
                    <a:noFill/>
                    <a:ln w="9525" cmpd="sng" cap="flat">
                      <a:noFill/>
                      <a:prstDash val="solid"/>
                      <a:round/>
                    </a:ln>
                  </pic:spPr>
                </pic:pic>
              </a:graphicData>
            </a:graphic>
          </wp:inline>
        </w:drawing>
      </w:r>
    </w:p>
    <w:p>
      <w:pPr>
        <w:widowControl/>
        <w:autoSpaceDE/>
        <w:autoSpaceDN/>
        <w:spacing w:before="4" w:line="360" w:lineRule="auto"/>
        <w:ind w:left="420" w:right="351" w:hangingChars="200" w:hanging="420"/>
        <w:jc w:val="left"/>
        <w:rPr>
          <w:color w:val="auto"/>
        </w:rPr>
      </w:pPr>
      <w:r>
        <w:rPr>
          <w:color w:val="auto"/>
        </w:rPr>
        <w:drawing>
          <wp:inline distT="0" distB="0" distL="114300" distR="114300">
            <wp:extent cx="5213350" cy="1139189"/>
            <wp:effectExtent l="0" t="0" r="16" b="17"/>
            <wp:docPr id="78" name="图片 1"/>
            <wp:cNvGraphicFramePr>
              <a:graphicFrameLocks noChangeAspect="1"/>
            </wp:cNvGraphicFramePr>
            <a:graphic>
              <a:graphicData uri="http://schemas.openxmlformats.org/drawingml/2006/picture">
                <pic:pic>
                  <pic:nvPicPr>
                    <pic:cNvPr id="80" name="图片 1 80"/>
                    <pic:cNvPicPr/>
                  </pic:nvPicPr>
                  <pic:blipFill>
                    <a:blip r:embed="rId29"/>
                    <a:stretch>
                      <a:fillRect/>
                    </a:stretch>
                  </pic:blipFill>
                  <pic:spPr>
                    <a:xfrm rot="0">
                      <a:off x="0" y="0"/>
                      <a:ext cx="5213350" cy="1139189"/>
                    </a:xfrm>
                    <a:prstGeom prst="rect"/>
                    <a:noFill/>
                    <a:ln w="9525" cmpd="sng" cap="flat">
                      <a:noFill/>
                      <a:prstDash val="solid"/>
                      <a:round/>
                    </a:ln>
                  </pic:spPr>
                </pic:pic>
              </a:graphicData>
            </a:graphic>
          </wp:inline>
        </w:drawing>
      </w:r>
    </w:p>
    <w:p>
      <w:pPr>
        <w:widowControl/>
        <w:autoSpaceDE/>
        <w:autoSpaceDN/>
        <w:spacing w:before="4" w:line="360" w:lineRule="auto"/>
        <w:ind w:left="0" w:right="351" w:firstLineChars="200" w:firstLine="560"/>
        <w:jc w:val="left"/>
        <w:rPr>
          <w:color w:val="auto"/>
        </w:rPr>
      </w:pPr>
      <w:r>
        <w:rPr>
          <w:rFonts w:ascii="宋体" w:eastAsia="宋体" w:cs="宋体" w:hAnsi="宋体" w:hint="eastAsia"/>
          <w:color w:val="auto"/>
          <w:kern w:val="0"/>
          <w:sz w:val="28"/>
          <w:szCs w:val="28"/>
          <w:lang w:eastAsia="zh-CN"/>
        </w:rPr>
        <w:t>220kV、110kV 直埋电缆通道控制宽度指标宜符合</w:t>
      </w:r>
      <w:r>
        <w:rPr>
          <w:rFonts w:ascii="宋体" w:eastAsia="宋体" w:cs="宋体" w:hAnsi="宋体" w:hint="eastAsia"/>
          <w:color w:val="auto"/>
          <w:kern w:val="0"/>
          <w:sz w:val="28"/>
          <w:szCs w:val="28"/>
        </w:rPr>
        <w:t>钦州市城市规划技术标准与准则》（</w:t>
      </w:r>
      <w:r>
        <w:rPr>
          <w:rFonts w:ascii="宋体" w:eastAsia="宋体" w:cs="宋体" w:hAnsi="宋体"/>
          <w:color w:val="auto"/>
          <w:kern w:val="0"/>
          <w:sz w:val="28"/>
          <w:szCs w:val="28"/>
        </w:rPr>
        <w:t>2015</w:t>
      </w:r>
      <w:r>
        <w:rPr>
          <w:rFonts w:ascii="宋体" w:eastAsia="宋体" w:cs="宋体" w:hAnsi="宋体" w:hint="eastAsia"/>
          <w:color w:val="auto"/>
          <w:kern w:val="0"/>
          <w:sz w:val="28"/>
          <w:szCs w:val="28"/>
        </w:rPr>
        <w:t>年版）</w:t>
      </w:r>
      <w:r>
        <w:rPr>
          <w:rFonts w:ascii="宋体" w:eastAsia="宋体" w:cs="宋体" w:hAnsi="宋体" w:hint="eastAsia"/>
          <w:color w:val="auto"/>
          <w:kern w:val="0"/>
          <w:sz w:val="28"/>
          <w:szCs w:val="28"/>
          <w:lang w:eastAsia="zh-CN"/>
        </w:rPr>
        <w:t>表13.16 的规定，控制深度一般为2 米。本规划场区内的集电线路主要为</w:t>
      </w:r>
      <w:r>
        <w:rPr>
          <w:rFonts w:ascii="宋体" w:eastAsia="宋体" w:cs="宋体" w:hAnsi="宋体" w:hint="eastAsia"/>
          <w:color w:val="auto"/>
          <w:kern w:val="0"/>
          <w:sz w:val="28"/>
          <w:szCs w:val="28"/>
          <w:lang w:val="en-US" w:eastAsia="zh-CN"/>
        </w:rPr>
        <w:t>35kV</w:t>
      </w:r>
      <w:r>
        <w:rPr>
          <w:rFonts w:ascii="宋体" w:eastAsia="宋体" w:cs="宋体" w:hAnsi="宋体" w:hint="eastAsia"/>
          <w:color w:val="auto"/>
          <w:kern w:val="0"/>
          <w:sz w:val="28"/>
          <w:szCs w:val="28"/>
          <w:lang w:eastAsia="zh-CN"/>
        </w:rPr>
        <w:t>直埋电缆</w:t>
      </w:r>
      <w:r>
        <w:rPr>
          <w:rFonts w:ascii="宋体" w:eastAsia="宋体" w:cs="宋体" w:hAnsi="宋体" w:hint="eastAsia"/>
          <w:color w:val="auto"/>
          <w:kern w:val="0"/>
          <w:sz w:val="28"/>
          <w:szCs w:val="28"/>
          <w:lang w:val="en-US" w:eastAsia="zh-CN"/>
        </w:rPr>
        <w:t>,参照《电力工程电缆设计标准》GB50217-2018第5.3.3条相关规定，35kV</w:t>
      </w:r>
      <w:r>
        <w:rPr>
          <w:rFonts w:ascii="宋体" w:eastAsia="宋体" w:cs="宋体" w:hAnsi="宋体" w:hint="eastAsia"/>
          <w:color w:val="auto"/>
          <w:kern w:val="0"/>
          <w:sz w:val="28"/>
          <w:szCs w:val="28"/>
          <w:lang w:eastAsia="zh-CN"/>
        </w:rPr>
        <w:t>直埋电缆控制深度为电缆外皮至地面深度≥</w:t>
      </w:r>
      <w:r>
        <w:rPr>
          <w:rFonts w:ascii="宋体" w:eastAsia="宋体" w:cs="宋体" w:hAnsi="宋体" w:hint="eastAsia"/>
          <w:color w:val="auto"/>
          <w:kern w:val="0"/>
          <w:sz w:val="28"/>
          <w:szCs w:val="28"/>
          <w:lang w:val="en-US" w:eastAsia="zh-CN"/>
        </w:rPr>
        <w:t>0.7</w:t>
      </w:r>
      <w:r>
        <w:rPr>
          <w:rFonts w:ascii="宋体" w:eastAsia="宋体" w:cs="宋体" w:hAnsi="宋体" w:hint="eastAsia"/>
          <w:color w:val="auto"/>
          <w:kern w:val="0"/>
          <w:sz w:val="28"/>
          <w:szCs w:val="28"/>
          <w:lang w:eastAsia="zh-CN"/>
        </w:rPr>
        <w:t>米，</w:t>
      </w:r>
      <w:r>
        <w:rPr>
          <w:rFonts w:ascii="宋体" w:eastAsia="宋体" w:cs="宋体" w:hAnsi="宋体"/>
          <w:color w:val="auto"/>
          <w:kern w:val="0"/>
          <w:sz w:val="28"/>
          <w:szCs w:val="28"/>
          <w:lang w:eastAsia="zh-CN"/>
        </w:rPr>
        <w:t>电</w:t>
      </w:r>
      <w:r>
        <w:rPr>
          <w:rFonts w:ascii="宋体" w:eastAsia="宋体" w:cs="宋体" w:hAnsi="宋体" w:hint="eastAsia"/>
          <w:color w:val="auto"/>
          <w:kern w:val="0"/>
          <w:sz w:val="28"/>
          <w:szCs w:val="28"/>
          <w:lang w:eastAsia="zh-CN"/>
        </w:rPr>
        <w:t>缆外皮至地下构筑物基础距离≥</w:t>
      </w:r>
      <w:r>
        <w:rPr>
          <w:rFonts w:ascii="宋体" w:eastAsia="宋体" w:cs="宋体" w:hAnsi="宋体" w:hint="eastAsia"/>
          <w:color w:val="auto"/>
          <w:kern w:val="0"/>
          <w:sz w:val="28"/>
          <w:szCs w:val="28"/>
          <w:lang w:val="en-US" w:eastAsia="zh-CN"/>
        </w:rPr>
        <w:t>0.3</w:t>
      </w:r>
      <w:r>
        <w:rPr>
          <w:rFonts w:ascii="宋体" w:eastAsia="宋体" w:cs="宋体" w:hAnsi="宋体" w:hint="eastAsia"/>
          <w:color w:val="auto"/>
          <w:kern w:val="0"/>
          <w:sz w:val="28"/>
          <w:szCs w:val="28"/>
          <w:lang w:eastAsia="zh-CN"/>
        </w:rPr>
        <w:t>米，电缆通道宽度应根据电缆根数和外径由工程设计确定。</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60" w:name="_Toc5909"/>
      <w:r>
        <w:rPr>
          <w:rFonts w:ascii="宋体" w:eastAsia="宋体" w:cs="宋体" w:hAnsi="宋体" w:hint="eastAsia"/>
          <w:bCs/>
          <w:color w:val="auto"/>
          <w:sz w:val="32"/>
          <w:szCs w:val="32"/>
          <w:lang w:val="en-US" w:eastAsia="zh-CN"/>
        </w:rPr>
        <w:t>7.2地块控制指标表</w:t>
      </w:r>
      <w:bookmarkEnd w:id="60"/>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eastAsia="zh-CN"/>
        </w:rPr>
        <w:t>规划的升压站地块、各风电机组和箱变地块的用地性质均为供电用地（地类用地代码</w:t>
      </w:r>
      <w:r>
        <w:rPr>
          <w:rFonts w:ascii="宋体" w:eastAsia="宋体" w:cs="宋体" w:hAnsi="宋体" w:hint="eastAsia"/>
          <w:color w:val="auto"/>
          <w:kern w:val="0"/>
          <w:sz w:val="28"/>
          <w:szCs w:val="28"/>
          <w:lang w:val="en-US" w:eastAsia="zh-CN"/>
        </w:rPr>
        <w:t>1303</w:t>
      </w:r>
      <w:r>
        <w:rPr>
          <w:rFonts w:ascii="宋体" w:eastAsia="宋体" w:cs="宋体" w:hAnsi="宋体" w:hint="eastAsia"/>
          <w:color w:val="auto"/>
          <w:kern w:val="0"/>
          <w:sz w:val="28"/>
          <w:szCs w:val="28"/>
          <w:lang w:eastAsia="zh-CN"/>
        </w:rPr>
        <w:t>）</w:t>
      </w:r>
      <w:r>
        <w:rPr>
          <w:rFonts w:ascii="宋体" w:eastAsia="宋体" w:cs="宋体" w:hAnsi="宋体" w:hint="eastAsia"/>
          <w:color w:val="auto"/>
          <w:kern w:val="0"/>
          <w:sz w:val="28"/>
          <w:szCs w:val="28"/>
          <w:lang w:val="en-US" w:eastAsia="zh-CN"/>
        </w:rPr>
        <w:t>。钦北区古道岭风电场一期工程场址西南向的风电机组地块位置与</w:t>
      </w:r>
      <w:r>
        <w:rPr>
          <w:rFonts w:ascii="宋体" w:eastAsia="宋体" w:cs="宋体" w:hAnsi="宋体" w:hint="eastAsia"/>
          <w:color w:val="auto"/>
          <w:kern w:val="0"/>
          <w:sz w:val="28"/>
          <w:szCs w:val="28"/>
          <w:lang w:eastAsia="zh-CN"/>
        </w:rPr>
        <w:t>外部交通道口</w:t>
      </w:r>
      <w:r>
        <w:rPr>
          <w:rFonts w:ascii="宋体" w:eastAsia="宋体" w:cs="宋体" w:hAnsi="宋体" w:hint="eastAsia"/>
          <w:color w:val="auto"/>
          <w:kern w:val="0"/>
          <w:sz w:val="28"/>
          <w:szCs w:val="28"/>
        </w:rPr>
        <w:t>较近</w:t>
      </w:r>
      <w:r>
        <w:rPr>
          <w:rFonts w:ascii="宋体" w:eastAsia="宋体" w:cs="宋体" w:hAnsi="宋体" w:hint="eastAsia"/>
          <w:color w:val="auto"/>
          <w:kern w:val="0"/>
          <w:sz w:val="28"/>
          <w:szCs w:val="28"/>
          <w:lang w:eastAsia="zh-CN"/>
        </w:rPr>
        <w:t>，因此，</w:t>
      </w:r>
      <w:r>
        <w:rPr>
          <w:rFonts w:ascii="宋体" w:eastAsia="宋体" w:cs="宋体" w:hAnsi="宋体" w:hint="eastAsia"/>
          <w:color w:val="auto"/>
          <w:kern w:val="0"/>
          <w:sz w:val="28"/>
          <w:szCs w:val="28"/>
          <w:lang w:val="en-US" w:eastAsia="zh-CN"/>
        </w:rPr>
        <w:t>本规划拟从西南往东北</w:t>
      </w:r>
      <w:r>
        <w:rPr>
          <w:rFonts w:ascii="宋体" w:eastAsia="宋体" w:cs="宋体" w:hAnsi="宋体"/>
          <w:color w:val="auto"/>
          <w:kern w:val="0"/>
          <w:sz w:val="28"/>
          <w:szCs w:val="28"/>
          <w:lang w:val="en-US" w:eastAsia="zh-CN"/>
        </w:rPr>
        <w:t>方</w:t>
      </w:r>
      <w:r>
        <w:rPr>
          <w:rFonts w:ascii="宋体" w:eastAsia="宋体" w:cs="宋体" w:hAnsi="宋体" w:hint="eastAsia"/>
          <w:color w:val="auto"/>
          <w:kern w:val="0"/>
          <w:sz w:val="28"/>
          <w:szCs w:val="28"/>
          <w:lang w:val="en-US" w:eastAsia="zh-CN"/>
        </w:rPr>
        <w:t>向将33个地块依次编号为2024-12-1至2024-12-33，最终以规划主管部门定义的地块编号为准。本规划各地块位置及地块编号详见下图：</w:t>
      </w:r>
    </w:p>
    <w:p>
      <w:pPr>
        <w:pStyle w:val="15"/>
        <w:rPr>
          <w:rFonts w:hint="eastAsia"/>
          <w:color w:val="auto"/>
          <w:lang w:val="en-US" w:eastAsia="zh-CN"/>
        </w:rPr>
      </w:pPr>
      <w:r>
        <w:rPr>
          <w:rFonts w:hint="eastAsia"/>
          <w:color w:val="auto"/>
          <w:lang w:val="en-US" w:eastAsia="zh-CN"/>
        </w:rPr>
        <w:drawing>
          <wp:inline distT="0" distB="0" distL="114300" distR="114300">
            <wp:extent cx="5353050" cy="3786504"/>
            <wp:effectExtent l="0" t="0" r="13" b="6"/>
            <wp:docPr id="81" name="图片 4" descr="C:/Users/Administrator/Desktop/00总图图则编号-Model.png00总图图则编号-Model"/>
            <wp:cNvGraphicFramePr>
              <a:graphicFrameLocks noChangeAspect="1"/>
            </wp:cNvGraphicFramePr>
            <a:graphic>
              <a:graphicData uri="http://schemas.openxmlformats.org/drawingml/2006/picture">
                <pic:pic>
                  <pic:nvPicPr>
                    <pic:cNvPr id="83" name="图片 4 83"/>
                    <pic:cNvPicPr/>
                  </pic:nvPicPr>
                  <pic:blipFill>
                    <a:blip r:embed="rId30"/>
                    <a:srcRect l="42" r="42"/>
                    <a:stretch>
                      <a:fillRect/>
                    </a:stretch>
                  </pic:blipFill>
                  <pic:spPr>
                    <a:xfrm rot="0">
                      <a:off x="0" y="0"/>
                      <a:ext cx="5353050" cy="3786504"/>
                    </a:xfrm>
                    <a:prstGeom prst="rect"/>
                    <a:noFill/>
                    <a:ln w="9525" cmpd="sng" cap="flat">
                      <a:noFill/>
                      <a:prstDash val="solid"/>
                      <a:miter/>
                    </a:ln>
                  </pic:spPr>
                </pic:pic>
              </a:graphicData>
            </a:graphic>
          </wp:inline>
        </w:drawing>
      </w:r>
    </w:p>
    <w:p>
      <w:pPr>
        <w:jc w:val="center"/>
        <w:rPr>
          <w:rFonts w:hint="eastAsia"/>
          <w:b/>
          <w:bCs/>
          <w:color w:val="auto"/>
          <w:sz w:val="24"/>
          <w:szCs w:val="24"/>
          <w:lang w:val="en-US" w:eastAsia="zh-CN"/>
        </w:rPr>
      </w:pPr>
      <w:r>
        <w:rPr>
          <w:rFonts w:hint="eastAsia"/>
          <w:b/>
          <w:bCs/>
          <w:color w:val="auto"/>
          <w:sz w:val="24"/>
          <w:szCs w:val="24"/>
          <w:lang w:val="en-US" w:eastAsia="zh-CN"/>
        </w:rPr>
        <w:t>规划各地块位置及地块编号总图</w:t>
      </w:r>
    </w:p>
    <w:p>
      <w:pPr>
        <w:pStyle w:val="15"/>
        <w:rPr>
          <w:rFonts w:hint="eastAsia"/>
          <w:lang w:val="en-US" w:eastAsia="zh-CN"/>
        </w:rPr>
      </w:pP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本规划的各地块编号、用地代码、用地性质、用地面积以及其他具体管控内容详见下表：</w:t>
      </w:r>
    </w:p>
    <w:p>
      <w:pPr>
        <w:rPr>
          <w:rFonts w:ascii="宋体" w:eastAsia="宋体" w:cs="宋体" w:hAnsi="宋体" w:hint="eastAsia"/>
          <w:color w:val="auto"/>
          <w:kern w:val="0"/>
          <w:sz w:val="28"/>
          <w:szCs w:val="28"/>
          <w:lang w:val="en-US" w:eastAsia="zh-CN"/>
        </w:rPr>
      </w:pPr>
    </w:p>
    <w:p>
      <w:pPr>
        <w:pStyle w:val="15"/>
        <w:rPr>
          <w:rFonts w:ascii="宋体" w:eastAsia="宋体" w:cs="宋体" w:hAnsi="宋体" w:hint="eastAsia"/>
          <w:color w:val="auto"/>
          <w:kern w:val="0"/>
          <w:sz w:val="28"/>
          <w:szCs w:val="28"/>
          <w:lang w:val="en-US" w:eastAsia="zh-CN"/>
        </w:rPr>
      </w:pPr>
    </w:p>
    <w:p>
      <w:pPr>
        <w:rPr>
          <w:rFonts w:ascii="宋体" w:eastAsia="宋体" w:cs="宋体" w:hAnsi="宋体" w:hint="eastAsia"/>
          <w:color w:val="auto"/>
          <w:kern w:val="0"/>
          <w:sz w:val="28"/>
          <w:szCs w:val="28"/>
          <w:lang w:val="en-US" w:eastAsia="zh-CN"/>
        </w:rPr>
      </w:pPr>
    </w:p>
    <w:p>
      <w:pPr>
        <w:pStyle w:val="15"/>
        <w:rPr>
          <w:rFonts w:ascii="宋体" w:eastAsia="宋体" w:cs="宋体" w:hAnsi="宋体" w:hint="eastAsia"/>
          <w:color w:val="auto"/>
          <w:kern w:val="0"/>
          <w:sz w:val="28"/>
          <w:szCs w:val="28"/>
          <w:lang w:val="en-US" w:eastAsia="zh-CN"/>
        </w:rPr>
      </w:pPr>
    </w:p>
    <w:p>
      <w:pPr>
        <w:rPr>
          <w:rFonts w:ascii="宋体" w:eastAsia="宋体" w:cs="宋体" w:hAnsi="宋体" w:hint="eastAsia"/>
          <w:color w:val="auto"/>
          <w:kern w:val="0"/>
          <w:sz w:val="28"/>
          <w:szCs w:val="28"/>
          <w:lang w:val="en-US" w:eastAsia="zh-CN"/>
        </w:rPr>
      </w:pPr>
    </w:p>
    <w:p>
      <w:pPr>
        <w:pStyle w:val="15"/>
        <w:rPr>
          <w:rFonts w:ascii="宋体" w:eastAsia="宋体" w:cs="宋体" w:hAnsi="宋体" w:hint="eastAsia"/>
          <w:color w:val="auto"/>
          <w:kern w:val="0"/>
          <w:sz w:val="28"/>
          <w:szCs w:val="28"/>
          <w:lang w:val="en-US" w:eastAsia="zh-CN"/>
        </w:rPr>
      </w:pPr>
    </w:p>
    <w:p>
      <w:pPr>
        <w:rPr>
          <w:rFonts w:ascii="宋体" w:eastAsia="宋体" w:cs="宋体" w:hAnsi="宋体" w:hint="eastAsia"/>
          <w:color w:val="auto"/>
          <w:kern w:val="0"/>
          <w:sz w:val="28"/>
          <w:szCs w:val="28"/>
          <w:lang w:val="en-US" w:eastAsia="zh-CN"/>
        </w:rPr>
      </w:pPr>
    </w:p>
    <w:p>
      <w:pPr>
        <w:pStyle w:val="15"/>
        <w:rPr>
          <w:rFonts w:ascii="宋体" w:eastAsia="宋体" w:cs="宋体" w:hAnsi="宋体" w:hint="eastAsia"/>
          <w:color w:val="auto"/>
          <w:kern w:val="0"/>
          <w:sz w:val="28"/>
          <w:szCs w:val="28"/>
          <w:lang w:val="en-US" w:eastAsia="zh-CN"/>
        </w:rPr>
      </w:pPr>
    </w:p>
    <w:p>
      <w:pPr>
        <w:pStyle w:val="15"/>
        <w:rPr>
          <w:rFonts w:hint="eastAsia"/>
          <w:color w:val="auto"/>
          <w:lang w:val="en-US" w:eastAsia="zh-CN"/>
        </w:rPr>
      </w:pPr>
    </w:p>
    <w:p>
      <w:pPr>
        <w:rPr>
          <w:rFonts w:hint="eastAsia"/>
          <w:lang w:val="en-US" w:eastAsia="zh-CN"/>
        </w:rPr>
      </w:pPr>
    </w:p>
    <w:p>
      <w:pPr>
        <w:widowControl/>
        <w:spacing w:before="4" w:line="360" w:lineRule="auto"/>
        <w:ind w:left="118" w:right="351" w:firstLineChars="200" w:firstLine="480"/>
        <w:jc w:val="center"/>
        <w:rPr>
          <w:rFonts w:ascii="宋体" w:eastAsia="宋体" w:cs="宋体" w:hAnsi="宋体" w:hint="eastAsia"/>
          <w:color w:val="auto"/>
          <w:kern w:val="0"/>
          <w:sz w:val="24"/>
          <w:szCs w:val="24"/>
          <w:lang w:val="en-US" w:eastAsia="zh-CN"/>
        </w:rPr>
      </w:pPr>
      <w:r>
        <w:rPr>
          <w:rFonts w:ascii="宋体" w:eastAsia="宋体" w:cs="宋体" w:hAnsi="宋体" w:hint="eastAsia"/>
          <w:color w:val="auto"/>
          <w:kern w:val="0"/>
          <w:sz w:val="24"/>
          <w:szCs w:val="24"/>
          <w:lang w:val="en-US" w:eastAsia="zh-CN"/>
        </w:rPr>
        <w:t>地块控制指标一览表</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960"/>
        <w:gridCol w:w="729"/>
        <w:gridCol w:w="646"/>
        <w:gridCol w:w="721"/>
        <w:gridCol w:w="771"/>
        <w:gridCol w:w="1007"/>
        <w:gridCol w:w="760"/>
        <w:gridCol w:w="690"/>
        <w:gridCol w:w="691"/>
        <w:gridCol w:w="666"/>
        <w:gridCol w:w="464"/>
        <w:gridCol w:w="417"/>
      </w:tblGrid>
      <w:tr>
        <w:trPr>
          <w:trHeight w:val="2143"/>
          <w:tblHeader/>
        </w:trPr>
        <w:tc>
          <w:tcPr>
            <w:tcW w:w="960"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地块</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编号</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p>
        </w:tc>
        <w:tc>
          <w:tcPr>
            <w:tcW w:w="729"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用地</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代码</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p>
        </w:tc>
        <w:tc>
          <w:tcPr>
            <w:tcW w:w="646"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用地</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性质</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p>
        </w:tc>
        <w:tc>
          <w:tcPr>
            <w:tcW w:w="721"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主导</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功能</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建筑</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面积</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比例</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p>
        </w:tc>
        <w:tc>
          <w:tcPr>
            <w:tcW w:w="771"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不可</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兼容</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用地</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类型</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(负面</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清单)</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p>
        </w:tc>
        <w:tc>
          <w:tcPr>
            <w:tcW w:w="1007"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用地面积(平方米）</w:t>
            </w:r>
          </w:p>
        </w:tc>
        <w:tc>
          <w:tcPr>
            <w:tcW w:w="760"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容</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积</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率</w:t>
            </w:r>
          </w:p>
        </w:tc>
        <w:tc>
          <w:tcPr>
            <w:tcW w:w="690"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建筑密度</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/建筑系数(%)</w:t>
            </w:r>
          </w:p>
        </w:tc>
        <w:tc>
          <w:tcPr>
            <w:tcW w:w="691"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绿</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地</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率(%)</w:t>
            </w:r>
          </w:p>
        </w:tc>
        <w:tc>
          <w:tcPr>
            <w:tcW w:w="666"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建筑限高(米)</w:t>
            </w:r>
          </w:p>
        </w:tc>
        <w:tc>
          <w:tcPr>
            <w:tcW w:w="464"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配套设施</w:t>
            </w:r>
          </w:p>
        </w:tc>
        <w:tc>
          <w:tcPr>
            <w:tcW w:w="417" w:type="dxa"/>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备</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注</w:t>
            </w:r>
          </w:p>
        </w:tc>
      </w:tr>
      <w:tr>
        <w:trPr>
          <w:trHeight w:val="544"/>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12-3</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12-4</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12-5</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12-6</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12-7</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12-8</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300.48</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12-9</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12-10</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12-11</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12-12</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12-13</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12-14</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300.48</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12-15</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12-16</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12-17</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12-18</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12-19</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12-20</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12-21</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12-22</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12-23</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12-24</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12-25</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12-26</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12-27</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12-28</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12-29</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12-30</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12-31</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26.00</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箱变</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12-32</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276.45</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≤0.2</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风机</w:t>
            </w:r>
          </w:p>
        </w:tc>
      </w:tr>
      <w:tr>
        <w:trPr>
          <w:trHeight w:val="441"/>
        </w:trPr>
        <w:tc>
          <w:tcPr>
            <w:tcW w:w="9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2024-</w:t>
            </w:r>
          </w:p>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12-33</w:t>
            </w:r>
          </w:p>
        </w:tc>
        <w:tc>
          <w:tcPr>
            <w:tcW w:w="729"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1303</w:t>
            </w:r>
          </w:p>
        </w:tc>
        <w:tc>
          <w:tcPr>
            <w:tcW w:w="64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供电用地</w:t>
            </w:r>
          </w:p>
        </w:tc>
        <w:tc>
          <w:tcPr>
            <w:tcW w:w="72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100</w:t>
            </w:r>
          </w:p>
        </w:tc>
        <w:tc>
          <w:tcPr>
            <w:tcW w:w="77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100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6017.44</w:t>
            </w:r>
          </w:p>
        </w:tc>
        <w:tc>
          <w:tcPr>
            <w:tcW w:w="76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≤1.0</w:t>
            </w:r>
          </w:p>
        </w:tc>
        <w:tc>
          <w:tcPr>
            <w:tcW w:w="690"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≤30</w:t>
            </w:r>
          </w:p>
        </w:tc>
        <w:tc>
          <w:tcPr>
            <w:tcW w:w="691"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≥30</w:t>
            </w:r>
          </w:p>
        </w:tc>
        <w:tc>
          <w:tcPr>
            <w:tcW w:w="666"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≤24</w:t>
            </w:r>
          </w:p>
        </w:tc>
        <w:tc>
          <w:tcPr>
            <w:tcW w:w="464"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w:t>
            </w:r>
          </w:p>
        </w:tc>
        <w:tc>
          <w:tcPr>
            <w:tcW w:w="417" w:type="dxa"/>
            <w:tcBorders>
              <w:top w:val="single" w:sz="4" w:space="0" w:color="auto"/>
              <w:left w:val="single" w:sz="4" w:space="0" w:color="auto"/>
              <w:bottom w:val="single" w:sz="4" w:space="0" w:color="auto"/>
              <w:right w:val="single" w:sz="4" w:space="0" w:color="auto"/>
            </w:tcBorders>
            <w:vAlign w:val="center"/>
          </w:tcPr>
          <w:p>
            <w:pPr>
              <w:keepNext w:val="0"/>
              <w:keepLines w:val="0"/>
              <w:pageBreakBefore w:val="0"/>
              <w:widowControl/>
              <w:kinsoku/>
              <w:wordWrap/>
              <w:overflowPunct/>
              <w:topLinePunct w:val="0"/>
              <w:autoSpaceDE/>
              <w:autoSpaceDN/>
              <w:bidi w:val="0"/>
              <w:adjustRightInd/>
              <w:snapToGrid/>
              <w:spacing w:before="4" w:line="240" w:lineRule="auto"/>
              <w:ind w:left="0" w:right="6"/>
              <w:jc w:val="center"/>
              <w:textAlignment w:val="auto"/>
              <w:rPr>
                <w:rFonts w:ascii="宋体" w:eastAsia="宋体" w:cs="宋体" w:hAnsi="宋体" w:hint="eastAsia"/>
                <w:color w:val="auto"/>
                <w:kern w:val="0"/>
                <w:sz w:val="21"/>
                <w:szCs w:val="21"/>
                <w:vertAlign w:val="baseline"/>
                <w:lang w:val="en-US" w:eastAsia="zh-CN"/>
              </w:rPr>
            </w:pPr>
            <w:r>
              <w:rPr>
                <w:rFonts w:ascii="宋体" w:eastAsia="宋体" w:cs="宋体" w:hAnsi="宋体" w:hint="eastAsia"/>
                <w:color w:val="auto"/>
                <w:kern w:val="0"/>
                <w:sz w:val="21"/>
                <w:szCs w:val="21"/>
                <w:vertAlign w:val="baseline"/>
                <w:lang w:val="en-US" w:eastAsia="zh-CN"/>
              </w:rPr>
              <w:t>升压站</w:t>
            </w:r>
          </w:p>
        </w:tc>
      </w:tr>
    </w:tbl>
    <w:p>
      <w:pPr>
        <w:widowControl/>
        <w:autoSpaceDE/>
        <w:autoSpaceDN/>
        <w:spacing w:before="4" w:line="360" w:lineRule="auto"/>
        <w:ind w:left="0" w:right="351" w:firstLine="0"/>
        <w:jc w:val="left"/>
        <w:rPr>
          <w:color w:val="auto"/>
        </w:rPr>
      </w:pPr>
    </w:p>
    <w:p>
      <w:pPr>
        <w:pStyle w:val="1"/>
        <w:numPr>
          <w:ilvl w:val="0"/>
          <w:numId w:val="0"/>
        </w:numPr>
        <w:spacing w:before="260" w:line="360" w:lineRule="auto"/>
        <w:ind w:left="420" w:right="351"/>
        <w:jc w:val="center"/>
        <w:rPr>
          <w:rFonts w:ascii="宋体" w:eastAsia="宋体" w:cs="宋体" w:hAnsi="宋体"/>
          <w:bCs/>
          <w:color w:val="auto"/>
          <w:sz w:val="32"/>
          <w:szCs w:val="32"/>
        </w:rPr>
      </w:pPr>
      <w:bookmarkStart w:id="61" w:name="_Toc8455"/>
      <w:r>
        <w:rPr>
          <w:rFonts w:ascii="宋体" w:eastAsia="宋体" w:cs="宋体" w:hAnsi="宋体" w:hint="eastAsia"/>
          <w:bCs/>
          <w:color w:val="auto"/>
          <w:sz w:val="32"/>
          <w:szCs w:val="32"/>
          <w:lang w:eastAsia="zh-CN"/>
        </w:rPr>
        <w:t>第八章</w:t>
      </w:r>
      <w:r>
        <w:rPr>
          <w:rFonts w:ascii="宋体" w:eastAsia="宋体" w:cs="宋体" w:hAnsi="宋体" w:hint="eastAsia"/>
          <w:bCs/>
          <w:color w:val="auto"/>
          <w:sz w:val="32"/>
          <w:szCs w:val="32"/>
          <w:lang w:val="en-US" w:eastAsia="zh-CN"/>
        </w:rPr>
        <w:t xml:space="preserve"> </w:t>
      </w:r>
      <w:r>
        <w:rPr>
          <w:rFonts w:ascii="宋体" w:eastAsia="宋体" w:cs="宋体" w:hAnsi="宋体" w:hint="eastAsia"/>
          <w:bCs/>
          <w:color w:val="auto"/>
          <w:sz w:val="32"/>
          <w:szCs w:val="32"/>
          <w:lang w:eastAsia="zh-CN"/>
        </w:rPr>
        <w:t>环境保护</w:t>
      </w:r>
      <w:r>
        <w:rPr>
          <w:rFonts w:ascii="宋体" w:eastAsia="宋体" w:cs="宋体" w:hAnsi="宋体" w:hint="eastAsia"/>
          <w:bCs/>
          <w:color w:val="auto"/>
          <w:sz w:val="32"/>
          <w:szCs w:val="32"/>
        </w:rPr>
        <w:t>规划</w:t>
      </w:r>
      <w:bookmarkEnd w:id="61"/>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62" w:name="_Toc22404"/>
      <w:r>
        <w:rPr>
          <w:rFonts w:ascii="宋体" w:eastAsia="宋体" w:cs="宋体" w:hAnsi="宋体" w:hint="eastAsia"/>
          <w:bCs/>
          <w:color w:val="auto"/>
          <w:sz w:val="32"/>
          <w:szCs w:val="32"/>
          <w:lang w:val="en-US" w:eastAsia="zh-CN"/>
        </w:rPr>
        <w:t>8.1规划依据</w:t>
      </w:r>
      <w:bookmarkEnd w:id="62"/>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（1）《中华人民共和国环境保护法》（2015.1）；</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（2）《中华人民共和国环境影响评价法》（2018.12）；</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（3）《中华人民共和国大气污染防治法》（2018.10）；</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（4）《中华人民共和国水污染防治法》（2018.1）；</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（5）《中华人民共和国固体废物污染环境防治法》（2020.9）；</w:t>
      </w:r>
    </w:p>
    <w:p>
      <w:pPr>
        <w:widowControl/>
        <w:spacing w:before="4" w:line="360" w:lineRule="auto"/>
        <w:ind w:leftChars="322" w:left="676" w:right="351" w:firstLine="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w:t>
      </w:r>
      <w:r>
        <w:rPr>
          <w:rFonts w:ascii="宋体" w:eastAsia="宋体" w:cs="宋体" w:hAnsi="宋体"/>
          <w:color w:val="auto"/>
          <w:kern w:val="0"/>
          <w:sz w:val="28"/>
          <w:szCs w:val="28"/>
          <w:lang w:val="en-US" w:eastAsia="zh-CN"/>
        </w:rPr>
        <w:t>6</w:t>
      </w:r>
      <w:r>
        <w:rPr>
          <w:rFonts w:ascii="宋体" w:eastAsia="宋体" w:cs="宋体" w:hAnsi="宋体" w:hint="eastAsia"/>
          <w:color w:val="auto"/>
          <w:kern w:val="0"/>
          <w:sz w:val="28"/>
          <w:szCs w:val="28"/>
          <w:lang w:val="en-US" w:eastAsia="zh-CN"/>
        </w:rPr>
        <w:t>）《中华人民共和国土壤污染防治法》（2019.1）；</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w:t>
      </w:r>
      <w:r>
        <w:rPr>
          <w:rFonts w:ascii="宋体" w:eastAsia="宋体" w:cs="宋体" w:hAnsi="宋体"/>
          <w:color w:val="auto"/>
          <w:kern w:val="0"/>
          <w:sz w:val="28"/>
          <w:szCs w:val="28"/>
          <w:lang w:val="en-US" w:eastAsia="zh-CN"/>
        </w:rPr>
        <w:t>7</w:t>
      </w:r>
      <w:r>
        <w:rPr>
          <w:rFonts w:ascii="宋体" w:eastAsia="宋体" w:cs="宋体" w:hAnsi="宋体" w:hint="eastAsia"/>
          <w:color w:val="auto"/>
          <w:kern w:val="0"/>
          <w:sz w:val="28"/>
          <w:szCs w:val="28"/>
          <w:lang w:val="en-US" w:eastAsia="zh-CN"/>
        </w:rPr>
        <w:t>）《中华人民共和国可再生能源法》中华人民共和国主席令第23 号，2016 年1 月1 日；</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w:t>
      </w:r>
      <w:r>
        <w:rPr>
          <w:rFonts w:ascii="宋体" w:eastAsia="宋体" w:cs="宋体" w:hAnsi="宋体"/>
          <w:color w:val="auto"/>
          <w:kern w:val="0"/>
          <w:sz w:val="28"/>
          <w:szCs w:val="28"/>
          <w:lang w:val="en-US" w:eastAsia="zh-CN"/>
        </w:rPr>
        <w:t>8</w:t>
      </w:r>
      <w:r>
        <w:rPr>
          <w:rFonts w:ascii="宋体" w:eastAsia="宋体" w:cs="宋体" w:hAnsi="宋体" w:hint="eastAsia"/>
          <w:color w:val="auto"/>
          <w:kern w:val="0"/>
          <w:sz w:val="28"/>
          <w:szCs w:val="28"/>
          <w:lang w:val="en-US" w:eastAsia="zh-CN"/>
        </w:rPr>
        <w:t>）《中华人民共和国电力法》，中华人民共和国主席令第24 号，2015 年4 月24 日；</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w:t>
      </w:r>
      <w:r>
        <w:rPr>
          <w:rFonts w:ascii="宋体" w:eastAsia="宋体" w:cs="宋体" w:hAnsi="宋体"/>
          <w:color w:val="auto"/>
          <w:kern w:val="0"/>
          <w:sz w:val="28"/>
          <w:szCs w:val="28"/>
          <w:lang w:val="en-US" w:eastAsia="zh-CN"/>
        </w:rPr>
        <w:t>9</w:t>
      </w:r>
      <w:r>
        <w:rPr>
          <w:rFonts w:ascii="宋体" w:eastAsia="宋体" w:cs="宋体" w:hAnsi="宋体" w:hint="eastAsia"/>
          <w:color w:val="auto"/>
          <w:kern w:val="0"/>
          <w:sz w:val="28"/>
          <w:szCs w:val="28"/>
          <w:lang w:val="en-US" w:eastAsia="zh-CN"/>
        </w:rPr>
        <w:t>）其他有关法规。</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63" w:name="_Toc26559"/>
      <w:r>
        <w:rPr>
          <w:rFonts w:ascii="宋体" w:eastAsia="宋体" w:cs="宋体" w:hAnsi="宋体" w:hint="eastAsia"/>
          <w:bCs/>
          <w:color w:val="auto"/>
          <w:sz w:val="32"/>
          <w:szCs w:val="32"/>
          <w:lang w:val="en-US" w:eastAsia="zh-CN"/>
        </w:rPr>
        <w:t>8.2环境保护措施</w:t>
      </w:r>
      <w:bookmarkEnd w:id="63"/>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研究地块为钦北区古道岭风电场一期工程规划建设用地，该风电场项目已于2021年编制项目水土保持方案报告和项目环境影响评价报告并已得到批复，本规划在项目的建设期和营运期对环境产生的影响进行分析，主要由于工程施工期新建场内道路施工、风机场地平整与基础开挖等造成水土流失对周围生态环境产生影响，施工机械噪声、车辆尾气、施工扬尘和施工区排水对周围环境也产生一定影响；项目运营期对环境的影响主要有“三废”（废气、废水、固体废物）和噪声、电磁场等方面。提出具体保护措施如下：</w:t>
      </w:r>
    </w:p>
    <w:p>
      <w:pPr>
        <w:pStyle w:val="18"/>
        <w:widowControl/>
        <w:autoSpaceDE w:val="0"/>
        <w:autoSpaceDN w:val="0"/>
        <w:spacing w:before="4" w:line="420" w:lineRule="auto"/>
        <w:ind w:left="118" w:right="351" w:firstLineChars="200" w:firstLine="560"/>
        <w:jc w:val="left"/>
        <w:rPr>
          <w:rFonts w:ascii="宋体" w:eastAsia="宋体" w:cs="宋体" w:hAnsi="宋体" w:hint="eastAsia"/>
          <w:color w:val="auto"/>
          <w:kern w:val="0"/>
          <w:sz w:val="28"/>
          <w:szCs w:val="28"/>
          <w:lang w:val="en-US" w:eastAsia="zh-CN"/>
        </w:rPr>
      </w:pPr>
      <w:r>
        <w:rPr>
          <w:rFonts w:hint="eastAsia"/>
          <w:b/>
          <w:bCs/>
          <w:color w:val="auto"/>
          <w:sz w:val="28"/>
          <w:szCs w:val="28"/>
          <w:lang w:val="en-US" w:eastAsia="zh-CN"/>
        </w:rPr>
        <w:t>8.2.1</w:t>
      </w:r>
      <w:r>
        <w:rPr>
          <w:rFonts w:hint="eastAsia"/>
          <w:color w:val="auto"/>
        </w:rPr>
        <w:t xml:space="preserve"> </w:t>
      </w:r>
      <w:r>
        <w:rPr>
          <w:rFonts w:hint="eastAsia"/>
          <w:b/>
          <w:bCs/>
          <w:color w:val="auto"/>
          <w:sz w:val="28"/>
          <w:szCs w:val="28"/>
          <w:lang w:eastAsia="zh-CN"/>
        </w:rPr>
        <w:t>项目建设阶段环境保护措施</w:t>
      </w:r>
    </w:p>
    <w:p>
      <w:pPr>
        <w:pStyle w:val="15"/>
        <w:ind w:left="0" w:firstLineChars="200" w:firstLine="560"/>
        <w:rPr>
          <w:rFonts w:cs="宋体" w:hAnsi="宋体" w:hint="eastAsia"/>
          <w:color w:val="auto"/>
          <w:kern w:val="0"/>
          <w:sz w:val="28"/>
          <w:szCs w:val="28"/>
          <w:lang w:val="en-US" w:eastAsia="zh-CN"/>
        </w:rPr>
      </w:pPr>
      <w:r>
        <w:rPr>
          <w:rFonts w:cs="宋体" w:hAnsi="宋体" w:hint="eastAsia"/>
          <w:color w:val="auto"/>
          <w:kern w:val="0"/>
          <w:sz w:val="28"/>
          <w:szCs w:val="28"/>
          <w:lang w:val="en-US" w:eastAsia="zh-CN"/>
        </w:rPr>
        <w:t>（1）水土保持防治措施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水土保持设施应与主体工程同时设计，同时施工，同时投产使用，水土保持拦挡措施首先实施，做到“先挡后弃”，保证工程建设期和运行期的安全，控制水土流失，保护周边的生态环境。本规划按风机机组区、集电线路区、升压变电站区、道路工程区、弃土场区、临时堆土场区和施工生产生活区等7个分区布设水土保持防治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①风机机组区</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在主体设计中拟采用修建浆砌石排水沟、布置排水管等措施。施工期间在施工场地设置临时排水沟，出口处布置沉沙池，对临时堆土及裸露地表进行彩条布覆盖；施工结束后对裸露地块进行撒播草籽恢复绿化。</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②集电线路区</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施工结束后对施工区周边裸露地块采用撒播草籽+无纺布苫盖措施。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③升压变电站区</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在主体设计中拟采用修建浆砌石排水沟、浆砌片石挡土墙、场内植草绿地和景观绿化等措施。施工期间在升压变电站外围设置临时排水沟，出口处设置沉沙池，对临时堆土采用彩条布覆盖措施。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④道路工程区</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在主体设计中拟采用修建截洪排水沟、管涵和挡土墙等措施。在道路排水沟沿线设置沉沙池；对工程区填方边坡采用撒播草籽+无纺布苫盖进行防护；对工程区挖方边坡采用喷播草籽+无纺布苫盖进行防护。</w:t>
      </w:r>
    </w:p>
    <w:p>
      <w:pPr>
        <w:widowControl/>
        <w:spacing w:before="4" w:line="360" w:lineRule="auto"/>
        <w:ind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⑤弃土场区</w:t>
      </w:r>
    </w:p>
    <w:p>
      <w:pPr>
        <w:widowControl/>
        <w:spacing w:before="4" w:line="360" w:lineRule="auto"/>
        <w:ind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堆土前对弃土场进行表土剥离，用于后期绿化覆土。弃土之前在底部修建浆砌石挡土墙，沿场地周边设置截排水沟，出口处设置沉沙池；堆土结束后采用撒播草籽+无纺布苫盖措施恢复绿化。</w:t>
      </w:r>
    </w:p>
    <w:p>
      <w:pPr>
        <w:widowControl/>
        <w:spacing w:before="4" w:line="360" w:lineRule="auto"/>
        <w:ind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⑥临时堆土场区</w:t>
      </w:r>
    </w:p>
    <w:p>
      <w:pPr>
        <w:widowControl/>
        <w:spacing w:before="4" w:line="360" w:lineRule="auto"/>
        <w:ind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堆土前对弃土场进行表土剥离，用于后期绿化覆土。堆土前沿场地周边设置截排水沟，出口处设置沉沙池；在堆土边坡坡脚处设置装土编织袋临时拦挡；堆土结束后采用撒播草籽+无纺布苫盖措施恢复绿化。</w:t>
      </w:r>
    </w:p>
    <w:p>
      <w:pPr>
        <w:widowControl/>
        <w:spacing w:before="4" w:line="360" w:lineRule="auto"/>
        <w:ind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⑦施工生产生活区</w:t>
      </w:r>
    </w:p>
    <w:p>
      <w:pPr>
        <w:widowControl/>
        <w:spacing w:before="4" w:line="360" w:lineRule="auto"/>
        <w:ind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在主体设计中拟采用沿场地四周及场内修建排水沟，对场内堆土表面采用彩条布覆盖措施；施工结束后进行撒播草籽恢复绿化。</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（2）施工噪声防治措施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根据《建筑施工场界环境噪声排放标准》（GB12523-2011），施工阶段不同，噪声限值也不同。夜间除打桩阶段为禁止施工外，其它阶段限值为55dB，因此，应提倡文明施工，减少人为噪声，尽量采用低噪声有消声设备的施工机械，建立健全控制噪声的管理制度，对噪声进行监测，发现超标应及时、有效地采取控制措施。常见的控制措施有：消声、吸声、隔声和阻声。</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虽然施工噪声仅在施工期的土建施工阶段产生，随施工的结束而消失，但由于噪声较强，且日夜连续工作，将会对周围声环境产生严重影响，极易引起人们的反感，应予以重视，建议采取以下噪声防治措施：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采用较先进的、噪声较小的施工设备，并加强维护和保养，以降低声源声级；施工尽量在白天进行，如需必要的夜间施工，必须按相关规定办理作业许可，并告知周边居民，同时不宜超过24点；将有固定工作地点的施工机械应尽量设置在距居民区较远的位置，并采取适当的封闭和隔声措施；施工场界噪声的控制应达到《建筑施工场界环境噪声排放标准》的要求。</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（3）施工废水防治措施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本工程使用商混，不设混凝土拌合站，施工期废水主要来自混凝土养护废水等施工废水和施工人员的生活污水。施工期的水污染防治措施主要有：</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①风机、箱变等基础浇筑后表面洒水润湿进行养护，混凝土养护废水产生量极少，自然蒸发处理，不会对水环境产生影响。</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②施工人员生活污水统一收集、排放至施工营地内的临时化粪池内，处理后用作施工营地附近区域林地浇灌，施工结束后及时清理临时化粪池。生活污水不得排入临近的周边沟渠，不得与雨水混合后外排。</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（4）施工废气防治措施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①运输车辆严禁超载运输，避免超过车载负荷而使尾气排放量上升。</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②加强对施工机械、车辆的维修保养，提高机械设备的正常使用率，缩短工期，降低燃料废气的排放量。禁止以柴油为燃料的施工机械超负荷工作，避免因机械保养不当而导致的尾气排放量增大，对于排放量严重超标的机械应禁止使用。</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（5）施工固废防治措施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施工期间将产生固体废弃物，主要包括施工弃土、生活垃圾、各类建材包装箱袋以及设备安装包装物等。开挖的临时弃土放置于施工区内的临时堆土场，施工后期用作回填和绿化覆土，永久弃渣集中堆放到弃渣场。施工期间砖渣泥土等建筑垃圾的运输采用有封盖封闭式运渣车，运渣车辆不得超高运输，并覆盖塑料布，以免洒落。为了防止临时堆土受雨水冲刷产生水土流失，施工区临时堆土场应采取编织袋装土防护和苫布覆盖以及设置临时排水导流系统等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施工期间生活垃圾统一收集后运往临近乡镇的生活垃圾中转站处理。各类建材包装箱、袋以及设备安装包装物等统一回收利用给废品收购站。</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（6）施工扬尘防治措施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在场地平整、基础施工、电缆的电缆沟开挖、架空导线基础开挖、废弃土石方堆放、风机设备及建筑材料运输等施工过程中会产生扬尘。在施工基础土方中采用遮盖措施避免扬尘，必要时采用湿式作业。建材的堆放及混凝土拌和应定点、定位，并采取防尘措施，设置挡风板。对土石方装卸和运输产生的扬尘采取洒水、限制车速</w:t>
      </w:r>
      <w:r>
        <w:rPr>
          <w:rFonts w:ascii="宋体" w:eastAsia="宋体" w:cs="宋体" w:hAnsi="宋体"/>
          <w:color w:val="auto"/>
          <w:kern w:val="0"/>
          <w:sz w:val="28"/>
          <w:szCs w:val="28"/>
          <w:lang w:val="en-US" w:eastAsia="zh-CN"/>
        </w:rPr>
        <w:t>等</w:t>
      </w:r>
      <w:r>
        <w:rPr>
          <w:rFonts w:ascii="宋体" w:eastAsia="宋体" w:cs="宋体" w:hAnsi="宋体" w:hint="eastAsia"/>
          <w:color w:val="auto"/>
          <w:kern w:val="0"/>
          <w:sz w:val="28"/>
          <w:szCs w:val="28"/>
          <w:lang w:val="en-US" w:eastAsia="zh-CN"/>
        </w:rPr>
        <w:t>抑尘措施，以减轻对施工区附近</w:t>
      </w:r>
      <w:bookmarkStart w:id="64" w:name="_GoBack"/>
      <w:bookmarkEnd w:id="64"/>
      <w:r>
        <w:rPr>
          <w:rFonts w:ascii="宋体" w:eastAsia="宋体" w:cs="宋体" w:hAnsi="宋体" w:hint="eastAsia"/>
          <w:color w:val="auto"/>
          <w:kern w:val="0"/>
          <w:sz w:val="28"/>
          <w:szCs w:val="28"/>
          <w:lang w:val="en-US" w:eastAsia="zh-CN"/>
        </w:rPr>
        <w:t>地面环境空气质量的影响。</w:t>
      </w:r>
    </w:p>
    <w:p>
      <w:pPr>
        <w:pStyle w:val="18"/>
        <w:widowControl/>
        <w:autoSpaceDE w:val="0"/>
        <w:autoSpaceDN w:val="0"/>
        <w:spacing w:before="4" w:line="420" w:lineRule="auto"/>
        <w:ind w:left="118" w:right="351" w:firstLineChars="200" w:firstLine="560"/>
        <w:jc w:val="left"/>
        <w:rPr>
          <w:rFonts w:ascii="宋体" w:eastAsia="宋体" w:cs="宋体" w:hAnsi="宋体" w:hint="eastAsia"/>
          <w:color w:val="auto"/>
          <w:kern w:val="0"/>
          <w:sz w:val="28"/>
          <w:szCs w:val="28"/>
          <w:lang w:val="en-US" w:eastAsia="zh-CN"/>
        </w:rPr>
      </w:pPr>
      <w:r>
        <w:rPr>
          <w:rFonts w:hint="eastAsia"/>
          <w:b/>
          <w:bCs/>
          <w:color w:val="auto"/>
          <w:sz w:val="28"/>
          <w:szCs w:val="28"/>
          <w:lang w:val="en-US" w:eastAsia="zh-CN"/>
        </w:rPr>
        <w:t>8.2.2</w:t>
      </w:r>
      <w:r>
        <w:rPr>
          <w:rFonts w:hint="eastAsia"/>
          <w:color w:val="auto"/>
        </w:rPr>
        <w:t xml:space="preserve"> </w:t>
      </w:r>
      <w:r>
        <w:rPr>
          <w:rFonts w:hint="eastAsia"/>
          <w:b/>
          <w:bCs/>
          <w:color w:val="auto"/>
          <w:sz w:val="28"/>
          <w:szCs w:val="28"/>
          <w:lang w:eastAsia="zh-CN"/>
        </w:rPr>
        <w:t>项目营运阶段环境保护措施</w:t>
      </w:r>
      <w:r>
        <w:rPr>
          <w:rFonts w:ascii="宋体" w:eastAsia="宋体" w:cs="宋体" w:hAnsi="宋体" w:hint="eastAsia"/>
          <w:color w:val="auto"/>
          <w:kern w:val="0"/>
          <w:sz w:val="28"/>
          <w:szCs w:val="28"/>
          <w:lang w:val="en-US" w:eastAsia="zh-CN"/>
        </w:rPr>
        <w:t>。</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（1）水污染防治措施</w:t>
      </w:r>
    </w:p>
    <w:p>
      <w:pPr>
        <w:widowControl/>
        <w:spacing w:before="4" w:line="360" w:lineRule="auto"/>
        <w:ind w:left="118" w:right="351" w:firstLineChars="200" w:firstLine="560"/>
        <w:jc w:val="left"/>
        <w:rPr>
          <w:rFonts w:hint="eastAsia"/>
          <w:color w:val="auto"/>
          <w:lang w:val="en-US" w:eastAsia="zh-CN"/>
        </w:rPr>
      </w:pPr>
      <w:r>
        <w:rPr>
          <w:rFonts w:ascii="宋体" w:eastAsia="宋体" w:cs="宋体" w:hAnsi="宋体" w:hint="eastAsia"/>
          <w:color w:val="auto"/>
          <w:kern w:val="0"/>
          <w:sz w:val="28"/>
          <w:szCs w:val="28"/>
          <w:lang w:val="en-US" w:eastAsia="zh-CN"/>
        </w:rPr>
        <w:t>营运期废水主要为升压站内运行人员产生的生活污水、主变压器发生故障时排出的变压器油。</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①生活污水</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本工程采用目前技术成熟、经济实用的一体化污水处理装置对升压站运行人员生活污水进行处理，拟在综合楼西侧空地建设一套地埋式一体化生活污水处理设施，处理能力为0.5m³/h（即12m³/d），能满足本工程污水处理的要求。运行人员生活污水经化粪池初步处理后进入调节池调节，再经站内一体化污水处理装置处理达到《污水综合排放标准》（GB8978-1996）一级标准且满足《农田灌溉水质标准》（GB5084-2021）中的相应标准后，用于站区周边林草地灌溉。</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②事故排油</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根据工程分析，主变压器一次事故排油量约为15t，变压器油常温下密度约0.87t/m³，发生事故时排油体积约17.2m³/次。本工程在主变压器底部设有贮油坑，贮油坑的四周设挡油坎，坑底设有排油管，能将主变事故排油排至事故油池中，并在主变压器北侧设置有一座专用事故油池，有效容积为20m³，可满足主变事故排油需要。当主变发生事故时，事故排油经排油管道进入事故油池，经过油水分离，去除水分和杂质，大部分油回收利用，剩余少量废油渣交由有危险废弃物处置资质的单位进行回收处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（2）废气污染防治措施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营运期废气主要为风电场内进出的运输、维护车辆的尾气排放，应严禁车辆超载运输，避免超过车载负荷而使尾气排放量上升。</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加强对车辆的维修保养，对于排放量严重超标的车辆应禁止使用。只要通过加强工程车辆的维护，车辆排放尾气对周边环境的影响很小。</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（3）固体废物</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①一般固体废物</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A．运行维护人员生活垃圾由站内垃圾桶集中收集，然后由站内值班人员定期清运，运至风电场附近的镇垃圾转运站进行处置。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B．废旧玻璃钢材料和包装物外卖给废品收购公司综合利用，废轴承由厂家回收处置。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C．废弃含油抹布定期混入生活垃圾，统一清运至镇垃圾转运站进行处置。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②危险废物</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A．废旧机油（含废润滑油、废液压油）、废旧蓄电池、废变压器油交由有危险废物处置资质的单位进行处置。</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B．危险废物需按《危险废物收集贮存运输技术规范》（HJ2025-2012）进行管理，还应满足《危险废物贮存污染控制标准》（GB18597-2001）及其修改单的相关规定。</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（4）防噪措施</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①在设备订货时合理选择变压器、电气设备、导线；选择表面光滑、耐氧化的导线和母线，在设备安装时要保证各类接口接触良好，减少火花及电晕放电噪声。</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hint="eastAsia"/>
          <w:color w:val="auto"/>
          <w:kern w:val="0"/>
          <w:sz w:val="28"/>
          <w:szCs w:val="28"/>
          <w:lang w:val="en-US" w:eastAsia="zh-CN"/>
        </w:rPr>
        <w:t>②加强日常维护，保证风机等大噪声部件运行良好。由于本风电场内无大型集中居民点分布，风机与周边居民点的水平距离在800m 以上，风机运行噪声对当地居民基本无影响。</w:t>
      </w:r>
    </w:p>
    <w:p>
      <w:pPr>
        <w:widowControl/>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color w:val="auto"/>
          <w:kern w:val="0"/>
          <w:sz w:val="28"/>
          <w:szCs w:val="28"/>
          <w:lang w:val="en-US" w:eastAsia="zh-CN"/>
        </w:rPr>
        <w:t>（</w:t>
      </w:r>
      <w:r>
        <w:rPr>
          <w:rFonts w:ascii="宋体" w:eastAsia="宋体" w:cs="宋体" w:hAnsi="宋体" w:hint="eastAsia"/>
          <w:color w:val="auto"/>
          <w:kern w:val="0"/>
          <w:sz w:val="28"/>
          <w:szCs w:val="28"/>
          <w:lang w:val="en-US" w:eastAsia="zh-CN"/>
        </w:rPr>
        <w:t>5</w:t>
      </w:r>
      <w:r>
        <w:rPr>
          <w:rFonts w:ascii="宋体" w:eastAsia="宋体" w:cs="宋体" w:hAnsi="宋体"/>
          <w:color w:val="auto"/>
          <w:kern w:val="0"/>
          <w:sz w:val="28"/>
          <w:szCs w:val="28"/>
          <w:lang w:val="en-US" w:eastAsia="zh-CN"/>
        </w:rPr>
        <w:t>）电磁场影响防治措施</w:t>
      </w:r>
    </w:p>
    <w:p>
      <w:pPr>
        <w:widowControl/>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color w:val="auto"/>
          <w:kern w:val="0"/>
          <w:sz w:val="28"/>
          <w:szCs w:val="28"/>
          <w:lang w:val="en-US" w:eastAsia="zh-CN"/>
        </w:rPr>
        <w:t>①对产生电磁场主要来源的变压器、断路器、电流电压互感器等电气设备进行屏蔽；将机箱的孔、口、门缝的连接缝密封。</w:t>
      </w:r>
    </w:p>
    <w:p>
      <w:pPr>
        <w:widowControl/>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color w:val="auto"/>
          <w:kern w:val="0"/>
          <w:sz w:val="28"/>
          <w:szCs w:val="28"/>
          <w:lang w:val="en-US" w:eastAsia="zh-CN"/>
        </w:rPr>
        <w:t>②站区四周设置围墙，墙外布置隔离带，种植树冠较大、枝叶茂密，长势不高的常绿树</w:t>
      </w:r>
      <w:r>
        <w:rPr>
          <w:rFonts w:ascii="宋体" w:eastAsia="宋体" w:cs="宋体" w:hAnsi="宋体" w:hint="eastAsia"/>
          <w:color w:val="auto"/>
          <w:kern w:val="0"/>
          <w:sz w:val="28"/>
          <w:szCs w:val="28"/>
          <w:lang w:val="en-US" w:eastAsia="zh-CN"/>
        </w:rPr>
        <w:t>。</w:t>
      </w:r>
    </w:p>
    <w:p>
      <w:pPr>
        <w:widowControl/>
        <w:spacing w:before="4" w:line="360" w:lineRule="auto"/>
        <w:ind w:left="118" w:right="351" w:firstLineChars="200" w:firstLine="560"/>
        <w:jc w:val="left"/>
        <w:rPr>
          <w:rFonts w:ascii="宋体" w:eastAsia="宋体" w:cs="宋体" w:hAnsi="宋体"/>
          <w:color w:val="auto"/>
          <w:kern w:val="0"/>
          <w:sz w:val="28"/>
          <w:szCs w:val="28"/>
          <w:lang w:val="en-US" w:eastAsia="zh-CN"/>
        </w:rPr>
      </w:pPr>
      <w:r>
        <w:rPr>
          <w:rFonts w:ascii="宋体" w:eastAsia="宋体" w:cs="宋体" w:hAnsi="宋体"/>
          <w:color w:val="auto"/>
          <w:kern w:val="0"/>
          <w:sz w:val="28"/>
          <w:szCs w:val="28"/>
          <w:lang w:val="en-US" w:eastAsia="zh-CN"/>
        </w:rPr>
        <w:t>建设符合国家当前的产业政策，符合我国可持续发展战略，可促进地方经济的发展，是地区电网能源消耗的有益补充，具有良好的社会效益、经济效益和环境效益。</w:t>
      </w:r>
    </w:p>
    <w:p>
      <w:pPr>
        <w:widowControl/>
        <w:spacing w:before="4" w:line="360" w:lineRule="auto"/>
        <w:ind w:left="118" w:right="351" w:firstLineChars="200" w:firstLine="560"/>
        <w:jc w:val="left"/>
        <w:rPr>
          <w:rFonts w:ascii="宋体" w:eastAsia="宋体" w:cs="宋体" w:hAnsi="宋体" w:hint="eastAsia"/>
          <w:color w:val="auto"/>
          <w:kern w:val="0"/>
          <w:sz w:val="28"/>
          <w:szCs w:val="28"/>
          <w:lang w:val="en-US" w:eastAsia="zh-CN"/>
        </w:rPr>
      </w:pPr>
      <w:r>
        <w:rPr>
          <w:rFonts w:ascii="宋体" w:eastAsia="宋体" w:cs="宋体" w:hAnsi="宋体"/>
          <w:color w:val="auto"/>
          <w:kern w:val="0"/>
          <w:sz w:val="28"/>
          <w:szCs w:val="28"/>
          <w:lang w:val="en-US" w:eastAsia="zh-CN"/>
        </w:rPr>
        <w:t>本</w:t>
      </w:r>
      <w:r>
        <w:rPr>
          <w:rFonts w:ascii="宋体" w:eastAsia="宋体" w:cs="宋体" w:hAnsi="宋体" w:hint="eastAsia"/>
          <w:color w:val="auto"/>
          <w:kern w:val="0"/>
          <w:sz w:val="28"/>
          <w:szCs w:val="28"/>
          <w:lang w:val="en-US" w:eastAsia="zh-CN"/>
        </w:rPr>
        <w:t>地块</w:t>
      </w:r>
      <w:r>
        <w:rPr>
          <w:rFonts w:ascii="宋体" w:eastAsia="宋体" w:cs="宋体" w:hAnsi="宋体"/>
          <w:color w:val="auto"/>
          <w:kern w:val="0"/>
          <w:sz w:val="28"/>
          <w:szCs w:val="28"/>
          <w:lang w:val="en-US" w:eastAsia="zh-CN"/>
        </w:rPr>
        <w:t>建设过程中不可避免地会对周围环境产生一定的不利影响，主要表现为工程占地对生态环境的影响，运行期主要环境影响来源于</w:t>
      </w:r>
      <w:r>
        <w:rPr>
          <w:rFonts w:ascii="宋体" w:eastAsia="宋体" w:cs="宋体" w:hAnsi="宋体" w:hint="eastAsia"/>
          <w:color w:val="auto"/>
          <w:kern w:val="0"/>
          <w:sz w:val="28"/>
          <w:szCs w:val="28"/>
          <w:lang w:val="en-US" w:eastAsia="zh-CN"/>
        </w:rPr>
        <w:t>升压站</w:t>
      </w:r>
      <w:r>
        <w:rPr>
          <w:rFonts w:ascii="宋体" w:eastAsia="宋体" w:cs="宋体" w:hAnsi="宋体"/>
          <w:color w:val="auto"/>
          <w:kern w:val="0"/>
          <w:sz w:val="28"/>
          <w:szCs w:val="28"/>
          <w:lang w:val="en-US" w:eastAsia="zh-CN"/>
        </w:rPr>
        <w:t>及风机的电磁场和噪声影响。工程在建设和运行过程中切实做好“三同时”工作，认真落实评价中提出的生态环境保护和恢复措施、污染防治措施、环境风险防范措施和环境管理措施后，本工程建设和营运对沿线生态环境、水环境、空气环境、声环境及电磁环境的不利影响可得到有效的控制和减缓，为环境所接受</w:t>
      </w:r>
      <w:r>
        <w:rPr>
          <w:rFonts w:ascii="宋体" w:eastAsia="宋体" w:cs="宋体" w:hAnsi="宋体" w:hint="eastAsia"/>
          <w:color w:val="auto"/>
          <w:kern w:val="0"/>
          <w:sz w:val="28"/>
          <w:szCs w:val="28"/>
          <w:lang w:val="en-US" w:eastAsia="zh-CN"/>
        </w:rPr>
        <w:t>。因此，从环境保护的角度而言，研究地块的建设</w:t>
      </w:r>
      <w:r>
        <w:rPr>
          <w:rFonts w:hint="eastAsia"/>
          <w:color w:val="auto"/>
          <w:sz w:val="28"/>
          <w:szCs w:val="28"/>
          <w:lang w:val="en-US"/>
        </w:rPr>
        <w:t>对周边</w:t>
      </w:r>
      <w:r>
        <w:rPr>
          <w:rFonts w:hint="eastAsia"/>
          <w:color w:val="auto"/>
          <w:sz w:val="28"/>
          <w:szCs w:val="28"/>
          <w:lang w:val="en-US" w:eastAsia="zh-CN"/>
        </w:rPr>
        <w:t>区域</w:t>
      </w:r>
      <w:r>
        <w:rPr>
          <w:rFonts w:hint="eastAsia"/>
          <w:color w:val="auto"/>
          <w:sz w:val="28"/>
          <w:szCs w:val="28"/>
          <w:lang w:val="en-US"/>
        </w:rPr>
        <w:t>基本没有影响</w:t>
      </w:r>
      <w:r>
        <w:rPr>
          <w:rFonts w:hint="eastAsia"/>
          <w:color w:val="auto"/>
          <w:sz w:val="28"/>
          <w:szCs w:val="28"/>
          <w:lang w:val="en-US" w:eastAsia="zh-CN"/>
        </w:rPr>
        <w:t>，</w:t>
      </w:r>
      <w:r>
        <w:rPr>
          <w:rFonts w:ascii="宋体" w:eastAsia="宋体" w:cs="宋体" w:hAnsi="宋体" w:hint="eastAsia"/>
          <w:color w:val="auto"/>
          <w:kern w:val="0"/>
          <w:sz w:val="28"/>
          <w:szCs w:val="28"/>
          <w:lang w:val="en-US" w:eastAsia="zh-CN"/>
        </w:rPr>
        <w:t>是可行的。</w:t>
      </w:r>
    </w:p>
    <w:p>
      <w:pPr>
        <w:pStyle w:val="18"/>
        <w:rPr>
          <w:color w:val="auto"/>
          <w:lang w:val="en-US"/>
        </w:rPr>
      </w:pPr>
    </w:p>
    <w:p>
      <w:pPr>
        <w:pStyle w:val="1"/>
        <w:numPr>
          <w:ilvl w:val="0"/>
          <w:numId w:val="0"/>
        </w:numPr>
        <w:spacing w:before="260" w:line="360" w:lineRule="auto"/>
        <w:ind w:left="420"/>
        <w:jc w:val="center"/>
        <w:rPr>
          <w:rFonts w:ascii="宋体" w:eastAsia="宋体" w:cs="宋体" w:hAnsi="宋体" w:hint="eastAsia"/>
          <w:bCs/>
          <w:color w:val="auto"/>
          <w:sz w:val="32"/>
          <w:szCs w:val="32"/>
          <w:lang w:eastAsia="zh-CN"/>
        </w:rPr>
      </w:pPr>
      <w:bookmarkStart w:id="65" w:name="_Toc11234"/>
      <w:bookmarkStart w:id="66" w:name="_Toc19556"/>
      <w:bookmarkStart w:id="67" w:name="_Toc21433"/>
      <w:bookmarkStart w:id="68" w:name="_Toc19250"/>
      <w:bookmarkStart w:id="69" w:name="_Toc18919"/>
      <w:r>
        <w:rPr>
          <w:rFonts w:ascii="宋体" w:eastAsia="宋体" w:cs="宋体" w:hAnsi="宋体" w:hint="eastAsia"/>
          <w:bCs/>
          <w:color w:val="auto"/>
          <w:sz w:val="32"/>
          <w:szCs w:val="32"/>
          <w:lang w:eastAsia="zh-CN"/>
        </w:rPr>
        <w:t>第九章</w:t>
      </w:r>
      <w:r>
        <w:rPr>
          <w:rFonts w:ascii="宋体" w:eastAsia="宋体" w:cs="宋体" w:hAnsi="宋体" w:hint="eastAsia"/>
          <w:bCs/>
          <w:color w:val="auto"/>
          <w:sz w:val="32"/>
          <w:szCs w:val="32"/>
          <w:lang w:val="en-US" w:eastAsia="zh-CN"/>
        </w:rPr>
        <w:t xml:space="preserve"> </w:t>
      </w:r>
      <w:bookmarkEnd w:id="65"/>
      <w:bookmarkEnd w:id="66"/>
      <w:bookmarkEnd w:id="67"/>
      <w:bookmarkEnd w:id="68"/>
      <w:r>
        <w:rPr>
          <w:rFonts w:ascii="宋体" w:eastAsia="宋体" w:cs="宋体" w:hAnsi="宋体" w:hint="eastAsia"/>
          <w:bCs/>
          <w:color w:val="auto"/>
          <w:sz w:val="32"/>
          <w:szCs w:val="32"/>
          <w:lang w:eastAsia="zh-CN"/>
        </w:rPr>
        <w:t>附则</w:t>
      </w:r>
      <w:bookmarkEnd w:id="69"/>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70" w:name="_Toc17013"/>
      <w:bookmarkStart w:id="71" w:name="_Toc5762"/>
      <w:bookmarkStart w:id="72" w:name="_Toc815"/>
      <w:bookmarkStart w:id="73" w:name="_Toc16796"/>
      <w:bookmarkStart w:id="74" w:name="_Toc18853"/>
      <w:bookmarkStart w:id="75" w:name="_Toc8470"/>
      <w:r>
        <w:rPr>
          <w:rFonts w:ascii="宋体" w:eastAsia="宋体" w:cs="宋体" w:hAnsi="宋体" w:hint="eastAsia"/>
          <w:bCs/>
          <w:color w:val="auto"/>
          <w:sz w:val="32"/>
          <w:szCs w:val="32"/>
          <w:lang w:val="en-US" w:eastAsia="zh-CN"/>
        </w:rPr>
        <w:t>9.1</w:t>
      </w:r>
      <w:bookmarkEnd w:id="70"/>
      <w:bookmarkEnd w:id="71"/>
      <w:bookmarkEnd w:id="72"/>
      <w:bookmarkEnd w:id="73"/>
      <w:r>
        <w:rPr>
          <w:rFonts w:ascii="宋体" w:eastAsia="宋体" w:cs="宋体" w:hAnsi="宋体" w:hint="eastAsia"/>
          <w:bCs/>
          <w:color w:val="auto"/>
          <w:sz w:val="32"/>
          <w:szCs w:val="32"/>
          <w:lang w:val="en-US" w:eastAsia="zh-CN"/>
        </w:rPr>
        <w:t>规划成果构成</w:t>
      </w:r>
      <w:bookmarkEnd w:id="74"/>
      <w:bookmarkEnd w:id="75"/>
    </w:p>
    <w:p>
      <w:pPr>
        <w:pStyle w:val="18"/>
        <w:autoSpaceDE w:val="0"/>
        <w:autoSpaceDN w:val="0"/>
        <w:spacing w:before="4" w:line="420" w:lineRule="auto"/>
        <w:ind w:left="118" w:right="351" w:firstLine="479"/>
        <w:rPr>
          <w:rFonts w:hint="eastAsia"/>
          <w:color w:val="auto"/>
          <w:sz w:val="28"/>
          <w:szCs w:val="28"/>
          <w:lang w:val="en-US" w:eastAsia="zh-CN"/>
        </w:rPr>
      </w:pPr>
      <w:r>
        <w:rPr>
          <w:rFonts w:cs="宋体" w:hint="eastAsia"/>
          <w:color w:val="auto"/>
          <w:kern w:val="0"/>
          <w:sz w:val="28"/>
          <w:szCs w:val="28"/>
          <w:lang w:eastAsia="zh-CN"/>
        </w:rPr>
        <w:t>钦北区古道岭风电场一期工程</w:t>
      </w:r>
      <w:r>
        <w:rPr>
          <w:rFonts w:ascii="宋体" w:eastAsia="宋体" w:cs="宋体" w:hAnsi="宋体" w:hint="eastAsia"/>
          <w:color w:val="auto"/>
          <w:kern w:val="0"/>
          <w:sz w:val="28"/>
          <w:szCs w:val="28"/>
        </w:rPr>
        <w:t>项目</w:t>
      </w:r>
      <w:r>
        <w:rPr>
          <w:rFonts w:hint="eastAsia"/>
          <w:color w:val="auto"/>
          <w:sz w:val="28"/>
          <w:szCs w:val="28"/>
          <w:lang w:val="en-US" w:eastAsia="zh-CN"/>
        </w:rPr>
        <w:t>独立地块控制性详细规划报送成果由规划文档（包括规划说明、评审意见及修改落实情况、项目相关批复等附件）、规划图件（包括区位图、土地使用现状图、土地使用规划图、图则）、规划表格和矢量数据库构成。规划图纸、图则应与规划说明结合使用。</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76" w:name="_Toc539"/>
      <w:bookmarkStart w:id="77" w:name="_Toc2377"/>
      <w:bookmarkStart w:id="78" w:name="_Toc7877"/>
      <w:bookmarkStart w:id="79" w:name="_Toc13421"/>
      <w:bookmarkStart w:id="80" w:name="_Toc1273"/>
      <w:bookmarkStart w:id="81" w:name="_Toc16385"/>
      <w:r>
        <w:rPr>
          <w:rFonts w:ascii="宋体" w:eastAsia="宋体" w:cs="宋体" w:hAnsi="宋体" w:hint="eastAsia"/>
          <w:bCs/>
          <w:color w:val="auto"/>
          <w:sz w:val="32"/>
          <w:szCs w:val="32"/>
          <w:lang w:val="en-US" w:eastAsia="zh-CN"/>
        </w:rPr>
        <w:t>9.2规划控制指标</w:t>
      </w:r>
      <w:bookmarkEnd w:id="76"/>
      <w:bookmarkEnd w:id="77"/>
      <w:bookmarkEnd w:id="78"/>
      <w:bookmarkEnd w:id="79"/>
      <w:bookmarkEnd w:id="80"/>
      <w:bookmarkEnd w:id="81"/>
    </w:p>
    <w:p>
      <w:pPr>
        <w:pStyle w:val="18"/>
        <w:autoSpaceDE w:val="0"/>
        <w:autoSpaceDN w:val="0"/>
        <w:spacing w:before="4" w:line="420" w:lineRule="auto"/>
        <w:ind w:left="118" w:right="351" w:firstLine="479"/>
        <w:rPr>
          <w:rFonts w:hint="eastAsia"/>
          <w:color w:val="auto"/>
          <w:sz w:val="28"/>
          <w:szCs w:val="28"/>
          <w:lang w:val="en-US" w:eastAsia="zh-CN"/>
        </w:rPr>
      </w:pPr>
      <w:r>
        <w:rPr>
          <w:rFonts w:hint="eastAsia"/>
          <w:color w:val="auto"/>
          <w:sz w:val="28"/>
          <w:szCs w:val="28"/>
          <w:lang w:val="en-US" w:eastAsia="zh-CN"/>
        </w:rPr>
        <w:t>规划控制指标分别为约束性指标和指导性指标。用地性质、用地面积、容积率、建筑密度/建筑系数、绿地率、建筑限高原则上为约束性指标，约束性指标应该严格遵守，指导性指标可根据规划管理的需求进行适当的调整，并由规划管理部门根据实际情况对控制内容进行适时更新。</w:t>
      </w:r>
    </w:p>
    <w:p>
      <w:pPr>
        <w:pStyle w:val="1"/>
        <w:numPr>
          <w:ilvl w:val="0"/>
          <w:numId w:val="0"/>
        </w:numPr>
        <w:spacing w:before="260" w:line="360" w:lineRule="auto"/>
        <w:ind w:left="420"/>
        <w:rPr>
          <w:rFonts w:ascii="宋体" w:eastAsia="宋体" w:cs="宋体" w:hAnsi="宋体" w:hint="eastAsia"/>
          <w:bCs/>
          <w:color w:val="auto"/>
          <w:sz w:val="32"/>
          <w:szCs w:val="32"/>
          <w:lang w:val="en-US" w:eastAsia="zh-CN"/>
        </w:rPr>
      </w:pPr>
      <w:bookmarkStart w:id="82" w:name="_Toc31378"/>
      <w:bookmarkStart w:id="83" w:name="_Toc23950"/>
      <w:r>
        <w:rPr>
          <w:rFonts w:ascii="宋体" w:eastAsia="宋体" w:cs="宋体" w:hAnsi="宋体" w:hint="eastAsia"/>
          <w:bCs/>
          <w:color w:val="auto"/>
          <w:sz w:val="32"/>
          <w:szCs w:val="32"/>
          <w:lang w:val="en-US" w:eastAsia="zh-CN"/>
        </w:rPr>
        <w:t>9.3规划实施保障措施</w:t>
      </w:r>
      <w:bookmarkEnd w:id="82"/>
      <w:bookmarkEnd w:id="83"/>
    </w:p>
    <w:p>
      <w:pPr>
        <w:pStyle w:val="18"/>
        <w:autoSpaceDE w:val="0"/>
        <w:autoSpaceDN w:val="0"/>
        <w:spacing w:before="4" w:line="420" w:lineRule="auto"/>
        <w:ind w:right="351" w:firstLineChars="200" w:firstLine="560"/>
        <w:rPr>
          <w:rFonts w:hint="eastAsia"/>
          <w:color w:val="auto"/>
          <w:sz w:val="28"/>
          <w:szCs w:val="28"/>
          <w:lang w:val="en-US" w:eastAsia="zh-CN"/>
        </w:rPr>
      </w:pPr>
      <w:r>
        <w:rPr>
          <w:rFonts w:hint="eastAsia"/>
          <w:color w:val="auto"/>
          <w:sz w:val="28"/>
          <w:szCs w:val="28"/>
          <w:lang w:val="en-US" w:eastAsia="zh-CN"/>
        </w:rPr>
        <w:t>（1）严格贯彻《中华人民共和国城乡规划法》，依法进行规划、建设和管理，保证本规划的落实。</w:t>
      </w:r>
    </w:p>
    <w:p>
      <w:pPr>
        <w:pStyle w:val="18"/>
        <w:autoSpaceDE w:val="0"/>
        <w:autoSpaceDN w:val="0"/>
        <w:spacing w:before="4" w:line="420" w:lineRule="auto"/>
        <w:ind w:left="118" w:right="351" w:firstLine="479"/>
        <w:rPr>
          <w:rFonts w:hint="eastAsia"/>
          <w:color w:val="auto"/>
          <w:sz w:val="28"/>
          <w:szCs w:val="28"/>
          <w:lang w:val="en-US" w:eastAsia="zh-CN"/>
        </w:rPr>
      </w:pPr>
      <w:r>
        <w:rPr>
          <w:rFonts w:hint="eastAsia"/>
          <w:color w:val="auto"/>
          <w:sz w:val="28"/>
          <w:szCs w:val="28"/>
          <w:lang w:val="en-US" w:eastAsia="zh-CN"/>
        </w:rPr>
        <w:t>（2）大力宣传规划，提高公众对规划的参与意识和监督意识，增强民众支持规划、服从规划的自觉性。</w:t>
      </w:r>
    </w:p>
    <w:p>
      <w:pPr>
        <w:pStyle w:val="18"/>
        <w:autoSpaceDE w:val="0"/>
        <w:autoSpaceDN w:val="0"/>
        <w:spacing w:before="4" w:line="420" w:lineRule="auto"/>
        <w:ind w:left="118" w:right="351" w:firstLine="479"/>
        <w:rPr>
          <w:rFonts w:hint="eastAsia"/>
          <w:color w:val="auto"/>
          <w:sz w:val="28"/>
          <w:szCs w:val="28"/>
          <w:lang w:val="en-US" w:eastAsia="zh-CN"/>
        </w:rPr>
      </w:pPr>
      <w:r>
        <w:rPr>
          <w:rFonts w:hint="eastAsia"/>
          <w:color w:val="auto"/>
          <w:sz w:val="28"/>
          <w:szCs w:val="28"/>
          <w:lang w:val="en-US" w:eastAsia="zh-CN"/>
        </w:rPr>
        <w:t>（3）加强规划管理队伍的建设，加强对规划管理队伍的领导，充分发挥规划管理部门的职能作用。明确各级政府部门实施规划的权利和义务，建立违法、违规、违章的责任追究机制，提高规划的权威性和严肃性。</w:t>
      </w:r>
    </w:p>
    <w:p>
      <w:pPr>
        <w:pStyle w:val="18"/>
        <w:autoSpaceDE w:val="0"/>
        <w:autoSpaceDN w:val="0"/>
        <w:spacing w:before="4" w:line="420" w:lineRule="auto"/>
        <w:ind w:left="118" w:right="351" w:firstLine="479"/>
        <w:rPr>
          <w:rFonts w:ascii="宋体" w:eastAsia="宋体" w:cs="宋体" w:hAnsi="宋体" w:hint="eastAsia"/>
          <w:color w:val="auto"/>
          <w:kern w:val="0"/>
          <w:sz w:val="24"/>
          <w:lang w:eastAsia="zh-CN"/>
        </w:rPr>
      </w:pPr>
      <w:r>
        <w:rPr>
          <w:rFonts w:hint="eastAsia"/>
          <w:color w:val="auto"/>
          <w:sz w:val="28"/>
          <w:szCs w:val="28"/>
          <w:lang w:val="en-US" w:eastAsia="zh-CN"/>
        </w:rPr>
        <w:t>（4）本规划经钦北区人民政府批准后，自公布之日起施行，规划成果不得擅自随意更改。在规划实施过程中，如有确实需要修改的内容，应按《中华人民共和国城乡规划法》第四章之规定执行。</w:t>
      </w:r>
      <w:bookmarkEnd w:id="9"/>
      <w:bookmarkEnd w:id="10"/>
      <w:bookmarkEnd w:id="11"/>
      <w:bookmarkEnd w:id="12"/>
      <w:bookmarkEnd w:id="13"/>
      <w:bookmarkEnd w:id="14"/>
    </w:p>
    <w:sectPr>
      <w:footerReference w:type="default" r:id="rId5"/>
      <w:pgSz w:w="11906" w:h="16838"/>
      <w:pgMar w:top="1440" w:right="1800" w:bottom="1440" w:left="1800" w:header="851" w:footer="992" w:gutter="0"/>
      <w:pgNumType w:start="1"/>
      <w:docGrid w:type="lines" w:linePitch="312" w:charSpace="0"/>
    </w:sectPr>
  </w:body>
</w:document>
</file>

<file path=word/fontTable.xml><?xml version="1.0" encoding="utf-8"?>
<w:fonts xmlns:w="http://schemas.openxmlformats.org/wordprocessingml/2006/main" xmlns:r="http://schemas.openxmlformats.org/officeDocument/2006/relationships">
  <w:font w:name="宋体">
    <w:panose1 w:val="02010600030101010101"/>
    <w:charset w:val="80"/>
    <w:family w:val="auto"/>
    <w:pitch w:val="variable"/>
    <w:sig w:usb0="00000003" w:usb1="288F0000" w:usb2="00000006" w:usb3="00000000" w:csb0="00040001" w:csb1="00000000"/>
  </w:font>
  <w:font w:name="Times New Roman">
    <w:panose1 w:val="02020603050405020304"/>
    <w:charset w:val="86"/>
    <w:family w:val="auto"/>
    <w:pitch w:val="variable"/>
    <w:sig w:usb0="E0002AFF" w:usb1="C0007841" w:usb2="00000009" w:usb3="00000000" w:csb0="400001FF" w:csb1="FFFF0000"/>
  </w:font>
  <w:font w:name="黑体">
    <w:panose1 w:val="02010609060101010101"/>
    <w:charset w:val="86"/>
    <w:family w:val="auto"/>
    <w:pitch w:val="variable"/>
    <w:sig w:usb0="800002BF" w:usb1="38CF7CFA" w:usb2="00000016" w:usb3="00000000" w:csb0="00040001" w:csb1="00000000"/>
  </w:font>
  <w:font w:name="仿宋">
    <w:panose1 w:val="02010609060101010101"/>
    <w:charset w:val="86"/>
    <w:family w:val="modern"/>
    <w:pitch w:val="variable"/>
    <w:sig w:usb0="800002BF" w:usb1="38CF7CFA" w:usb2="00000016" w:usb3="00000000" w:csb0="00040001" w:csb1="00000000"/>
  </w:font>
  <w:font w:name="Calibri">
    <w:panose1 w:val="020F0502020204030204"/>
    <w:charset w:val="00"/>
    <w:family w:val="swiss"/>
    <w:pitch w:val="variable"/>
    <w:sig w:usb0="E00002FF" w:usb1="4000ACFF" w:usb2="00000001" w:usb3="00000000" w:csb0="2000019F" w:csb1="00000000"/>
  </w:font>
  <w:font w:name="Arial">
    <w:panose1 w:val="020B0604020202020204"/>
    <w:charset w:val="01"/>
    <w:family w:val="swiss"/>
    <w:pitch w:val="variable"/>
    <w:sig w:usb0="E0002AFF" w:usb1="C0007843" w:usb2="00000009" w:usb3="00000000" w:csb0="400001FF" w:csb1="FFFF0000"/>
  </w:font>
  <w:font w:name="Courier New">
    <w:panose1 w:val="02070409020205090404"/>
    <w:charset w:val="00"/>
    <w:family w:val="auto"/>
    <w:pitch w:val="variable"/>
    <w:sig w:usb0="00007A87" w:usb1="80000000" w:usb2="00000008" w:usb3="00000000" w:csb0="400001FF" w:csb1="FFFF0000"/>
  </w:font>
  <w:font w:name="Cambria">
    <w:panose1 w:val="02040503050406030204"/>
    <w:charset w:val="00"/>
    <w:family w:val="roman"/>
    <w:pitch w:val="variable"/>
    <w:sig w:usb0="E00002FF" w:usb1="400004FF" w:usb2="00000000" w:usb3="00000000" w:csb0="2000019F" w:csb1="00000000"/>
  </w:font>
  <w:font w:name="仿宋_GB2312">
    <w:panose1 w:val="02010609030101010101"/>
    <w:charset w:val="86"/>
    <w:family w:val="modern"/>
    <w:pitch w:val="variable"/>
    <w:sig w:usb0="00000001" w:usb1="080E0000" w:usb2="00000000" w:usb3="00000000" w:csb0="00040000" w:csb1="00000000"/>
  </w:font>
</w:fonts>
</file>

<file path=word/footer1.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spacing w:line="14" w:lineRule="auto"/>
      <w:rPr>
        <w:sz w:val="20"/>
      </w:rPr>
    </w:pPr>
  </w:p>
</w:ftr>
</file>

<file path=word/footer2.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spacing w:line="14" w:lineRule="auto"/>
      <w:rPr>
        <w:sz w:val="20"/>
      </w:rPr>
    </w:pPr>
    <w:r>
      <mc:AlternateContent>
        <mc:Choice Requires="wps">
          <w:drawing>
            <wp:anchor distT="0" distB="0" distL="114298" distR="114298" simplePos="0" relativeHeight="2" behindDoc="1" locked="0" layoutInCell="1" hidden="0" allowOverlap="1">
              <wp:simplePos x="0" y="0"/>
              <wp:positionH relativeFrom="page">
                <wp:posOffset>3696334</wp:posOffset>
              </wp:positionH>
              <wp:positionV relativeFrom="page">
                <wp:posOffset>9885045</wp:posOffset>
              </wp:positionV>
              <wp:extent cx="167005" cy="139699"/>
              <wp:effectExtent l="0" t="0" r="0" b="0"/>
              <wp:wrapNone/>
              <wp:docPr id="7" name="文本框 5"/>
              <wp:cNvGraphicFramePr>
                <a:graphicFrameLocks noChangeAspect="0"/>
              </wp:cNvGraphicFramePr>
              <a:graphic>
                <a:graphicData uri="http://schemas.microsoft.com/office/word/2010/wordprocessingShape">
                  <wps:wsp>
                    <wps:cNvSpPr/>
                    <wps:spPr>
                      <a:xfrm rot="0">
                        <a:off x="0" y="0"/>
                        <a:ext cx="167005" cy="139699"/>
                      </a:xfrm>
                      <a:prstGeom prst="rect"/>
                      <a:noFill/>
                      <a:ln w="9525" cmpd="sng" cap="flat">
                        <a:noFill/>
                        <a:prstDash val="solid"/>
                        <a:miter/>
                      </a:ln>
                    </wps:spPr>
                    <wps:txbx id="8">
                      <w:txbxContent>
                        <w:p>
                          <w:pPr>
                            <w:spacing w:line="203" w:lineRule="exact"/>
                            <w:ind w:left="40"/>
                            <w:jc w:val="left"/>
                            <w:rPr>
                              <w:rFonts w:ascii="Calibri" w:hAnsi="Calibri"/>
                              <w:sz w:val="18"/>
                            </w:rPr>
                          </w:pPr>
                          <w:r>
                            <w:rPr>
                              <w:rFonts w:ascii="Calibri" w:hAnsi="Calibri"/>
                              <w:sz w:val="18"/>
                            </w:rPr>
                            <w:fldChar w:fldCharType="begin"/>
                          </w:r>
                          <w:r>
                            <w:rPr>
                              <w:rFonts w:ascii="Calibri" w:hAnsi="Calibri"/>
                              <w:sz w:val="18"/>
                            </w:rPr>
                            <w:instrText xml:space="preserve"> PAGE </w:instrText>
                          </w:r>
                          <w:r>
                            <w:fldChar w:fldCharType="separate"/>
                          </w:r>
                          <w:r>
                            <w:rPr>
                              <w:rFonts w:ascii="Calibri" w:hAnsi="Calibri"/>
                              <w:sz w:val="18"/>
                            </w:rPr>
                            <w:t>24</w:t>
                          </w:r>
                          <w:r>
                            <w:fldChar w:fldCharType="end"/>
                          </w:r>
                        </w:p>
                      </w:txbxContent>
                    </wps:txbx>
                    <wps:bodyPr vert="horz" wrap="square" lIns="0" tIns="0" rIns="0" bIns="0" anchor="t" anchorCtr="0" upright="1">
                      <a:noAutofit/>
                    </wps:bodyPr>
                  </wps:wsp>
                </a:graphicData>
              </a:graphic>
            </wp:anchor>
          </w:drawing>
        </mc:Choice>
        <mc:Fallback>
          <w:pict>
            <v:shape type="#_x0000_t202" id="文本框 5 9" o:spid="_x0000_s9" filled="f" stroked="f" style="position:absolute;margin-left:291.05pt;margin-top:778.35pt;width:13.15pt;height:10.999985pt;z-index:-32;mso-position-horizontal:absolute;mso-position-horizontal-relative:page;mso-position-vertical:absolute;mso-position-vertical-relative:page;mso-wrap-distance-left:8.999863pt;mso-wrap-distance-right:8.999863pt;mso-wrap-style:square;">
              <v:stroke color="#000000"/>
              <v:textbox id="875" inset="0mm,0mm,0mm,0mm" o:insetmode="custom" style="layout-flow:horizontal;v-text-anchor:top;">
                <w:txbxContent>
                  <w:p>
                    <w:pPr>
                      <w:spacing w:line="203" w:lineRule="exact"/>
                      <w:ind w:left="40"/>
                      <w:jc w:val="left"/>
                      <w:rPr>
                        <w:rFonts w:ascii="Calibri" w:hAnsi="Calibri"/>
                        <w:sz w:val="18"/>
                      </w:rPr>
                    </w:pPr>
                    <w:r>
                      <w:rPr>
                        <w:rFonts w:ascii="Calibri" w:hAnsi="Calibri"/>
                        <w:sz w:val="18"/>
                      </w:rPr>
                      <w:fldChar w:fldCharType="begin"/>
                    </w:r>
                    <w:r>
                      <w:rPr>
                        <w:rFonts w:ascii="Calibri" w:hAnsi="Calibri"/>
                        <w:sz w:val="18"/>
                      </w:rPr>
                      <w:instrText xml:space="preserve"> PAGE </w:instrText>
                    </w:r>
                    <w:r>
                      <w:fldChar w:fldCharType="separate"/>
                    </w:r>
                    <w:r>
                      <w:rPr>
                        <w:rFonts w:ascii="Calibri" w:hAnsi="Calibri"/>
                        <w:sz w:val="18"/>
                      </w:rPr>
                      <w:t>24</w:t>
                    </w:r>
                    <w:r>
                      <w:fldChar w:fldCharType="end"/>
                    </w:r>
                  </w:p>
                </w:txbxContent>
              </v:textbox>
            </v:shape>
          </w:pict>
        </mc:Fallback>
      </mc:AlternateContent>
    </w:r>
  </w:p>
</w:ftr>
</file>

<file path=word/numbering.xml><?xml version="1.0" encoding="utf-8"?>
<w:numbering xmlns:w="http://schemas.openxmlformats.org/wordprocessingml/2006/main" xmlns:o="urn:schemas-microsoft-com:office:office" xmlns:r="http://schemas.openxmlformats.org/officeDocument/2006/relationships" xmlns:m="http://schemas.openxmlformats.org/officeDocument/2006/math" xmlns:v="urn:schemas-microsoft-com:vml" xmlns:mc="http://schemas.openxmlformats.org/markup-compatibility/2006" xmlns:w14="http://schemas.microsoft.com/office/word/2010/wordml">
  <w:abstractNum w:abstractNumId="0">
    <w:nsid w:val="744F699E"/>
    <w:multiLevelType w:val="singleLevel"/>
    <w:tmpl w:val="744F699E"/>
    <w:lvl w:ilvl="0">
      <w:start w:val="1"/>
      <w:numFmt w:val="chineseCounting"/>
      <w:lvlRestart w:val="0"/>
      <w:suff w:val="space"/>
      <w:lvlText w:val="第%1章"/>
      <w:lvlJc w:val="left"/>
      <w:pPr>
        <w:ind w:left="0" w:hanging="0"/>
      </w:pPr>
      <w:rPr>
        <w:rFonts w:hint="eastAsia"/>
      </w:rPr>
    </w:lvl>
  </w:abstractNum>
  <w:abstractNum w:abstractNumId="1">
    <w:nsid w:val="B6E8E2DF"/>
    <w:multiLevelType w:val="singleLevel"/>
    <w:tmpl w:val="B6E8E2DF"/>
    <w:lvl w:ilvl="0">
      <w:start w:val="3"/>
      <w:numFmt w:val="decimal"/>
      <w:lvlRestart w:val="0"/>
      <w:suff w:val="nothing"/>
      <w:lvlText w:val="（%1）"/>
      <w:lvlJc w:val="left"/>
      <w:pPr>
        <w:ind w:left="0" w:hanging="0"/>
      </w:pPr>
    </w:lvl>
  </w:abstractNum>
  <w:abstractNum w:abstractNumId="2">
    <w:nsid w:val="53AE7EC3"/>
    <w:multiLevelType w:val="singleLevel"/>
    <w:tmpl w:val="53AE7EC3"/>
    <w:lvl w:ilvl="0">
      <w:start w:val="1"/>
      <w:numFmt w:val="decimal"/>
      <w:lvlRestart w:val="0"/>
      <w:suff w:val="nothing"/>
      <w:lvlText w:val="（%1）"/>
      <w:lvlJc w:val="left"/>
      <w:pPr>
        <w:ind w:left="0" w:hanging="0"/>
      </w:pPr>
    </w:lvl>
  </w:abstractNum>
  <w:abstractNum w:abstractNumId="3">
    <w:nsid w:val="9B90A9E7"/>
    <w:multiLevelType w:val="singleLevel"/>
    <w:tmpl w:val="9B90A9E7"/>
    <w:lvl w:ilvl="0">
      <w:start w:val="1"/>
      <w:numFmt w:val="decimal"/>
      <w:lvlRestart w:val="0"/>
      <w:suff w:val="nothing"/>
      <w:lvlText w:val="%1）"/>
      <w:lvlJc w:val="left"/>
      <w:pPr>
        <w:ind w:left="0" w:hanging="0"/>
      </w:pPr>
    </w:lvl>
  </w:abstractNum>
  <w:abstractNum w:abstractNumId="4">
    <w:nsid w:val="5C51518E"/>
    <w:multiLevelType w:val="multilevel"/>
    <w:tmpl w:val="7576BC7F"/>
    <w:lvl w:ilvl="0">
      <w:start w:val="1"/>
      <w:numFmt w:val="chineseCounting"/>
      <w:lvlRestart w:val="0"/>
      <w:pStyle w:val="1"/>
      <w:suff w:val="nothing"/>
      <w:lvlText w:val="第%1章 "/>
      <w:lvlJc w:val="left"/>
      <w:pPr>
        <w:ind w:left="432" w:hanging="432"/>
      </w:pPr>
      <w:rPr>
        <w:rFonts w:hint="eastAsia"/>
      </w:rPr>
    </w:lvl>
    <w:lvl w:ilvl="1">
      <w:start w:val="1"/>
      <w:numFmt w:val="decimal"/>
      <w:pStyle w:val="2"/>
      <w:isLgl/>
      <w:lvlText w:val="%1.%2."/>
      <w:lvlJc w:val="left"/>
      <w:pPr>
        <w:ind w:left="575" w:hanging="575"/>
      </w:pPr>
      <w:rPr>
        <w:rFonts w:hint="eastAsia"/>
      </w:rPr>
    </w:lvl>
    <w:lvl w:ilvl="2">
      <w:start w:val="1"/>
      <w:numFmt w:val="decimal"/>
      <w:pStyle w:val="3"/>
      <w:isLgl/>
      <w:lvlText w:val="%1.%2.%3."/>
      <w:lvlJc w:val="left"/>
      <w:pPr>
        <w:ind w:left="720" w:hanging="720"/>
      </w:pPr>
      <w:rPr>
        <w:rFonts w:hint="eastAsia"/>
      </w:rPr>
    </w:lvl>
    <w:lvl w:ilvl="3">
      <w:start w:val="1"/>
      <w:numFmt w:val="decimal"/>
      <w:pStyle w:val="4"/>
      <w:isLgl/>
      <w:lvlText w:val="%1.%2.%3.%4."/>
      <w:lvlJc w:val="left"/>
      <w:pPr>
        <w:ind w:left="864" w:hanging="864"/>
      </w:pPr>
      <w:rPr>
        <w:rFonts w:hint="eastAsia"/>
      </w:rPr>
    </w:lvl>
    <w:lvl w:ilvl="4">
      <w:start w:val="1"/>
      <w:numFmt w:val="decimal"/>
      <w:pStyle w:val="5"/>
      <w:isLgl/>
      <w:lvlText w:val="%1.%2.%3.%4.%5."/>
      <w:lvlJc w:val="left"/>
      <w:pPr>
        <w:ind w:left="1008" w:hanging="1008"/>
      </w:pPr>
      <w:rPr>
        <w:rFonts w:hint="eastAsia"/>
      </w:rPr>
    </w:lvl>
    <w:lvl w:ilvl="5">
      <w:start w:val="1"/>
      <w:numFmt w:val="decimal"/>
      <w:pStyle w:val="6"/>
      <w:isLgl/>
      <w:lvlText w:val="%1.%2.%3.%4.%5.%6."/>
      <w:lvlJc w:val="left"/>
      <w:pPr>
        <w:ind w:left="1151" w:hanging="1151"/>
      </w:pPr>
      <w:rPr>
        <w:rFonts w:hint="eastAsia"/>
      </w:rPr>
    </w:lvl>
    <w:lvl w:ilvl="6">
      <w:start w:val="1"/>
      <w:numFmt w:val="decimal"/>
      <w:pStyle w:val="7"/>
      <w:isLgl/>
      <w:lvlText w:val="%1.%2.%3.%4.%5.%6.%7."/>
      <w:lvlJc w:val="left"/>
      <w:pPr>
        <w:ind w:left="1296" w:hanging="1296"/>
      </w:pPr>
      <w:rPr>
        <w:rFonts w:hint="eastAsia"/>
      </w:rPr>
    </w:lvl>
    <w:lvl w:ilvl="7">
      <w:start w:val="1"/>
      <w:numFmt w:val="decimal"/>
      <w:pStyle w:val="8"/>
      <w:isLgl/>
      <w:lvlText w:val="%1.%2.%3.%4.%5.%6.%7.%8."/>
      <w:lvlJc w:val="left"/>
      <w:pPr>
        <w:ind w:left="1440" w:hanging="1440"/>
      </w:pPr>
      <w:rPr>
        <w:rFonts w:hint="eastAsia"/>
      </w:rPr>
    </w:lvl>
    <w:lvl w:ilvl="8">
      <w:start w:val="1"/>
      <w:numFmt w:val="decimal"/>
      <w:pStyle w:val="9"/>
      <w:isLgl/>
      <w:lvlText w:val="%1.%2.%3.%4.%5.%6.%7.%8.%9."/>
      <w:lvlJc w:val="left"/>
      <w:pPr>
        <w:ind w:left="1583" w:hanging="1583"/>
      </w:pPr>
      <w:rPr>
        <w:rFonts w:hint="eastAsia"/>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w="http://schemas.openxmlformats.org/wordprocessingml/2006/main" xmlns:o="urn:schemas-microsoft-com:office:office" xmlns:r="http://schemas.openxmlformats.org/officeDocument/2006/relationships" xmlns:m="http://schemas.openxmlformats.org/officeDocument/2006/math" xmlns:v="urn:schemas-microsoft-com:vml">
  <w:zoom w:percent="100"/>
  <w:bordersDoNotSurroundHeader/>
  <w:bordersDoNotSurroundFooter/>
  <w:documentProtection w:edit="readOnly" w:enforcement="0"/>
  <w:defaultTabStop w:val="420"/>
  <w:drawingGridHorizontalSpacing w:val="105"/>
  <w:drawingGridVerticalSpacing w:val="156"/>
  <w:displayHorizontalDrawingGridEvery w:val="0"/>
  <w:displayVerticalDrawingGridEvery w:val="1"/>
  <w:noPunctuationKerning/>
  <w:characterSpacingControl w:val="compressPunctuation"/>
  <w:compat>
    <w:spaceForUL/>
    <w:balanceSingleByteDoubleByteWidth/>
    <w:ulTrailSpace/>
    <w:doNotExpandShiftReturn/>
    <w:adjustLineHeightInTable/>
    <w:doNotUseIndentAsNumberingTabStop/>
    <w:compatSetting w:name="compatibilityMode" w:uri="http://schemas.microsoft.com/office/word" w:val="12"/>
  </w:compat>
  <w:docVars>
    <w:docVar w:name="commondata" w:val="eyJoZGlkIjoiZGIxOWNlZTBkZTU1Zjc0NjkxMjNmYmQ3NGVkZjdkOWQifQ=="/>
  </w:docVars>
</w:settings>
</file>

<file path=word/styles.xml><?xml version="1.0" encoding="utf-8"?>
<w:styles xmlns:w="http://schemas.openxmlformats.org/wordprocessingml/2006/main" xmlns:r="http://schemas.openxmlformats.org/officeDocument/2006/relationships">
  <w:docDefaults>
    <w:rPrDefault>
      <w:rPr>
        <w:rFonts w:ascii="Times New Roman" w:eastAsia="宋体" w:hAnsi="Times New Roman" w:cs="Arial"/>
        <w:lang w:val="en-US" w:eastAsia="zh-CN" w:bidi="ar-SA"/>
      </w:rPr>
    </w:rPrDefault>
    <w:pPrDefault/>
  </w:docDefaults>
  <w:style w:type="paragraph" w:default="1" w:styleId="0">
    <w:name w:val="Normal"/>
    <w:autoRedefine/>
    <w:next w:val="15"/>
    <w:pPr>
      <w:widowControl w:val="0"/>
      <w:jc w:val="both"/>
    </w:pPr>
    <w:rPr>
      <w:rFonts w:ascii="Calibri" w:eastAsia="宋体" w:cs="Arial" w:hAnsi="Times New Roman"/>
      <w:kern w:val="2"/>
      <w:sz w:val="21"/>
      <w:szCs w:val="24"/>
      <w:lang w:val="en-US" w:eastAsia="zh-CN" w:bidi="ar-SA"/>
    </w:rPr>
  </w:style>
  <w:style w:type="paragraph" w:styleId="1">
    <w:name w:val="heading 1"/>
    <w:basedOn w:val="0"/>
    <w:next w:val="0"/>
    <w:pPr>
      <w:keepNext/>
      <w:keepLines/>
      <w:widowControl w:val="0"/>
      <w:numPr>
        <w:ilvl w:val="0"/>
        <w:numId w:val="5"/>
      </w:numPr>
      <w:spacing w:line="576" w:lineRule="auto"/>
      <w:outlineLvl w:val="0"/>
    </w:pPr>
    <w:rPr>
      <w:b/>
      <w:kern w:val="44"/>
      <w:sz w:val="44"/>
    </w:rPr>
  </w:style>
  <w:style w:type="paragraph" w:styleId="2">
    <w:name w:val="heading 2"/>
    <w:basedOn w:val="0"/>
    <w:next w:val="0"/>
    <w:pPr>
      <w:keepNext/>
      <w:keepLines/>
      <w:widowControl w:val="0"/>
      <w:numPr>
        <w:ilvl w:val="1"/>
        <w:numId w:val="5"/>
      </w:numPr>
      <w:spacing w:line="413" w:lineRule="auto"/>
      <w:outlineLvl w:val="1"/>
    </w:pPr>
    <w:rPr>
      <w:rFonts w:ascii="Arial" w:eastAsia="黑体" w:hAnsi="Arial"/>
      <w:b/>
      <w:sz w:val="32"/>
    </w:rPr>
  </w:style>
  <w:style w:type="paragraph" w:styleId="3">
    <w:name w:val="heading 3"/>
    <w:basedOn w:val="0"/>
    <w:autoRedefine/>
    <w:next w:val="0"/>
    <w:pPr>
      <w:keepNext/>
      <w:keepLines/>
      <w:widowControl w:val="0"/>
      <w:numPr>
        <w:ilvl w:val="2"/>
        <w:numId w:val="5"/>
      </w:numPr>
      <w:spacing w:line="413" w:lineRule="auto"/>
      <w:outlineLvl w:val="2"/>
    </w:pPr>
    <w:rPr>
      <w:b/>
      <w:sz w:val="32"/>
    </w:rPr>
  </w:style>
  <w:style w:type="paragraph" w:styleId="4">
    <w:name w:val="heading 4"/>
    <w:basedOn w:val="0"/>
    <w:next w:val="0"/>
    <w:pPr>
      <w:keepNext/>
      <w:keepLines/>
      <w:widowControl w:val="0"/>
      <w:numPr>
        <w:ilvl w:val="3"/>
        <w:numId w:val="5"/>
      </w:numPr>
      <w:spacing w:line="372" w:lineRule="auto"/>
      <w:outlineLvl w:val="3"/>
    </w:pPr>
    <w:rPr>
      <w:rFonts w:ascii="Arial" w:eastAsia="黑体" w:hAnsi="Arial"/>
      <w:b/>
      <w:sz w:val="28"/>
    </w:rPr>
  </w:style>
  <w:style w:type="paragraph" w:styleId="5">
    <w:name w:val="heading 5"/>
    <w:basedOn w:val="0"/>
    <w:autoRedefine/>
    <w:next w:val="0"/>
    <w:pPr>
      <w:keepNext/>
      <w:keepLines/>
      <w:widowControl w:val="0"/>
      <w:numPr>
        <w:ilvl w:val="4"/>
        <w:numId w:val="5"/>
      </w:numPr>
      <w:spacing w:line="372" w:lineRule="auto"/>
      <w:outlineLvl w:val="4"/>
    </w:pPr>
    <w:rPr>
      <w:b/>
      <w:sz w:val="28"/>
    </w:rPr>
  </w:style>
  <w:style w:type="paragraph" w:styleId="6">
    <w:name w:val="heading 6"/>
    <w:basedOn w:val="0"/>
    <w:autoRedefine/>
    <w:next w:val="0"/>
    <w:pPr>
      <w:keepNext/>
      <w:keepLines/>
      <w:widowControl w:val="0"/>
      <w:numPr>
        <w:ilvl w:val="5"/>
        <w:numId w:val="5"/>
      </w:numPr>
      <w:spacing w:line="317" w:lineRule="auto"/>
      <w:outlineLvl w:val="5"/>
    </w:pPr>
    <w:rPr>
      <w:rFonts w:ascii="Arial" w:eastAsia="黑体" w:hAnsi="Arial"/>
      <w:b/>
      <w:sz w:val="24"/>
    </w:rPr>
  </w:style>
  <w:style w:type="paragraph" w:styleId="7">
    <w:name w:val="heading 7"/>
    <w:basedOn w:val="0"/>
    <w:autoRedefine/>
    <w:next w:val="0"/>
    <w:pPr>
      <w:keepNext/>
      <w:keepLines/>
      <w:widowControl w:val="0"/>
      <w:numPr>
        <w:ilvl w:val="6"/>
        <w:numId w:val="5"/>
      </w:numPr>
      <w:spacing w:line="317" w:lineRule="auto"/>
      <w:outlineLvl w:val="6"/>
    </w:pPr>
    <w:rPr>
      <w:b/>
      <w:sz w:val="24"/>
    </w:rPr>
  </w:style>
  <w:style w:type="paragraph" w:styleId="8">
    <w:name w:val="heading 8"/>
    <w:basedOn w:val="0"/>
    <w:autoRedefine/>
    <w:next w:val="0"/>
    <w:pPr>
      <w:keepNext/>
      <w:keepLines/>
      <w:widowControl w:val="0"/>
      <w:numPr>
        <w:ilvl w:val="7"/>
        <w:numId w:val="5"/>
      </w:numPr>
      <w:spacing w:line="317" w:lineRule="auto"/>
      <w:outlineLvl w:val="7"/>
    </w:pPr>
    <w:rPr>
      <w:rFonts w:ascii="Arial" w:eastAsia="黑体" w:hAnsi="Arial"/>
      <w:sz w:val="24"/>
    </w:rPr>
  </w:style>
  <w:style w:type="paragraph" w:styleId="9">
    <w:name w:val="heading 9"/>
    <w:basedOn w:val="0"/>
    <w:autoRedefine/>
    <w:next w:val="0"/>
    <w:pPr>
      <w:keepNext/>
      <w:keepLines/>
      <w:widowControl w:val="0"/>
      <w:numPr>
        <w:ilvl w:val="8"/>
        <w:numId w:val="5"/>
      </w:numPr>
      <w:spacing w:line="317" w:lineRule="auto"/>
      <w:outlineLvl w:val="8"/>
    </w:pPr>
    <w:rPr>
      <w:rFonts w:ascii="Arial" w:eastAsia="黑体" w:hAnsi="Arial"/>
    </w:rPr>
  </w:style>
  <w:style w:type="character" w:default="1" w:styleId="10">
    <w:name w:val="Default Paragraph Font"/>
  </w:style>
  <w:style w:type="paragraph" w:customStyle="1" w:styleId="15">
    <w:name w:val="Default"/>
    <w:next w:val="0"/>
    <w:pPr>
      <w:widowControl w:val="0"/>
      <w:autoSpaceDE w:val="0"/>
      <w:autoSpaceDN w:val="0"/>
      <w:adjustRightInd w:val="0"/>
    </w:pPr>
    <w:rPr>
      <w:rFonts w:ascii="宋体" w:eastAsia="宋体" w:cs="宋体" w:hAnsi="Times New Roman"/>
      <w:color w:val="000000"/>
      <w:sz w:val="24"/>
      <w:szCs w:val="24"/>
      <w:lang w:val="en-US" w:eastAsia="zh-CN" w:bidi="ar-SA"/>
    </w:rPr>
  </w:style>
  <w:style w:type="paragraph" w:styleId="16">
    <w:name w:val="Document Map"/>
    <w:basedOn w:val="0"/>
    <w:rPr>
      <w:rFonts w:ascii="宋体" w:eastAsia="宋体"/>
      <w:sz w:val="18"/>
      <w:szCs w:val="18"/>
    </w:rPr>
  </w:style>
  <w:style w:type="paragraph" w:styleId="17">
    <w:name w:val="annotation text"/>
    <w:basedOn w:val="0"/>
    <w:autoRedefine/>
    <w:pPr>
      <w:jc w:val="left"/>
    </w:pPr>
  </w:style>
  <w:style w:type="paragraph" w:styleId="18">
    <w:name w:val="Body Text"/>
    <w:basedOn w:val="0"/>
    <w:autoRedefine/>
    <w:next w:val="0"/>
    <w:rPr>
      <w:rFonts w:ascii="宋体" w:eastAsia="宋体" w:cs="宋体" w:hAnsi="宋体"/>
      <w:sz w:val="24"/>
      <w:lang w:val="zh-CN" w:bidi="zh-CN"/>
    </w:rPr>
  </w:style>
  <w:style w:type="paragraph" w:styleId="19">
    <w:name w:val="Plain Text"/>
    <w:basedOn w:val="0"/>
    <w:rPr>
      <w:rFonts w:hAnsi="Courier New"/>
      <w:szCs w:val="20"/>
    </w:rPr>
  </w:style>
  <w:style w:type="paragraph" w:styleId="20">
    <w:name w:val="Balloon Text"/>
    <w:basedOn w:val="0"/>
    <w:rPr>
      <w:sz w:val="18"/>
      <w:szCs w:val="18"/>
    </w:rPr>
  </w:style>
  <w:style w:type="paragraph" w:styleId="21">
    <w:name w:val="footer"/>
    <w:basedOn w:val="0"/>
    <w:autoRedefine/>
    <w:pPr>
      <w:tabs>
        <w:tab w:val="center" w:pos="4153"/>
        <w:tab w:val="right" w:pos="8306"/>
      </w:tabs>
      <w:snapToGrid w:val="0"/>
      <w:jc w:val="left"/>
    </w:pPr>
    <w:rPr>
      <w:sz w:val="18"/>
    </w:rPr>
  </w:style>
  <w:style w:type="paragraph" w:styleId="22">
    <w:name w:val="header"/>
    <w:basedOn w:val="0"/>
    <w:autoRedefine/>
    <w:pPr>
      <w:pBdr>
        <w:top w:val="none" w:sz="0" w:space="0" w:color="auto"/>
        <w:left w:val="none" w:sz="0" w:space="0" w:color="auto"/>
        <w:bottom w:val="none" w:sz="0" w:space="0" w:color="auto"/>
        <w:right w:val="none" w:sz="0" w:space="0" w:color="auto"/>
      </w:pBdr>
      <w:tabs>
        <w:tab w:val="center" w:pos="4153"/>
        <w:tab w:val="right" w:pos="8306"/>
      </w:tabs>
      <w:snapToGrid w:val="0"/>
    </w:pPr>
    <w:rPr>
      <w:sz w:val="18"/>
    </w:rPr>
  </w:style>
  <w:style w:type="paragraph" w:styleId="23">
    <w:name w:val="toc 1"/>
    <w:basedOn w:val="0"/>
    <w:autoRedefine/>
    <w:next w:val="0"/>
    <w:rPr>
      <w:rFonts w:ascii="Calibri" w:hAnsi="Calibri"/>
      <w:sz w:val="28"/>
    </w:rPr>
  </w:style>
  <w:style w:type="paragraph" w:styleId="24">
    <w:name w:val="toc 2"/>
    <w:basedOn w:val="0"/>
    <w:autoRedefine/>
    <w:next w:val="0"/>
    <w:pPr>
      <w:ind w:leftChars="200" w:left="200"/>
    </w:pPr>
  </w:style>
  <w:style w:type="paragraph" w:styleId="25">
    <w:name w:val="Normal (Web)"/>
    <w:basedOn w:val="0"/>
    <w:autoRedefine/>
    <w:next w:val="15"/>
    <w:pPr>
      <w:keepNext w:val="0"/>
      <w:keepLines w:val="0"/>
      <w:pageBreakBefore w:val="0"/>
      <w:widowControl/>
      <w:suppressLineNumbers w:val="0"/>
      <w:pBdr>
        <w:top w:val="none" w:sz="0" w:space="0" w:color="auto"/>
        <w:left w:val="none" w:sz="0" w:space="0" w:color="auto"/>
        <w:bottom w:val="none" w:sz="0" w:space="0" w:color="auto"/>
        <w:right w:val="none" w:sz="0" w:space="0" w:color="auto"/>
      </w:pBdr>
      <w:suppressAutoHyphens w:val="0"/>
      <w:kinsoku/>
      <w:wordWrap/>
      <w:overflowPunct/>
      <w:topLinePunct w:val="0"/>
      <w:autoSpaceDE/>
      <w:autoSpaceDN/>
      <w:bidi w:val="0"/>
      <w:adjustRightInd/>
      <w:snapToGrid/>
      <w:spacing w:before="100" w:beforeAutospacing="1" w:after="100" w:afterAutospacing="1" w:line="240" w:lineRule="auto"/>
      <w:ind w:left="0" w:right="0" w:firstLine="0"/>
      <w:contextualSpacing w:val="0"/>
      <w:jc w:val="left"/>
      <w:textAlignment w:val="auto"/>
      <w:outlineLvl w:val="9"/>
    </w:pPr>
    <w:rPr>
      <w:rFonts w:ascii="宋体" w:eastAsia="宋体"/>
      <w:b w:val="0"/>
      <w:i w:val="0"/>
      <w:caps w:val="0"/>
      <w:smallCaps w:val="0"/>
      <w:strike w:val="0"/>
      <w:dstrike w:val="0"/>
      <w:snapToGrid/>
      <w:vanish w:val="0"/>
      <w:color w:val="auto"/>
      <w:spacing w:val="0"/>
      <w:w w:val="100"/>
      <w:kern w:val="0"/>
      <w:position w:val="0"/>
      <w:sz w:val="24"/>
      <w:szCs w:val="21"/>
      <w:u w:val="none" w:color="auto"/>
      <w:vertAlign w:val="baseline"/>
      <w:em w:val="none"/>
      <w:lang w:val="en-US" w:eastAsia="zh-CN" w:bidi="ar-SA"/>
    </w:rPr>
  </w:style>
  <w:style w:type="paragraph" w:styleId="26">
    <w:name w:val="Title"/>
    <w:basedOn w:val="0"/>
    <w:next w:val="0"/>
    <w:pPr>
      <w:spacing w:before="240" w:after="60"/>
      <w:jc w:val="center"/>
      <w:outlineLvl w:val="0"/>
    </w:pPr>
    <w:rPr>
      <w:rFonts w:ascii="Cambria" w:hAnsi="Cambria"/>
      <w:b/>
      <w:bCs/>
      <w:sz w:val="32"/>
      <w:szCs w:val="32"/>
    </w:rPr>
  </w:style>
  <w:style w:type="character" w:styleId="27">
    <w:name w:val="Strong"/>
    <w:basedOn w:val="10"/>
    <w:autoRedefine/>
    <w:rPr>
      <w:b/>
    </w:rPr>
  </w:style>
  <w:style w:type="paragraph" w:customStyle="1" w:styleId="28">
    <w:name w:val="Table Paragraph"/>
    <w:basedOn w:val="0"/>
    <w:autoRedefine/>
    <w:rPr>
      <w:lang w:val="zh-CN" w:bidi="zh-CN"/>
    </w:rPr>
  </w:style>
  <w:style w:type="paragraph" w:styleId="29">
    <w:name w:val="List Paragraph"/>
    <w:basedOn w:val="0"/>
    <w:autoRedefine/>
    <w:pPr>
      <w:ind w:firstLineChars="200" w:firstLine="200"/>
    </w:pPr>
  </w:style>
  <w:style w:type="character" w:customStyle="1" w:styleId="30">
    <w:name w:val="font11"/>
    <w:basedOn w:val="10"/>
    <w:rPr>
      <w:rFonts w:ascii="宋体" w:eastAsia="宋体" w:cs="宋体" w:hAnsi="宋体"/>
      <w:color w:val="000000"/>
      <w:sz w:val="22"/>
      <w:szCs w:val="22"/>
      <w:u w:val="none"/>
      <w:vertAlign w:val="superscript"/>
    </w:rPr>
  </w:style>
  <w:style w:type="paragraph" w:customStyle="1" w:styleId="31">
    <w:name w:val="6其他格式"/>
    <w:basedOn w:val="0"/>
    <w:pPr>
      <w:adjustRightInd w:val="0"/>
      <w:snapToGrid w:val="0"/>
      <w:spacing w:after="156" w:line="360" w:lineRule="auto"/>
      <w:ind w:firstLineChars="200" w:firstLine="200"/>
    </w:pPr>
    <w:rPr>
      <w:rFonts w:ascii="Calibri" w:eastAsia="仿宋_GB2312" w:hAnsi="Calibri"/>
      <w:sz w:val="24"/>
      <w:szCs w:val="22"/>
    </w:rPr>
  </w:style>
  <w:style w:type="paragraph" w:customStyle="1" w:styleId="32">
    <w:name w:val="6正文文本"/>
    <w:basedOn w:val="18"/>
    <w:pPr>
      <w:adjustRightInd w:val="0"/>
      <w:snapToGrid w:val="0"/>
      <w:spacing w:line="360" w:lineRule="auto"/>
      <w:ind w:firstLineChars="200" w:firstLine="200"/>
      <w:jc w:val="both"/>
    </w:pPr>
    <w:rPr>
      <w:rFonts w:ascii="Times New Roman" w:eastAsia="宋体" w:hAnsi="Times New Roman"/>
      <w:sz w:val="21"/>
      <w:szCs w:val="22"/>
    </w:rPr>
  </w:style>
  <w:style w:type="paragraph" w:customStyle="1" w:styleId="33">
    <w:name w:val="6表格内容"/>
    <w:basedOn w:val="0"/>
    <w:pPr>
      <w:adjustRightInd w:val="0"/>
      <w:snapToGrid w:val="0"/>
    </w:pPr>
    <w:rPr>
      <w:rFonts w:eastAsia="仿宋_GB2312"/>
      <w:szCs w:val="22"/>
    </w:rPr>
  </w:style>
</w:styles>
</file>

<file path=word/_rels/document.xml.rels><?xml version="1.0" encoding="UTF-8" standalone="yes"?>
<Relationships xmlns="http://schemas.openxmlformats.org/package/2006/relationships"><Relationship Id="rId1" Type="http://schemas.openxmlformats.org/officeDocument/2006/relationships/settings" Target="settings.xml"/><Relationship Id="rId2" Type="http://schemas.openxmlformats.org/officeDocument/2006/relationships/footer" Target="footer1.xml"/><Relationship Id="rId3" Type="http://schemas.openxmlformats.org/officeDocument/2006/relationships/image" Target="media/2.jpeg"/><Relationship Id="rId4" Type="http://schemas.openxmlformats.org/officeDocument/2006/relationships/image" Target="media/5.jpeg"/><Relationship Id="rId5" Type="http://schemas.openxmlformats.org/officeDocument/2006/relationships/footer" Target="footer2.xml"/><Relationship Id="rId6" Type="http://schemas.openxmlformats.org/officeDocument/2006/relationships/image" Target="media/11.png"/><Relationship Id="rId7" Type="http://schemas.openxmlformats.org/officeDocument/2006/relationships/image" Target="media/14.png"/><Relationship Id="rId8" Type="http://schemas.openxmlformats.org/officeDocument/2006/relationships/image" Target="media/17.png"/><Relationship Id="rId9" Type="http://schemas.openxmlformats.org/officeDocument/2006/relationships/image" Target="media/20.png"/><Relationship Id="rId10" Type="http://schemas.openxmlformats.org/officeDocument/2006/relationships/image" Target="media/23.png"/><Relationship Id="rId11" Type="http://schemas.openxmlformats.org/officeDocument/2006/relationships/image" Target="media/26.png"/><Relationship Id="rId12" Type="http://schemas.openxmlformats.org/officeDocument/2006/relationships/image" Target="media/29.png"/><Relationship Id="rId13" Type="http://schemas.openxmlformats.org/officeDocument/2006/relationships/image" Target="media/32.png"/><Relationship Id="rId14" Type="http://schemas.openxmlformats.org/officeDocument/2006/relationships/image" Target="media/35.png"/><Relationship Id="rId15" Type="http://schemas.openxmlformats.org/officeDocument/2006/relationships/image" Target="media/38.png"/><Relationship Id="rId16" Type="http://schemas.openxmlformats.org/officeDocument/2006/relationships/image" Target="media/41.png"/><Relationship Id="rId17" Type="http://schemas.openxmlformats.org/officeDocument/2006/relationships/image" Target="media/44.png"/><Relationship Id="rId18" Type="http://schemas.openxmlformats.org/officeDocument/2006/relationships/image" Target="media/47.png"/><Relationship Id="rId19" Type="http://schemas.openxmlformats.org/officeDocument/2006/relationships/image" Target="media/14.png"/><Relationship Id="rId20" Type="http://schemas.openxmlformats.org/officeDocument/2006/relationships/image" Target="media/52.png"/><Relationship Id="rId21" Type="http://schemas.openxmlformats.org/officeDocument/2006/relationships/image" Target="media/55.png"/><Relationship Id="rId22" Type="http://schemas.openxmlformats.org/officeDocument/2006/relationships/image" Target="media/58.png"/><Relationship Id="rId23" Type="http://schemas.openxmlformats.org/officeDocument/2006/relationships/image" Target="media/61.png"/><Relationship Id="rId24" Type="http://schemas.openxmlformats.org/officeDocument/2006/relationships/image" Target="media/64.png"/><Relationship Id="rId25" Type="http://schemas.openxmlformats.org/officeDocument/2006/relationships/image" Target="media/67.png"/><Relationship Id="rId26" Type="http://schemas.openxmlformats.org/officeDocument/2006/relationships/image" Target="media/70.png"/><Relationship Id="rId27" Type="http://schemas.openxmlformats.org/officeDocument/2006/relationships/image" Target="media/73.png"/><Relationship Id="rId28" Type="http://schemas.openxmlformats.org/officeDocument/2006/relationships/image" Target="media/76.png"/><Relationship Id="rId29" Type="http://schemas.openxmlformats.org/officeDocument/2006/relationships/image" Target="media/79.png"/><Relationship Id="rId30" Type="http://schemas.openxmlformats.org/officeDocument/2006/relationships/image" Target="media/82.png"/><Relationship Id="rId31" Type="http://schemas.openxmlformats.org/officeDocument/2006/relationships/styles" Target="styles.xml"/><Relationship Id="rId32" Type="http://schemas.openxmlformats.org/officeDocument/2006/relationships/numbering" Target="numbering.xml"/><Relationship Id="rId33" Type="http://schemas.openxmlformats.org/officeDocument/2006/relationships/fontTable" Target="fontTable.xml"/></Relationships>
</file>

<file path=docProps/app.xml><?xml version="1.0" encoding="utf-8"?>
<Properties xmlns="http://schemas.openxmlformats.org/officeDocument/2006/extended-properties">
  <Template>Normal.eit</Template>
  <TotalTime>12</TotalTime>
  <Application>Yozo_Office27021597764231179</Application>
  <Pages>78</Pages>
  <Words>0</Words>
  <Characters>26337</Characters>
  <Lines>0</Lines>
  <Paragraphs>693</Paragraphs>
  <CharactersWithSpaces>35116</CharactersWithSpaces>
</Properties>
</file>

<file path=docProps/core.xml><?xml version="1.0" encoding="utf-8"?>
<cp:coreProperties xmlns:cp="http://schemas.openxmlformats.org/package/2006/metadata/core-properties" xmlns:dc="http://purl.org/dc/elements/1.1/" xmlns:dcterms="http://purl.org/dc/terms/" xmlns:xsi="http://www.w3.org/2001/XMLSchema-instance">
  <dc:creator>Administrator</dc:creator>
  <cp:lastModifiedBy>User</cp:lastModifiedBy>
  <cp:revision>2</cp:revision>
  <dcterms:created xsi:type="dcterms:W3CDTF">2023-08-09T07:06:00Z</dcterms:created>
  <dcterms:modified xsi:type="dcterms:W3CDTF">2025-10-29T08:20:50Z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2052-12.1.0.22529</vt:lpwstr>
  </property>
  <property fmtid="{D5CDD505-2E9C-101B-9397-08002B2CF9AE}" pid="3" name="ICV">
    <vt:lpwstr>1CF45F97D4BC4B608B3904E73C8A516A_13</vt:lpwstr>
  </property>
  <property fmtid="{D5CDD505-2E9C-101B-9397-08002B2CF9AE}" pid="4" name="KSOTemplateDocerSaveRecord">
    <vt:lpwstr>eyJoZGlkIjoiZDc1OGQzY2ZmNTYwYjNiMzQzOTQzZWQ3ZTUzMGMyNTkifQ==</vt:lpwstr>
  </property>
</Properties>
</file>