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settings.xml" ContentType="application/vnd.openxmlformats-officedocument.wordprocessingml.settings+xml"/>
  <Override PartName="/word/footer1.xml" ContentType="application/vnd.openxmlformats-officedocument.wordprocessingml.footer+xml"/>
  <Override PartName="/word/footer2.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body>
    <w:p>
      <w:pPr>
        <w:widowControl/>
        <w:ind w:firstLineChars="200" w:firstLine="720"/>
        <w:jc w:val="center"/>
        <w:rPr>
          <w:rFonts w:ascii="宋体" w:eastAsia="宋体" w:cs="宋体" w:hAnsi="宋体"/>
          <w:b/>
          <w:bCs/>
          <w:color w:val="auto"/>
          <w:kern w:val="0"/>
          <w:sz w:val="36"/>
          <w:szCs w:val="36"/>
        </w:rPr>
      </w:pPr>
    </w:p>
    <w:p>
      <w:pPr>
        <w:widowControl/>
        <w:ind w:firstLineChars="200" w:firstLine="720"/>
        <w:jc w:val="center"/>
        <w:rPr>
          <w:rFonts w:ascii="宋体" w:eastAsia="宋体" w:cs="宋体" w:hAnsi="宋体"/>
          <w:b/>
          <w:bCs/>
          <w:color w:val="auto"/>
          <w:kern w:val="0"/>
          <w:sz w:val="36"/>
          <w:szCs w:val="36"/>
        </w:rPr>
      </w:pPr>
    </w:p>
    <w:p>
      <w:pPr>
        <w:widowControl/>
        <w:ind w:firstLineChars="200" w:firstLine="720"/>
        <w:jc w:val="center"/>
        <w:rPr>
          <w:rFonts w:ascii="宋体" w:eastAsia="宋体" w:cs="宋体" w:hAnsi="宋体"/>
          <w:b/>
          <w:bCs/>
          <w:color w:val="auto"/>
          <w:kern w:val="0"/>
          <w:sz w:val="36"/>
          <w:szCs w:val="36"/>
        </w:rPr>
      </w:pPr>
    </w:p>
    <w:p>
      <w:pPr>
        <w:widowControl/>
        <w:ind w:firstLineChars="200" w:firstLine="720"/>
        <w:jc w:val="center"/>
        <w:rPr>
          <w:rFonts w:ascii="宋体" w:eastAsia="宋体" w:cs="宋体" w:hAnsi="宋体"/>
          <w:b/>
          <w:bCs/>
          <w:color w:val="auto"/>
          <w:kern w:val="0"/>
          <w:sz w:val="36"/>
          <w:szCs w:val="36"/>
        </w:rPr>
      </w:pPr>
    </w:p>
    <w:p>
      <w:pPr>
        <w:widowControl/>
        <w:jc w:val="center"/>
        <w:rPr>
          <w:rFonts w:ascii="宋体" w:eastAsia="宋体" w:cs="宋体" w:hAnsi="宋体" w:hint="eastAsia"/>
          <w:b/>
          <w:bCs/>
          <w:color w:val="auto"/>
          <w:kern w:val="0"/>
          <w:sz w:val="44"/>
          <w:szCs w:val="44"/>
          <w:lang w:eastAsia="zh-CN"/>
        </w:rPr>
      </w:pPr>
      <w:r>
        <w:rPr>
          <w:rFonts w:ascii="宋体" w:eastAsia="宋体" w:cs="宋体" w:hAnsi="宋体" w:hint="eastAsia"/>
          <w:b/>
          <w:bCs/>
          <w:color w:val="auto"/>
          <w:kern w:val="0"/>
          <w:sz w:val="44"/>
          <w:szCs w:val="44"/>
          <w:lang w:eastAsia="zh-CN"/>
        </w:rPr>
        <w:t>钦北区百浪岭风电场一期项目</w:t>
      </w:r>
    </w:p>
    <w:p>
      <w:pPr>
        <w:widowControl/>
        <w:jc w:val="center"/>
        <w:rPr>
          <w:rFonts w:ascii="宋体" w:eastAsia="宋体" w:cs="宋体" w:hAnsi="宋体" w:hint="eastAsia"/>
          <w:b/>
          <w:bCs/>
          <w:color w:val="auto"/>
          <w:kern w:val="0"/>
          <w:sz w:val="44"/>
          <w:szCs w:val="44"/>
        </w:rPr>
      </w:pPr>
      <w:r>
        <w:rPr>
          <w:rFonts w:ascii="宋体" w:eastAsia="宋体" w:cs="宋体" w:hAnsi="宋体" w:hint="eastAsia"/>
          <w:b/>
          <w:bCs/>
          <w:color w:val="auto"/>
          <w:kern w:val="0"/>
          <w:sz w:val="44"/>
          <w:szCs w:val="44"/>
        </w:rPr>
        <w:t>独立地块控制性详细规划</w:t>
      </w:r>
    </w:p>
    <w:p>
      <w:pPr>
        <w:widowControl/>
        <w:jc w:val="center"/>
        <w:rPr>
          <w:rFonts w:ascii="宋体" w:eastAsia="宋体" w:cs="宋体" w:hAnsi="宋体" w:hint="eastAsia"/>
          <w:b/>
          <w:bCs/>
          <w:color w:val="auto"/>
          <w:kern w:val="0"/>
          <w:sz w:val="44"/>
          <w:szCs w:val="44"/>
        </w:rPr>
      </w:pPr>
    </w:p>
    <w:p>
      <w:pPr>
        <w:widowControl/>
        <w:jc w:val="center"/>
        <w:rPr>
          <w:rFonts w:ascii="宋体" w:eastAsia="宋体" w:cs="宋体" w:hAnsi="宋体" w:hint="eastAsia"/>
          <w:b/>
          <w:bCs/>
          <w:color w:val="auto"/>
          <w:kern w:val="0"/>
          <w:sz w:val="44"/>
          <w:szCs w:val="44"/>
        </w:rPr>
      </w:pPr>
    </w:p>
    <w:p>
      <w:pPr>
        <w:widowControl/>
        <w:jc w:val="center"/>
        <w:rPr>
          <w:rFonts w:ascii="宋体" w:eastAsia="宋体" w:cs="宋体" w:hAnsi="宋体" w:hint="eastAsia"/>
          <w:b/>
          <w:bCs/>
          <w:color w:val="auto"/>
          <w:kern w:val="0"/>
          <w:sz w:val="44"/>
          <w:szCs w:val="44"/>
        </w:rPr>
      </w:pPr>
    </w:p>
    <w:p>
      <w:pPr>
        <w:widowControl/>
        <w:jc w:val="center"/>
        <w:rPr>
          <w:rFonts w:ascii="宋体" w:eastAsia="宋体" w:cs="宋体" w:hAnsi="宋体" w:hint="eastAsia"/>
          <w:b/>
          <w:bCs/>
          <w:color w:val="auto"/>
          <w:kern w:val="0"/>
          <w:sz w:val="44"/>
          <w:szCs w:val="44"/>
        </w:rPr>
      </w:pPr>
    </w:p>
    <w:p>
      <w:pPr>
        <w:widowControl/>
        <w:jc w:val="center"/>
        <w:rPr>
          <w:rFonts w:ascii="宋体" w:eastAsia="宋体" w:cs="宋体" w:hAnsi="宋体" w:hint="eastAsia"/>
          <w:b/>
          <w:bCs/>
          <w:color w:val="auto"/>
          <w:kern w:val="0"/>
          <w:sz w:val="44"/>
          <w:szCs w:val="44"/>
        </w:rPr>
      </w:pPr>
    </w:p>
    <w:p>
      <w:pPr>
        <w:widowControl/>
        <w:jc w:val="center"/>
        <w:rPr>
          <w:rFonts w:ascii="宋体" w:eastAsia="宋体" w:cs="宋体" w:hAnsi="宋体"/>
          <w:b/>
          <w:bCs/>
          <w:color w:val="auto"/>
          <w:kern w:val="0"/>
          <w:sz w:val="36"/>
          <w:szCs w:val="36"/>
        </w:rPr>
      </w:pPr>
    </w:p>
    <w:p>
      <w:pPr>
        <w:widowControl/>
        <w:jc w:val="center"/>
        <w:rPr>
          <w:rFonts w:ascii="宋体" w:eastAsia="宋体" w:cs="宋体" w:hAnsi="宋体"/>
          <w:b/>
          <w:bCs/>
          <w:color w:val="auto"/>
          <w:kern w:val="0"/>
          <w:sz w:val="36"/>
          <w:szCs w:val="36"/>
        </w:rPr>
      </w:pPr>
    </w:p>
    <w:p>
      <w:pPr>
        <w:widowControl/>
        <w:jc w:val="center"/>
        <w:rPr>
          <w:rFonts w:ascii="宋体" w:eastAsia="宋体" w:cs="宋体" w:hAnsi="宋体"/>
          <w:b/>
          <w:bCs/>
          <w:color w:val="auto"/>
          <w:kern w:val="0"/>
          <w:sz w:val="36"/>
          <w:szCs w:val="36"/>
        </w:rPr>
      </w:pPr>
    </w:p>
    <w:p>
      <w:pPr>
        <w:widowControl/>
        <w:jc w:val="center"/>
        <w:rPr>
          <w:rFonts w:ascii="宋体" w:eastAsia="宋体" w:cs="宋体" w:hAnsi="宋体"/>
          <w:b/>
          <w:bCs/>
          <w:color w:val="auto"/>
          <w:kern w:val="0"/>
          <w:sz w:val="36"/>
          <w:szCs w:val="36"/>
        </w:rPr>
      </w:pPr>
    </w:p>
    <w:p>
      <w:pPr>
        <w:widowControl/>
        <w:jc w:val="center"/>
        <w:rPr>
          <w:rFonts w:ascii="宋体" w:eastAsia="宋体" w:cs="宋体" w:hAnsi="宋体"/>
          <w:b/>
          <w:bCs/>
          <w:color w:val="auto"/>
          <w:kern w:val="0"/>
          <w:sz w:val="36"/>
          <w:szCs w:val="36"/>
        </w:rPr>
      </w:pPr>
    </w:p>
    <w:p>
      <w:pPr>
        <w:widowControl/>
        <w:jc w:val="center"/>
        <w:rPr>
          <w:rFonts w:ascii="宋体" w:eastAsia="宋体" w:cs="宋体" w:hAnsi="宋体"/>
          <w:b/>
          <w:bCs/>
          <w:color w:val="auto"/>
          <w:kern w:val="0"/>
          <w:sz w:val="36"/>
          <w:szCs w:val="36"/>
        </w:rPr>
      </w:pPr>
    </w:p>
    <w:p>
      <w:pPr>
        <w:pStyle w:val="17"/>
        <w:rPr>
          <w:rFonts w:ascii="宋体" w:eastAsia="宋体" w:cs="宋体" w:hAnsi="宋体"/>
          <w:b/>
          <w:bCs/>
          <w:color w:val="auto"/>
          <w:kern w:val="0"/>
          <w:sz w:val="36"/>
          <w:szCs w:val="36"/>
        </w:rPr>
      </w:pPr>
    </w:p>
    <w:p>
      <w:pPr>
        <w:rPr>
          <w:rFonts w:ascii="宋体" w:eastAsia="宋体" w:cs="宋体" w:hAnsi="宋体"/>
          <w:b/>
          <w:bCs/>
          <w:color w:val="auto"/>
          <w:kern w:val="0"/>
          <w:sz w:val="36"/>
          <w:szCs w:val="36"/>
        </w:rPr>
      </w:pPr>
    </w:p>
    <w:p>
      <w:pPr>
        <w:pStyle w:val="17"/>
        <w:rPr>
          <w:rFonts w:ascii="宋体" w:eastAsia="宋体" w:cs="宋体" w:hAnsi="宋体"/>
          <w:b/>
          <w:bCs/>
          <w:color w:val="auto"/>
          <w:kern w:val="0"/>
          <w:sz w:val="36"/>
          <w:szCs w:val="36"/>
        </w:rPr>
      </w:pPr>
    </w:p>
    <w:p>
      <w:pPr>
        <w:rPr>
          <w:rFonts w:ascii="宋体" w:eastAsia="宋体" w:cs="宋体" w:hAnsi="宋体"/>
          <w:b/>
          <w:bCs/>
          <w:color w:val="auto"/>
          <w:kern w:val="0"/>
          <w:sz w:val="36"/>
          <w:szCs w:val="36"/>
        </w:rPr>
      </w:pPr>
    </w:p>
    <w:p>
      <w:pPr>
        <w:pStyle w:val="17"/>
        <w:rPr>
          <w:rFonts w:ascii="宋体" w:eastAsia="宋体" w:cs="宋体" w:hAnsi="宋体"/>
          <w:b/>
          <w:bCs/>
          <w:color w:val="auto"/>
          <w:kern w:val="0"/>
          <w:sz w:val="36"/>
          <w:szCs w:val="36"/>
        </w:rPr>
      </w:pPr>
    </w:p>
    <w:p>
      <w:pPr>
        <w:rPr>
          <w:color w:val="auto"/>
        </w:rPr>
      </w:pPr>
    </w:p>
    <w:p>
      <w:pPr>
        <w:pStyle w:val="31"/>
        <w:keepNext w:val="0"/>
        <w:keepLines w:val="0"/>
        <w:pageBreakBefore w:val="0"/>
        <w:widowControl w:val="0"/>
        <w:kinsoku/>
        <w:wordWrap/>
        <w:overflowPunct/>
        <w:topLinePunct w:val="0"/>
        <w:autoSpaceDE/>
        <w:autoSpaceDN/>
        <w:bidi w:val="0"/>
        <w:adjustRightInd w:val="0"/>
        <w:snapToGrid w:val="0"/>
        <w:spacing w:beforeLines="150" w:before="360" w:line="240" w:lineRule="auto"/>
        <w:ind w:firstLineChars="300" w:firstLine="960"/>
        <w:jc w:val="left"/>
        <w:textAlignment w:val="auto"/>
        <w:rPr>
          <w:rFonts w:ascii="Times New Roman" w:eastAsia="黑体" w:hAnsi="Times New Roman" w:hint="eastAsia"/>
          <w:b/>
          <w:bCs/>
          <w:color w:val="auto"/>
          <w:sz w:val="32"/>
          <w:szCs w:val="32"/>
          <w:lang w:eastAsia="zh-CN"/>
          <w:highlight w:val="auto"/>
        </w:rPr>
      </w:pPr>
      <w:r>
        <w:rPr>
          <w:rFonts w:ascii="Times New Roman" w:eastAsia="黑体" w:hAnsi="Times New Roman" w:hint="eastAsia"/>
          <w:b/>
          <w:bCs/>
          <w:color w:val="auto"/>
          <w:sz w:val="32"/>
          <w:szCs w:val="32"/>
          <w:lang w:eastAsia="zh-CN"/>
          <w:highlight w:val="auto"/>
        </w:rPr>
        <w:t>委托单位：钦州市钦北区自然资源局</w:t>
      </w:r>
    </w:p>
    <w:p>
      <w:pPr>
        <w:pStyle w:val="31"/>
        <w:keepNext w:val="0"/>
        <w:keepLines w:val="0"/>
        <w:pageBreakBefore w:val="0"/>
        <w:widowControl w:val="0"/>
        <w:kinsoku/>
        <w:wordWrap/>
        <w:overflowPunct/>
        <w:topLinePunct w:val="0"/>
        <w:autoSpaceDE/>
        <w:autoSpaceDN/>
        <w:bidi w:val="0"/>
        <w:adjustRightInd w:val="0"/>
        <w:snapToGrid w:val="0"/>
        <w:spacing w:beforeLines="150" w:before="360" w:line="240" w:lineRule="auto"/>
        <w:ind w:firstLineChars="300" w:firstLine="960"/>
        <w:jc w:val="left"/>
        <w:textAlignment w:val="auto"/>
        <w:rPr>
          <w:rFonts w:ascii="Times New Roman" w:eastAsia="黑体" w:hAnsi="Times New Roman" w:hint="eastAsia"/>
          <w:b/>
          <w:bCs/>
          <w:color w:val="auto"/>
          <w:sz w:val="32"/>
          <w:szCs w:val="32"/>
          <w:lang w:eastAsia="zh-CN"/>
          <w:highlight w:val="auto"/>
        </w:rPr>
      </w:pPr>
      <w:r>
        <w:rPr>
          <w:rFonts w:ascii="Times New Roman" w:eastAsia="黑体" w:hAnsi="Times New Roman"/>
          <w:b/>
          <w:bCs/>
          <w:color w:val="auto"/>
          <w:sz w:val="32"/>
          <w:szCs w:val="32"/>
          <w:highlight w:val="auto"/>
        </w:rPr>
        <w:t>编制单位：</w:t>
      </w:r>
      <w:r>
        <w:rPr>
          <w:rFonts w:ascii="Times New Roman" w:eastAsia="黑体" w:hAnsi="Times New Roman" w:hint="eastAsia"/>
          <w:b/>
          <w:bCs/>
          <w:color w:val="auto"/>
          <w:sz w:val="32"/>
          <w:szCs w:val="32"/>
          <w:highlight w:val="auto"/>
        </w:rPr>
        <w:t>广西众诚汇金工程技术有限公司</w:t>
      </w:r>
    </w:p>
    <w:p>
      <w:pPr>
        <w:pStyle w:val="31"/>
        <w:keepNext w:val="0"/>
        <w:keepLines w:val="0"/>
        <w:pageBreakBefore w:val="0"/>
        <w:widowControl w:val="0"/>
        <w:kinsoku/>
        <w:wordWrap/>
        <w:overflowPunct/>
        <w:topLinePunct w:val="0"/>
        <w:autoSpaceDE/>
        <w:autoSpaceDN/>
        <w:bidi w:val="0"/>
        <w:adjustRightInd w:val="0"/>
        <w:snapToGrid w:val="0"/>
        <w:spacing w:beforeLines="150" w:before="360" w:line="240" w:lineRule="auto"/>
        <w:ind w:left="0" w:firstLineChars="300" w:firstLine="960"/>
        <w:jc w:val="left"/>
        <w:textAlignment w:val="auto"/>
        <w:rPr>
          <w:rFonts w:ascii="Times New Roman" w:eastAsia="黑体" w:hAnsi="Times New Roman" w:hint="eastAsia"/>
          <w:b/>
          <w:bCs/>
          <w:color w:val="auto"/>
          <w:sz w:val="32"/>
          <w:szCs w:val="32"/>
          <w:lang w:val="en-US" w:eastAsia="zh-CN"/>
          <w:highlight w:val="auto"/>
        </w:rPr>
      </w:pPr>
      <w:r>
        <w:rPr>
          <w:rFonts w:ascii="Times New Roman" w:eastAsia="黑体" w:hAnsi="Times New Roman"/>
          <w:b/>
          <w:bCs/>
          <w:color w:val="auto"/>
          <w:sz w:val="32"/>
          <w:szCs w:val="32"/>
          <w:highlight w:val="auto"/>
        </w:rPr>
        <w:t>编制日期：二〇</w:t>
      </w:r>
      <w:r>
        <w:rPr>
          <w:rFonts w:ascii="Times New Roman" w:eastAsia="黑体" w:hAnsi="Times New Roman" w:hint="eastAsia"/>
          <w:b/>
          <w:bCs/>
          <w:color w:val="auto"/>
          <w:sz w:val="32"/>
          <w:szCs w:val="32"/>
          <w:highlight w:val="auto"/>
        </w:rPr>
        <w:t>二</w:t>
      </w:r>
      <w:r>
        <w:rPr>
          <w:rFonts w:ascii="Times New Roman" w:eastAsia="黑体" w:hAnsi="Times New Roman" w:hint="eastAsia"/>
          <w:b/>
          <w:bCs/>
          <w:color w:val="auto"/>
          <w:sz w:val="32"/>
          <w:szCs w:val="32"/>
          <w:lang w:eastAsia="zh-CN"/>
          <w:highlight w:val="auto"/>
        </w:rPr>
        <w:t>五</w:t>
      </w:r>
      <w:r>
        <w:rPr>
          <w:rFonts w:ascii="Times New Roman" w:eastAsia="黑体" w:hAnsi="Times New Roman"/>
          <w:b/>
          <w:bCs/>
          <w:color w:val="auto"/>
          <w:sz w:val="32"/>
          <w:szCs w:val="32"/>
          <w:highlight w:val="auto"/>
        </w:rPr>
        <w:t>年</w:t>
      </w:r>
      <w:r>
        <w:rPr>
          <w:rFonts w:ascii="Times New Roman" w:eastAsia="黑体" w:hAnsi="Times New Roman" w:hint="eastAsia"/>
          <w:b/>
          <w:bCs/>
          <w:color w:val="auto"/>
          <w:sz w:val="32"/>
          <w:szCs w:val="32"/>
          <w:lang w:eastAsia="zh-CN"/>
          <w:highlight w:val="auto"/>
        </w:rPr>
        <w:t>八</w:t>
      </w:r>
      <w:r>
        <w:rPr>
          <w:rFonts w:ascii="Times New Roman" w:eastAsia="黑体" w:hAnsi="Times New Roman"/>
          <w:b/>
          <w:bCs/>
          <w:color w:val="auto"/>
          <w:sz w:val="32"/>
          <w:szCs w:val="32"/>
          <w:highlight w:val="auto"/>
        </w:rPr>
        <w:t>月</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0" w:firstLine="0"/>
        <w:jc w:val="both"/>
        <w:textAlignment w:val="auto"/>
        <w:rPr>
          <w:rFonts w:hint="eastAsia"/>
          <w:b/>
          <w:bCs/>
          <w:color w:val="auto"/>
          <w:sz w:val="28"/>
          <w:szCs w:val="28"/>
          <w:lang w:eastAsia="zh-CN"/>
        </w:rPr>
      </w:pPr>
      <w:r>
        <w:rPr>
          <w:rFonts w:hint="eastAsia"/>
          <w:b/>
          <w:bCs/>
          <w:color w:val="auto"/>
          <w:sz w:val="28"/>
          <w:szCs w:val="28"/>
          <w:lang w:eastAsia="zh-CN"/>
        </w:rPr>
        <w:t>项目名称：钦北区百浪岭风电场一期项目独立地块控制性详细规划</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0" w:firstLine="0"/>
        <w:jc w:val="both"/>
        <w:textAlignment w:val="auto"/>
        <w:rPr>
          <w:rFonts w:hint="eastAsia"/>
          <w:b/>
          <w:bCs/>
          <w:color w:val="auto"/>
          <w:sz w:val="28"/>
          <w:szCs w:val="28"/>
          <w:lang w:val="en-US" w:eastAsia="zh-CN"/>
        </w:rPr>
      </w:pPr>
      <w:r>
        <w:rPr>
          <w:rFonts w:hint="eastAsia"/>
          <w:b/>
          <w:bCs/>
          <w:color w:val="auto"/>
          <w:sz w:val="28"/>
          <w:szCs w:val="28"/>
          <w:lang w:val="en-US" w:eastAsia="zh-CN"/>
        </w:rPr>
        <w:t>编制单位：广西众诚汇金工程技术有限公司</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0" w:firstLine="0"/>
        <w:jc w:val="both"/>
        <w:textAlignment w:val="auto"/>
        <w:rPr>
          <w:rFonts w:hint="eastAsia"/>
          <w:b/>
          <w:bCs/>
          <w:color w:val="auto"/>
          <w:sz w:val="28"/>
          <w:szCs w:val="28"/>
          <w:lang w:val="en-US" w:eastAsia="zh-CN"/>
        </w:rPr>
      </w:pPr>
      <w:r>
        <w:rPr>
          <w:rFonts w:hint="eastAsia"/>
          <w:b/>
          <w:bCs/>
          <w:color w:val="auto"/>
          <w:sz w:val="28"/>
          <w:szCs w:val="28"/>
          <w:lang w:val="en-US" w:eastAsia="zh-CN"/>
        </w:rPr>
        <w:t>资质等级：土地规划乙级</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0" w:firstLine="0"/>
        <w:jc w:val="both"/>
        <w:textAlignment w:val="auto"/>
        <w:rPr>
          <w:rFonts w:hint="eastAsia"/>
          <w:b/>
          <w:bCs/>
          <w:color w:val="auto"/>
          <w:sz w:val="28"/>
          <w:szCs w:val="28"/>
          <w:lang w:val="en-US" w:eastAsia="zh-CN"/>
        </w:rPr>
      </w:pPr>
      <w:r>
        <w:rPr>
          <w:rFonts w:hint="eastAsia"/>
          <w:b/>
          <w:bCs/>
          <w:color w:val="auto"/>
          <w:sz w:val="28"/>
          <w:szCs w:val="28"/>
          <w:lang w:val="en-US" w:eastAsia="zh-CN"/>
        </w:rPr>
        <w:t>证书编号：201810</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0" w:firstLine="0"/>
        <w:jc w:val="both"/>
        <w:textAlignment w:val="auto"/>
        <w:rPr>
          <w:rFonts w:hint="eastAsia"/>
          <w:b w:val="0"/>
          <w:bCs w:val="0"/>
          <w:color w:val="auto"/>
          <w:sz w:val="28"/>
          <w:szCs w:val="28"/>
          <w:lang w:val="en-US" w:eastAsia="zh-CN"/>
        </w:rPr>
      </w:pPr>
      <w:r>
        <w:rPr>
          <w:rFonts w:hint="eastAsia"/>
          <w:b w:val="0"/>
          <w:bCs w:val="0"/>
          <w:color w:val="auto"/>
          <w:sz w:val="28"/>
          <w:szCs w:val="28"/>
          <w:lang w:val="en-US" w:eastAsia="zh-CN"/>
        </w:rPr>
        <w:t>项目负责人：   杨开福（工程师）</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0" w:firstLine="0"/>
        <w:jc w:val="both"/>
        <w:textAlignment w:val="auto"/>
        <w:rPr>
          <w:rFonts w:hint="eastAsia"/>
          <w:b w:val="0"/>
          <w:bCs w:val="0"/>
          <w:color w:val="auto"/>
          <w:sz w:val="28"/>
          <w:szCs w:val="28"/>
          <w:lang w:val="en-US" w:eastAsia="zh-CN"/>
        </w:rPr>
      </w:pPr>
      <w:r>
        <w:rPr>
          <w:rFonts w:hint="eastAsia"/>
          <w:b w:val="0"/>
          <w:bCs w:val="0"/>
          <w:color w:val="auto"/>
          <w:sz w:val="28"/>
          <w:szCs w:val="28"/>
          <w:lang w:val="en-US" w:eastAsia="zh-CN"/>
        </w:rPr>
        <w:t>审    定：     陈志忠（高级规划师）</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0" w:firstLine="0"/>
        <w:jc w:val="both"/>
        <w:textAlignment w:val="auto"/>
        <w:rPr>
          <w:rFonts w:hint="eastAsia"/>
          <w:b w:val="0"/>
          <w:bCs w:val="0"/>
          <w:color w:val="auto"/>
          <w:sz w:val="28"/>
          <w:szCs w:val="28"/>
          <w:lang w:val="en-US" w:eastAsia="zh-CN"/>
        </w:rPr>
      </w:pPr>
      <w:r>
        <w:rPr>
          <w:rFonts w:hint="eastAsia"/>
          <w:b w:val="0"/>
          <w:bCs w:val="0"/>
          <w:color w:val="auto"/>
          <w:sz w:val="28"/>
          <w:szCs w:val="28"/>
          <w:lang w:val="en-US" w:eastAsia="zh-CN"/>
        </w:rPr>
        <w:t>审    核：     覃荣旺（工程师）</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0" w:firstLine="0"/>
        <w:jc w:val="both"/>
        <w:textAlignment w:val="auto"/>
        <w:rPr>
          <w:rFonts w:hint="eastAsia"/>
          <w:b w:val="0"/>
          <w:bCs w:val="0"/>
          <w:color w:val="auto"/>
          <w:sz w:val="28"/>
          <w:szCs w:val="28"/>
          <w:lang w:val="en-US" w:eastAsia="zh-CN"/>
        </w:rPr>
      </w:pPr>
      <w:r>
        <w:rPr>
          <w:rFonts w:hint="eastAsia"/>
          <w:b w:val="0"/>
          <w:bCs w:val="0"/>
          <w:color w:val="auto"/>
          <w:sz w:val="28"/>
          <w:szCs w:val="28"/>
          <w:lang w:val="en-US" w:eastAsia="zh-CN"/>
        </w:rPr>
        <w:t>校    对：     杨开福（工程师）</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0" w:firstLine="0"/>
        <w:jc w:val="both"/>
        <w:textAlignment w:val="auto"/>
        <w:rPr>
          <w:rFonts w:hint="eastAsia"/>
          <w:b w:val="0"/>
          <w:bCs w:val="0"/>
          <w:color w:val="auto"/>
          <w:sz w:val="28"/>
          <w:szCs w:val="28"/>
          <w:lang w:val="en-US" w:eastAsia="zh-CN"/>
        </w:rPr>
      </w:pPr>
      <w:r>
        <w:rPr>
          <w:rFonts w:hint="eastAsia"/>
          <w:b w:val="0"/>
          <w:bCs w:val="0"/>
          <w:color w:val="auto"/>
          <w:sz w:val="28"/>
          <w:szCs w:val="28"/>
          <w:lang w:val="en-US" w:eastAsia="zh-CN"/>
        </w:rPr>
        <w:t>主要编制人员： 邹长慧（工程师）</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750" w:firstLine="2100"/>
        <w:jc w:val="both"/>
        <w:textAlignment w:val="auto"/>
        <w:rPr>
          <w:rFonts w:hint="eastAsia"/>
          <w:b w:val="0"/>
          <w:bCs w:val="0"/>
          <w:color w:val="auto"/>
          <w:sz w:val="28"/>
          <w:szCs w:val="28"/>
          <w:lang w:val="en-US" w:eastAsia="zh-CN"/>
        </w:rPr>
      </w:pPr>
      <w:r>
        <w:rPr>
          <w:rFonts w:hint="eastAsia"/>
          <w:b w:val="0"/>
          <w:bCs w:val="0"/>
          <w:color w:val="auto"/>
          <w:sz w:val="28"/>
          <w:szCs w:val="28"/>
          <w:lang w:val="en-US" w:eastAsia="zh-CN"/>
        </w:rPr>
        <w:t>蒋积全（工程师）</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750" w:firstLine="2100"/>
        <w:jc w:val="both"/>
        <w:textAlignment w:val="auto"/>
        <w:rPr>
          <w:rFonts w:hint="eastAsia"/>
          <w:b w:val="0"/>
          <w:bCs w:val="0"/>
          <w:color w:val="auto"/>
          <w:sz w:val="28"/>
          <w:szCs w:val="28"/>
          <w:lang w:val="en-US" w:eastAsia="zh-CN"/>
        </w:rPr>
      </w:pPr>
      <w:r>
        <w:rPr>
          <w:rFonts w:hint="eastAsia"/>
          <w:b w:val="0"/>
          <w:bCs w:val="0"/>
          <w:color w:val="auto"/>
          <w:sz w:val="28"/>
          <w:szCs w:val="28"/>
          <w:lang w:val="en-US" w:eastAsia="zh-CN"/>
        </w:rPr>
        <w:t>韦道虎（工程师）</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750" w:firstLine="2100"/>
        <w:jc w:val="both"/>
        <w:textAlignment w:val="auto"/>
        <w:rPr>
          <w:rFonts w:hint="eastAsia"/>
          <w:b w:val="0"/>
          <w:bCs w:val="0"/>
          <w:color w:val="auto"/>
          <w:sz w:val="28"/>
          <w:szCs w:val="28"/>
          <w:lang w:val="en-US" w:eastAsia="zh-CN"/>
        </w:rPr>
      </w:pPr>
      <w:r>
        <w:rPr>
          <w:rFonts w:hint="eastAsia"/>
          <w:b w:val="0"/>
          <w:bCs w:val="0"/>
          <w:color w:val="auto"/>
          <w:sz w:val="28"/>
          <w:szCs w:val="28"/>
          <w:lang w:val="en-US" w:eastAsia="zh-CN"/>
        </w:rPr>
        <w:t>张  鹏（工程师）</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0" w:firstLine="0"/>
        <w:jc w:val="both"/>
        <w:textAlignment w:val="auto"/>
        <w:rPr>
          <w:rFonts w:hint="eastAsia"/>
          <w:b/>
          <w:bCs/>
          <w:color w:val="auto"/>
          <w:sz w:val="28"/>
          <w:szCs w:val="28"/>
          <w:lang w:val="en-US" w:eastAsia="zh-CN"/>
        </w:rPr>
      </w:pPr>
      <w:r>
        <w:rPr>
          <w:rFonts w:hint="eastAsia"/>
          <w:b/>
          <w:bCs/>
          <w:color w:val="auto"/>
          <w:sz w:val="28"/>
          <w:szCs w:val="28"/>
          <w:lang w:val="en-US" w:eastAsia="zh-CN"/>
        </w:rPr>
        <w:t>委托单位：钦州市钦北区自然资源局</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0" w:firstLine="0"/>
        <w:jc w:val="both"/>
        <w:textAlignment w:val="auto"/>
        <w:rPr>
          <w:rFonts w:hint="eastAsia"/>
          <w:b w:val="0"/>
          <w:bCs w:val="0"/>
          <w:color w:val="auto"/>
          <w:sz w:val="28"/>
          <w:szCs w:val="28"/>
          <w:lang w:val="en-US" w:eastAsia="zh-CN"/>
        </w:rPr>
      </w:pPr>
      <w:r>
        <w:rPr>
          <w:rFonts w:hint="eastAsia"/>
          <w:b w:val="0"/>
          <w:bCs w:val="0"/>
          <w:color w:val="auto"/>
          <w:sz w:val="28"/>
          <w:szCs w:val="28"/>
          <w:lang w:val="en-US" w:eastAsia="zh-CN"/>
        </w:rPr>
        <w:t>主要编制人员： 玉  益（工程师）</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750" w:firstLine="2100"/>
        <w:jc w:val="both"/>
        <w:textAlignment w:val="auto"/>
        <w:rPr>
          <w:rFonts w:hint="eastAsia"/>
          <w:b w:val="0"/>
          <w:bCs w:val="0"/>
          <w:color w:val="auto"/>
          <w:sz w:val="28"/>
          <w:szCs w:val="28"/>
          <w:lang w:val="en-US" w:eastAsia="zh-CN"/>
        </w:rPr>
      </w:pPr>
      <w:r>
        <w:rPr>
          <w:rFonts w:hint="eastAsia"/>
          <w:b w:val="0"/>
          <w:bCs w:val="0"/>
          <w:color w:val="auto"/>
          <w:sz w:val="28"/>
          <w:szCs w:val="28"/>
          <w:lang w:val="en-US" w:eastAsia="zh-CN"/>
        </w:rPr>
        <w:t>潘沿晓（工程师）</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750" w:firstLine="2100"/>
        <w:jc w:val="both"/>
        <w:textAlignment w:val="auto"/>
        <w:rPr>
          <w:rFonts w:hint="eastAsia"/>
          <w:b w:val="0"/>
          <w:bCs w:val="0"/>
          <w:color w:val="auto"/>
          <w:sz w:val="28"/>
          <w:szCs w:val="28"/>
          <w:lang w:val="en-US" w:eastAsia="zh-CN"/>
        </w:rPr>
      </w:pPr>
      <w:r>
        <w:rPr>
          <w:rFonts w:hint="eastAsia"/>
          <w:b w:val="0"/>
          <w:bCs w:val="0"/>
          <w:color w:val="auto"/>
          <w:sz w:val="28"/>
          <w:szCs w:val="28"/>
          <w:lang w:val="en-US" w:eastAsia="zh-CN"/>
        </w:rPr>
        <w:t>韦永姣（工程师）</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0" w:firstLine="0"/>
        <w:jc w:val="both"/>
        <w:textAlignment w:val="auto"/>
        <w:rPr>
          <w:rFonts w:hint="eastAsia"/>
          <w:b/>
          <w:bCs/>
          <w:color w:val="auto"/>
          <w:sz w:val="36"/>
          <w:szCs w:val="32"/>
          <w:lang w:eastAsia="zh-CN"/>
        </w:rPr>
      </w:pPr>
      <w:r>
        <w:rPr>
          <w:rFonts w:hint="eastAsia"/>
          <w:b w:val="0"/>
          <w:bCs w:val="0"/>
          <w:color w:val="auto"/>
          <w:sz w:val="28"/>
          <w:szCs w:val="28"/>
          <w:lang w:val="en-US" w:eastAsia="zh-CN"/>
        </w:rPr>
        <w:t xml:space="preserve">               邓诗琴（助理工程师）</w:t>
      </w:r>
    </w:p>
    <w:p>
      <w:pPr>
        <w:pStyle w:val="32"/>
        <w:keepNext w:val="0"/>
        <w:keepLines w:val="0"/>
        <w:pageBreakBefore w:val="0"/>
        <w:widowControl w:val="0"/>
        <w:kinsoku/>
        <w:wordWrap/>
        <w:overflowPunct/>
        <w:topLinePunct w:val="0"/>
        <w:autoSpaceDE/>
        <w:autoSpaceDN/>
        <w:bidi w:val="0"/>
        <w:adjustRightInd w:val="0"/>
        <w:snapToGrid w:val="0"/>
        <w:spacing w:line="480" w:lineRule="auto"/>
        <w:jc w:val="left"/>
        <w:textAlignment w:val="auto"/>
        <w:rPr>
          <w:rFonts w:hint="eastAsia"/>
          <w:color w:val="auto"/>
        </w:rPr>
        <w:sectPr>
          <w:pgSz w:w="11906" w:h="16838"/>
          <w:pgMar w:top="1418" w:right="1701" w:bottom="1418" w:left="1587" w:header="851" w:footer="992" w:gutter="0"/>
          <w:pgNumType w:start="1"/>
          <w:docGrid w:linePitch="312" w:charSpace="0"/>
        </w:sectPr>
      </w:pP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0" w:firstLine="0"/>
        <w:jc w:val="left"/>
        <w:textAlignment w:val="auto"/>
        <w:rPr>
          <w:color w:val="auto"/>
        </w:rPr>
      </w:pPr>
      <w:bookmarkStart w:id="0" w:name="bookmark7"/>
      <w:bookmarkStart w:id="1" w:name="bookmark5"/>
      <w:bookmarkStart w:id="2" w:name="bookmark6"/>
      <w:r>
        <w:rPr>
          <w:rFonts w:ascii="黑体" w:eastAsia="黑体" w:hAnsi="宋体" w:hint="eastAsia"/>
          <w:color w:val="auto"/>
          <w:sz w:val="28"/>
          <w:szCs w:val="28"/>
          <w:highlight w:val="auto"/>
        </w:rPr>
        <w:drawing>
          <wp:anchor distT="0" distB="0" distL="114300" distR="114300" simplePos="0" relativeHeight="84" behindDoc="0" locked="0" layoutInCell="1" hidden="0" allowOverlap="1">
            <wp:simplePos x="0" y="0"/>
            <wp:positionH relativeFrom="column">
              <wp:posOffset>-2171700</wp:posOffset>
            </wp:positionH>
            <wp:positionV relativeFrom="paragraph">
              <wp:posOffset>1329690</wp:posOffset>
            </wp:positionV>
            <wp:extent cx="9362440" cy="6517005"/>
            <wp:effectExtent l="0" t="0" r="0" b="0"/>
            <wp:wrapNone/>
            <wp:docPr id="1" name="图片 1" descr="E:/00王麒麟项目/王麒麟百浪岭项目一期风电场50mw2025.04.18/百浪岭控规/c06cfc879c8b17dda3412dcfd06a64b3.JPGc06cfc879c8b17dda3412dcfd06a64b3"/>
            <wp:cNvGraphicFramePr>
              <a:graphicFrameLocks noChangeAspect="1"/>
            </wp:cNvGraphicFramePr>
            <a:graphic>
              <a:graphicData uri="http://schemas.openxmlformats.org/drawingml/2006/picture">
                <pic:pic>
                  <pic:nvPicPr>
                    <pic:cNvPr id="3" name="图片 1 3"/>
                    <pic:cNvPicPr/>
                  </pic:nvPicPr>
                  <pic:blipFill>
                    <a:blip r:embed="rId3"/>
                    <a:srcRect t="2136" b="2136"/>
                    <a:stretch>
                      <a:fillRect/>
                    </a:stretch>
                  </pic:blipFill>
                  <pic:spPr>
                    <a:xfrm rot="16200000">
                      <a:off x="0" y="0"/>
                      <a:ext cx="9362440" cy="6517005"/>
                    </a:xfrm>
                    <a:prstGeom prst="rect"/>
                    <a:noFill/>
                    <a:ln w="9525" cmpd="sng" cap="flat">
                      <a:noFill/>
                      <a:prstDash val="solid"/>
                      <a:round/>
                    </a:ln>
                  </pic:spPr>
                </pic:pic>
              </a:graphicData>
            </a:graphic>
          </wp:anchor>
        </w:drawing>
      </w:r>
      <w:bookmarkEnd w:id="0"/>
      <w:bookmarkEnd w:id="1"/>
      <w:bookmarkEnd w:id="2"/>
    </w:p>
    <w:p>
      <w:pPr>
        <w:widowControl/>
        <w:jc w:val="left"/>
        <w:rPr>
          <w:rFonts w:ascii="宋体" w:eastAsia="宋体" w:cs="宋体" w:hAnsi="宋体"/>
          <w:b/>
          <w:bCs/>
          <w:color w:val="auto"/>
          <w:kern w:val="0"/>
          <w:sz w:val="36"/>
          <w:szCs w:val="36"/>
        </w:rPr>
      </w:pPr>
    </w:p>
    <w:p>
      <w:pPr>
        <w:widowControl/>
        <w:jc w:val="center"/>
        <w:rPr>
          <w:rFonts w:ascii="宋体" w:eastAsia="宋体" w:cs="宋体" w:hAnsi="宋体"/>
          <w:b/>
          <w:bCs/>
          <w:color w:val="auto"/>
          <w:kern w:val="0"/>
          <w:sz w:val="36"/>
          <w:szCs w:val="36"/>
        </w:rPr>
      </w:pPr>
    </w:p>
    <w:p>
      <w:pPr>
        <w:widowControl/>
        <w:jc w:val="center"/>
        <w:rPr>
          <w:rFonts w:ascii="宋体" w:eastAsia="宋体" w:cs="宋体" w:hAnsi="宋体"/>
          <w:b/>
          <w:bCs/>
          <w:color w:val="auto"/>
          <w:kern w:val="0"/>
          <w:sz w:val="36"/>
          <w:szCs w:val="36"/>
        </w:rPr>
      </w:pPr>
    </w:p>
    <w:p>
      <w:pPr>
        <w:widowControl/>
        <w:jc w:val="center"/>
        <w:rPr>
          <w:rFonts w:ascii="宋体" w:eastAsia="宋体" w:cs="宋体" w:hAnsi="宋体"/>
          <w:b/>
          <w:bCs/>
          <w:color w:val="auto"/>
          <w:kern w:val="0"/>
          <w:sz w:val="36"/>
          <w:szCs w:val="36"/>
        </w:rPr>
      </w:pPr>
    </w:p>
    <w:p>
      <w:pPr>
        <w:widowControl/>
        <w:jc w:val="center"/>
        <w:rPr>
          <w:rFonts w:ascii="宋体" w:eastAsia="宋体" w:cs="宋体" w:hAnsi="宋体"/>
          <w:b/>
          <w:bCs/>
          <w:color w:val="auto"/>
          <w:kern w:val="0"/>
          <w:sz w:val="36"/>
          <w:szCs w:val="36"/>
        </w:rPr>
      </w:pPr>
    </w:p>
    <w:p>
      <w:pPr>
        <w:widowControl/>
        <w:jc w:val="center"/>
        <w:rPr>
          <w:rFonts w:ascii="宋体" w:eastAsia="宋体" w:cs="宋体" w:hAnsi="宋体"/>
          <w:b/>
          <w:bCs/>
          <w:color w:val="auto"/>
          <w:kern w:val="0"/>
          <w:sz w:val="36"/>
          <w:szCs w:val="36"/>
        </w:rPr>
      </w:pPr>
    </w:p>
    <w:p>
      <w:pPr>
        <w:rPr>
          <w:color w:val="auto"/>
        </w:rPr>
      </w:pPr>
      <w:r>
        <w:rPr>
          <w:color w:val="auto"/>
        </w:rPr>
        <w:br w:type="page"/>
      </w:r>
    </w:p>
    <w:p>
      <w:pPr>
        <w:pStyle w:val="22"/>
        <w:tabs>
          <w:tab w:val="right" w:leader="dot" w:pos="8306"/>
        </w:tabs>
        <w:spacing w:beforeLines="121" w:before="378" w:beforeAutospacing="0"/>
        <w:ind w:left="0"/>
        <w:jc w:val="left"/>
        <w:rPr>
          <w:color w:val="auto"/>
        </w:rPr>
      </w:pPr>
      <w:r>
        <w:rPr>
          <w:rFonts w:hint="eastAsia"/>
          <w:color w:val="auto"/>
          <w:highlight w:val="auto"/>
        </w:rPr>
        <w:drawing>
          <wp:anchor distT="0" distB="0" distL="114935" distR="114935" simplePos="0" relativeHeight="82" behindDoc="0" locked="0" layoutInCell="1" hidden="0" allowOverlap="1">
            <wp:simplePos x="0" y="0"/>
            <wp:positionH relativeFrom="column">
              <wp:posOffset>-1146175</wp:posOffset>
            </wp:positionH>
            <wp:positionV relativeFrom="paragraph">
              <wp:posOffset>1522730</wp:posOffset>
            </wp:positionV>
            <wp:extent cx="7879081" cy="5625465"/>
            <wp:effectExtent l="0" t="0" r="0" b="0"/>
            <wp:wrapNone/>
            <wp:docPr id="4" name="图片 2" descr="E:/00王麒麟项目/王麒麟百浪岭项目一期风电场50mw2025.04.18/百浪岭控规/ddb2c8ed579c5cc7d07d6b7d1dc082f8.JPGddb2c8ed579c5cc7d07d6b7d1dc082f8"/>
            <wp:cNvGraphicFramePr>
              <a:graphicFrameLocks noChangeAspect="1"/>
            </wp:cNvGraphicFramePr>
            <a:graphic>
              <a:graphicData uri="http://schemas.openxmlformats.org/drawingml/2006/picture">
                <pic:pic>
                  <pic:nvPicPr>
                    <pic:cNvPr id="6" name="图片 2 6"/>
                    <pic:cNvPicPr/>
                  </pic:nvPicPr>
                  <pic:blipFill>
                    <a:blip r:embed="rId4"/>
                    <a:srcRect l="705" r="705"/>
                    <a:stretch>
                      <a:fillRect/>
                    </a:stretch>
                  </pic:blipFill>
                  <pic:spPr>
                    <a:xfrm rot="16200000">
                      <a:off x="0" y="0"/>
                      <a:ext cx="7879081" cy="5625465"/>
                    </a:xfrm>
                    <a:prstGeom prst="rect"/>
                    <a:noFill/>
                    <a:ln w="9525" cmpd="sng" cap="flat">
                      <a:noFill/>
                      <a:prstDash val="solid"/>
                      <a:round/>
                    </a:ln>
                  </pic:spPr>
                </pic:pic>
              </a:graphicData>
            </a:graphic>
          </wp:anchor>
        </w:drawing>
      </w:r>
    </w:p>
    <w:p>
      <w:pPr>
        <w:pStyle w:val="22"/>
        <w:tabs>
          <w:tab w:val="right" w:leader="dot" w:pos="8306"/>
        </w:tabs>
        <w:spacing w:beforeLines="121" w:before="378" w:beforeAutospacing="0"/>
        <w:ind w:left="0"/>
        <w:jc w:val="center"/>
        <w:rPr>
          <w:color w:val="auto"/>
        </w:rPr>
      </w:pPr>
    </w:p>
    <w:p>
      <w:pPr>
        <w:pStyle w:val="22"/>
        <w:tabs>
          <w:tab w:val="right" w:leader="dot" w:pos="8306"/>
        </w:tabs>
        <w:spacing w:beforeLines="121" w:before="378" w:beforeAutospacing="0"/>
        <w:ind w:left="0"/>
        <w:jc w:val="center"/>
        <w:rPr>
          <w:color w:val="auto"/>
        </w:rPr>
      </w:pPr>
    </w:p>
    <w:p>
      <w:pPr>
        <w:pStyle w:val="22"/>
        <w:tabs>
          <w:tab w:val="right" w:leader="dot" w:pos="8306"/>
        </w:tabs>
        <w:spacing w:beforeLines="121" w:before="378" w:beforeAutospacing="0"/>
        <w:ind w:left="0"/>
        <w:jc w:val="center"/>
        <w:rPr>
          <w:color w:val="auto"/>
        </w:rPr>
      </w:pPr>
    </w:p>
    <w:p>
      <w:pPr>
        <w:pStyle w:val="22"/>
        <w:tabs>
          <w:tab w:val="right" w:leader="dot" w:pos="8306"/>
        </w:tabs>
        <w:spacing w:beforeLines="121" w:before="378" w:beforeAutospacing="0"/>
        <w:ind w:left="0"/>
        <w:jc w:val="center"/>
        <w:rPr>
          <w:color w:val="auto"/>
        </w:rPr>
      </w:pPr>
    </w:p>
    <w:p>
      <w:pPr>
        <w:pStyle w:val="22"/>
        <w:tabs>
          <w:tab w:val="right" w:leader="dot" w:pos="8306"/>
        </w:tabs>
        <w:spacing w:beforeLines="121" w:before="378" w:beforeAutospacing="0"/>
        <w:ind w:left="0"/>
        <w:jc w:val="center"/>
        <w:rPr>
          <w:color w:val="auto"/>
        </w:rPr>
      </w:pPr>
    </w:p>
    <w:p>
      <w:pPr>
        <w:pStyle w:val="22"/>
        <w:tabs>
          <w:tab w:val="right" w:leader="dot" w:pos="8306"/>
        </w:tabs>
        <w:spacing w:beforeLines="121" w:before="378" w:beforeAutospacing="0"/>
        <w:ind w:left="0"/>
        <w:jc w:val="center"/>
        <w:rPr>
          <w:color w:val="auto"/>
        </w:rPr>
      </w:pPr>
    </w:p>
    <w:p>
      <w:pPr>
        <w:pStyle w:val="22"/>
        <w:tabs>
          <w:tab w:val="right" w:leader="dot" w:pos="8306"/>
        </w:tabs>
        <w:spacing w:beforeLines="121" w:before="378" w:beforeAutospacing="0"/>
        <w:ind w:left="0"/>
        <w:jc w:val="center"/>
        <w:rPr>
          <w:color w:val="auto"/>
        </w:rPr>
      </w:pPr>
    </w:p>
    <w:p>
      <w:pPr>
        <w:pStyle w:val="22"/>
        <w:tabs>
          <w:tab w:val="right" w:leader="dot" w:pos="8306"/>
        </w:tabs>
        <w:spacing w:beforeLines="121" w:before="378" w:beforeAutospacing="0"/>
        <w:ind w:left="0"/>
        <w:jc w:val="center"/>
        <w:rPr>
          <w:color w:val="auto"/>
        </w:rPr>
      </w:pPr>
    </w:p>
    <w:p>
      <w:pPr>
        <w:pStyle w:val="22"/>
        <w:tabs>
          <w:tab w:val="right" w:leader="dot" w:pos="8306"/>
        </w:tabs>
        <w:spacing w:beforeLines="121" w:before="378" w:beforeAutospacing="0"/>
        <w:ind w:left="0"/>
        <w:jc w:val="center"/>
        <w:rPr>
          <w:color w:val="auto"/>
        </w:rPr>
      </w:pPr>
    </w:p>
    <w:p>
      <w:pPr>
        <w:pStyle w:val="22"/>
        <w:tabs>
          <w:tab w:val="right" w:leader="dot" w:pos="8306"/>
        </w:tabs>
        <w:spacing w:beforeLines="121" w:before="378" w:beforeAutospacing="0"/>
        <w:ind w:left="0"/>
        <w:jc w:val="center"/>
        <w:rPr>
          <w:color w:val="auto"/>
        </w:rPr>
      </w:pPr>
    </w:p>
    <w:p>
      <w:pPr>
        <w:pStyle w:val="22"/>
        <w:tabs>
          <w:tab w:val="right" w:leader="dot" w:pos="8306"/>
        </w:tabs>
        <w:spacing w:beforeLines="121" w:before="378" w:beforeAutospacing="0"/>
        <w:ind w:left="0"/>
        <w:jc w:val="center"/>
        <w:rPr>
          <w:color w:val="auto"/>
        </w:rPr>
      </w:pPr>
    </w:p>
    <w:p>
      <w:pPr>
        <w:pStyle w:val="22"/>
        <w:tabs>
          <w:tab w:val="right" w:leader="dot" w:pos="8306"/>
        </w:tabs>
        <w:spacing w:beforeLines="121" w:before="378" w:beforeAutospacing="0"/>
        <w:ind w:left="0"/>
        <w:jc w:val="center"/>
        <w:rPr>
          <w:color w:val="auto"/>
        </w:rPr>
      </w:pPr>
    </w:p>
    <w:p>
      <w:pPr>
        <w:pStyle w:val="22"/>
        <w:tabs>
          <w:tab w:val="right" w:leader="dot" w:pos="8306"/>
        </w:tabs>
        <w:spacing w:beforeLines="121" w:before="378" w:beforeAutospacing="0"/>
        <w:ind w:left="0"/>
        <w:jc w:val="center"/>
        <w:rPr>
          <w:color w:val="auto"/>
        </w:rPr>
      </w:pPr>
    </w:p>
    <w:p>
      <w:pPr>
        <w:rPr>
          <w:color w:val="auto"/>
        </w:rPr>
      </w:pPr>
    </w:p>
    <w:p>
      <w:pPr>
        <w:pStyle w:val="27"/>
        <w:rPr>
          <w:color w:val="auto"/>
        </w:rPr>
      </w:pP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0" w:firstLine="0"/>
        <w:jc w:val="center"/>
        <w:textAlignment w:val="auto"/>
        <w:rPr>
          <w:rFonts w:hint="eastAsia"/>
          <w:b/>
          <w:bCs/>
          <w:color w:val="auto"/>
          <w:sz w:val="36"/>
          <w:szCs w:val="32"/>
          <w:lang w:eastAsia="zh-CN"/>
        </w:rPr>
      </w:pP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0" w:firstLine="0"/>
        <w:jc w:val="center"/>
        <w:textAlignment w:val="auto"/>
        <w:rPr>
          <w:rFonts w:hint="eastAsia"/>
          <w:b/>
          <w:bCs/>
          <w:color w:val="auto"/>
          <w:sz w:val="36"/>
          <w:szCs w:val="32"/>
          <w:lang w:eastAsia="zh-CN"/>
        </w:rPr>
      </w:pPr>
      <w:r>
        <w:rPr>
          <w:rFonts w:hint="eastAsia"/>
          <w:b/>
          <w:bCs/>
          <w:color w:val="auto"/>
          <w:sz w:val="36"/>
          <w:szCs w:val="32"/>
          <w:lang w:eastAsia="zh-CN"/>
        </w:rPr>
        <w:t>钦北区百浪岭风电场一期项目</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0" w:firstLine="0"/>
        <w:jc w:val="center"/>
        <w:textAlignment w:val="auto"/>
        <w:rPr>
          <w:rFonts w:hint="eastAsia"/>
          <w:b/>
          <w:bCs/>
          <w:color w:val="auto"/>
          <w:sz w:val="36"/>
          <w:szCs w:val="32"/>
          <w:lang w:eastAsia="zh-CN"/>
        </w:rPr>
      </w:pPr>
      <w:r>
        <w:rPr>
          <w:rFonts w:hint="eastAsia"/>
          <w:b/>
          <w:bCs/>
          <w:color w:val="auto"/>
          <w:sz w:val="36"/>
          <w:szCs w:val="32"/>
          <w:lang w:eastAsia="zh-CN"/>
        </w:rPr>
        <w:t>独立地块控制性详细规划</w:t>
      </w:r>
    </w:p>
    <w:p>
      <w:pPr>
        <w:rPr>
          <w:color w:val="auto"/>
        </w:rPr>
      </w:pPr>
    </w:p>
    <w:p>
      <w:pPr>
        <w:rPr>
          <w:color w:val="auto"/>
        </w:rPr>
      </w:pPr>
    </w:p>
    <w:p>
      <w:pPr>
        <w:pStyle w:val="17"/>
        <w:rPr>
          <w:color w:val="auto"/>
        </w:rPr>
      </w:pPr>
    </w:p>
    <w:p>
      <w:pPr>
        <w:pStyle w:val="22"/>
        <w:tabs>
          <w:tab w:val="right" w:leader="dot" w:pos="8306"/>
        </w:tabs>
        <w:spacing w:beforeLines="121" w:before="378" w:beforeAutospacing="0"/>
        <w:jc w:val="center"/>
        <w:rPr>
          <w:rFonts w:ascii="黑体" w:eastAsia="黑体" w:cs="黑体" w:hAnsi="黑体" w:hint="eastAsia"/>
          <w:b/>
          <w:bCs/>
          <w:color w:val="auto"/>
          <w:sz w:val="36"/>
          <w:szCs w:val="36"/>
          <w:lang w:eastAsia="zh-CN"/>
        </w:rPr>
      </w:pPr>
      <w:r>
        <w:rPr>
          <w:rFonts w:ascii="黑体" w:eastAsia="黑体" w:cs="黑体" w:hAnsi="黑体" w:hint="eastAsia"/>
          <w:b/>
          <w:bCs/>
          <w:color w:val="auto"/>
          <w:sz w:val="36"/>
          <w:szCs w:val="36"/>
          <w:lang w:eastAsia="zh-CN"/>
        </w:rPr>
        <w:t>规划说明</w:t>
      </w:r>
    </w:p>
    <w:p>
      <w:pPr>
        <w:pStyle w:val="22"/>
        <w:tabs>
          <w:tab w:val="right" w:leader="dot" w:pos="8306"/>
        </w:tabs>
        <w:spacing w:beforeLines="121" w:before="378" w:beforeAutospacing="0"/>
        <w:ind w:left="0"/>
        <w:jc w:val="center"/>
        <w:rPr>
          <w:color w:val="auto"/>
        </w:rPr>
      </w:pPr>
    </w:p>
    <w:p>
      <w:pPr>
        <w:rPr>
          <w:color w:val="auto"/>
        </w:rPr>
      </w:pPr>
    </w:p>
    <w:p>
      <w:pPr>
        <w:pStyle w:val="27"/>
        <w:rPr>
          <w:color w:val="auto"/>
        </w:rPr>
      </w:pPr>
    </w:p>
    <w:p>
      <w:pPr>
        <w:rPr>
          <w:color w:val="auto"/>
        </w:rPr>
      </w:pPr>
    </w:p>
    <w:p>
      <w:pPr>
        <w:pStyle w:val="27"/>
        <w:rPr>
          <w:color w:val="auto"/>
        </w:rPr>
      </w:pPr>
    </w:p>
    <w:p>
      <w:pPr>
        <w:rPr>
          <w:color w:val="auto"/>
        </w:rPr>
      </w:pPr>
    </w:p>
    <w:p>
      <w:pPr>
        <w:pStyle w:val="27"/>
        <w:rPr>
          <w:color w:val="auto"/>
        </w:rPr>
      </w:pPr>
    </w:p>
    <w:p>
      <w:pPr>
        <w:rPr>
          <w:color w:val="auto"/>
        </w:rPr>
      </w:pPr>
    </w:p>
    <w:p>
      <w:pPr>
        <w:pStyle w:val="27"/>
        <w:rPr>
          <w:color w:val="auto"/>
        </w:rPr>
      </w:pPr>
    </w:p>
    <w:p>
      <w:pPr>
        <w:rPr>
          <w:color w:val="auto"/>
        </w:rPr>
      </w:pPr>
    </w:p>
    <w:p>
      <w:pPr>
        <w:pStyle w:val="27"/>
        <w:rPr>
          <w:color w:val="auto"/>
        </w:rPr>
      </w:pPr>
    </w:p>
    <w:p>
      <w:pPr>
        <w:rPr>
          <w:color w:val="auto"/>
        </w:rPr>
      </w:pPr>
    </w:p>
    <w:p>
      <w:pPr>
        <w:pStyle w:val="27"/>
        <w:rPr>
          <w:color w:val="auto"/>
        </w:rPr>
      </w:pPr>
    </w:p>
    <w:p>
      <w:pPr>
        <w:rPr>
          <w:color w:val="auto"/>
        </w:rPr>
      </w:pPr>
    </w:p>
    <w:p>
      <w:pPr>
        <w:pStyle w:val="27"/>
        <w:rPr>
          <w:color w:val="auto"/>
        </w:rPr>
      </w:pPr>
    </w:p>
    <w:p>
      <w:pPr>
        <w:rPr>
          <w:color w:val="auto"/>
        </w:rPr>
      </w:pPr>
    </w:p>
    <w:p>
      <w:pPr>
        <w:pStyle w:val="27"/>
        <w:rPr>
          <w:color w:val="auto"/>
        </w:rPr>
      </w:pPr>
    </w:p>
    <w:p>
      <w:pPr>
        <w:rPr>
          <w:color w:val="auto"/>
        </w:rPr>
      </w:pPr>
    </w:p>
    <w:p>
      <w:pPr>
        <w:pStyle w:val="27"/>
        <w:rPr>
          <w:color w:val="auto"/>
        </w:rPr>
      </w:pPr>
    </w:p>
    <w:p>
      <w:pPr>
        <w:rPr>
          <w:color w:val="auto"/>
        </w:rPr>
      </w:pPr>
    </w:p>
    <w:p>
      <w:pPr>
        <w:pStyle w:val="27"/>
        <w:rPr>
          <w:color w:val="auto"/>
        </w:rPr>
      </w:pPr>
    </w:p>
    <w:p>
      <w:pPr>
        <w:rPr>
          <w:color w:val="auto"/>
        </w:rPr>
      </w:pPr>
    </w:p>
    <w:p>
      <w:pPr>
        <w:rPr>
          <w:color w:val="auto"/>
        </w:rPr>
      </w:pPr>
    </w:p>
    <w:p>
      <w:pPr>
        <w:pStyle w:val="27"/>
        <w:rPr>
          <w:rFonts w:eastAsia="宋体" w:hint="eastAsia"/>
          <w:color w:val="auto"/>
          <w:lang w:eastAsia="zh-CN"/>
        </w:rPr>
      </w:pPr>
    </w:p>
    <w:p>
      <w:pPr>
        <w:rPr>
          <w:rFonts w:hint="eastAsia"/>
          <w:lang w:eastAsia="zh-CN"/>
        </w:rPr>
      </w:pPr>
    </w:p>
    <w:p>
      <w:pPr>
        <w:rPr>
          <w:color w:val="auto"/>
        </w:rPr>
      </w:pPr>
    </w:p>
    <w:p>
      <w:pPr>
        <w:pStyle w:val="22"/>
        <w:tabs>
          <w:tab w:val="right" w:leader="dot" w:pos="8306"/>
        </w:tabs>
        <w:spacing w:beforeLines="121" w:before="378" w:beforeAutospacing="0"/>
        <w:ind w:left="0"/>
        <w:jc w:val="center"/>
        <w:rPr>
          <w:b/>
          <w:bCs/>
          <w:color w:val="auto"/>
          <w:sz w:val="36"/>
          <w:szCs w:val="36"/>
        </w:rPr>
      </w:pPr>
      <w:r>
        <w:rPr>
          <w:rFonts w:hint="eastAsia"/>
          <w:b/>
          <w:bCs/>
          <w:color w:val="auto"/>
          <w:sz w:val="36"/>
          <w:szCs w:val="36"/>
        </w:rPr>
        <w:t>目</w:t>
      </w:r>
      <w:r>
        <w:rPr>
          <w:rFonts w:hint="eastAsia"/>
          <w:b/>
          <w:bCs/>
          <w:color w:val="auto"/>
          <w:sz w:val="36"/>
          <w:szCs w:val="36"/>
          <w:lang w:val="en-US" w:eastAsia="zh-CN"/>
        </w:rPr>
        <w:t xml:space="preserve"> </w:t>
      </w:r>
      <w:r>
        <w:rPr>
          <w:rFonts w:hint="eastAsia"/>
          <w:b/>
          <w:bCs/>
          <w:color w:val="auto"/>
          <w:sz w:val="36"/>
          <w:szCs w:val="36"/>
        </w:rPr>
        <w:t>录</w:t>
      </w:r>
    </w:p>
    <w:p>
      <w:pPr>
        <w:pStyle w:val="22"/>
        <w:tabs>
          <w:tab w:val="right" w:leader="dot" w:pos="8306"/>
        </w:tabs>
      </w:pPr>
      <w:r>
        <w:rPr>
          <w:color w:val="auto"/>
          <w:sz w:val="28"/>
          <w:szCs w:val="28"/>
        </w:rPr>
        <w:fldChar w:fldCharType="begin"/>
      </w:r>
      <w:r>
        <w:rPr>
          <w:color w:val="auto"/>
          <w:sz w:val="28"/>
          <w:szCs w:val="28"/>
        </w:rPr>
        <w:instrText xml:space="preserve">TOC \o "1-2" \h \u </w:instrText>
      </w:r>
      <w:r>
        <w:rPr>
          <w:color w:val="auto"/>
          <w:sz w:val="28"/>
          <w:szCs w:val="28"/>
        </w:rPr>
        <w:fldChar w:fldCharType="separate"/>
      </w:r>
      <w:r>
        <w:rPr>
          <w:szCs w:val="28"/>
        </w:rPr>
        <w:fldChar w:fldCharType="begin"/>
      </w:r>
      <w:r>
        <w:rPr>
          <w:szCs w:val="28"/>
        </w:rPr>
        <w:instrText xml:space="preserve"> HYPERLINK \l _Toc18992 </w:instrText>
      </w:r>
      <w:r>
        <w:rPr>
          <w:szCs w:val="28"/>
        </w:rPr>
        <w:fldChar w:fldCharType="separate"/>
      </w:r>
      <w:r>
        <w:rPr>
          <w:rFonts w:ascii="宋体" w:eastAsia="宋体" w:cs="宋体" w:hAnsi="宋体" w:hint="eastAsia"/>
          <w:bCs/>
          <w:szCs w:val="32"/>
          <w:lang w:eastAsia="zh-CN"/>
        </w:rPr>
        <w:t>第一章 规划综述</w:t>
      </w:r>
      <w:r>
        <w:tab/>
      </w:r>
      <w:r>
        <w:fldChar w:fldCharType="begin"/>
      </w:r>
      <w:r>
        <w:instrText xml:space="preserve"> PAGEREF _Toc18992 \h </w:instrText>
      </w:r>
      <w:r>
        <w:fldChar w:fldCharType="separate"/>
      </w:r>
      <w:r>
        <w:t>1</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_Toc2176 </w:instrText>
      </w:r>
      <w:r>
        <w:rPr>
          <w:szCs w:val="28"/>
        </w:rPr>
        <w:fldChar w:fldCharType="separate"/>
      </w:r>
      <w:r>
        <w:rPr>
          <w:rFonts w:ascii="宋体" w:eastAsia="宋体" w:cs="宋体" w:hAnsi="宋体" w:hint="eastAsia"/>
          <w:bCs/>
          <w:szCs w:val="32"/>
          <w:lang w:val="en-US" w:eastAsia="zh-CN"/>
        </w:rPr>
        <w:t>1.1</w:t>
      </w:r>
      <w:r>
        <w:rPr>
          <w:rFonts w:ascii="宋体" w:eastAsia="宋体" w:cs="宋体" w:hAnsi="宋体" w:hint="eastAsia"/>
          <w:bCs/>
          <w:szCs w:val="32"/>
          <w:lang w:eastAsia="zh-CN"/>
        </w:rPr>
        <w:t>规划背景</w:t>
      </w:r>
      <w:r>
        <w:tab/>
      </w:r>
      <w:r>
        <w:fldChar w:fldCharType="begin"/>
      </w:r>
      <w:r>
        <w:instrText xml:space="preserve"> PAGEREF _Toc2176 \h </w:instrText>
      </w:r>
      <w:r>
        <w:fldChar w:fldCharType="separate"/>
      </w:r>
      <w:r>
        <w:t>1</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_Toc25494 </w:instrText>
      </w:r>
      <w:r>
        <w:rPr>
          <w:szCs w:val="28"/>
        </w:rPr>
        <w:fldChar w:fldCharType="separate"/>
      </w:r>
      <w:r>
        <w:rPr>
          <w:rFonts w:ascii="宋体" w:eastAsia="宋体" w:cs="宋体" w:hAnsi="宋体" w:hint="eastAsia"/>
          <w:bCs/>
          <w:szCs w:val="32"/>
          <w:lang w:val="en-US" w:eastAsia="zh-CN"/>
        </w:rPr>
        <w:t>1.2</w:t>
      </w:r>
      <w:r>
        <w:rPr>
          <w:rFonts w:ascii="宋体" w:eastAsia="宋体" w:cs="宋体" w:hAnsi="宋体" w:hint="eastAsia"/>
          <w:bCs/>
          <w:szCs w:val="32"/>
          <w:lang w:eastAsia="zh-CN"/>
        </w:rPr>
        <w:t>项目建设内容和规模</w:t>
      </w:r>
      <w:r>
        <w:tab/>
      </w:r>
      <w:r>
        <w:fldChar w:fldCharType="begin"/>
      </w:r>
      <w:r>
        <w:instrText xml:space="preserve"> PAGEREF _Toc25494 \h </w:instrText>
      </w:r>
      <w:r>
        <w:fldChar w:fldCharType="separate"/>
      </w:r>
      <w:r>
        <w:t>2</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_Toc11635 </w:instrText>
      </w:r>
      <w:r>
        <w:rPr>
          <w:szCs w:val="28"/>
        </w:rPr>
        <w:fldChar w:fldCharType="separate"/>
      </w:r>
      <w:r>
        <w:rPr>
          <w:rFonts w:ascii="宋体" w:eastAsia="宋体" w:cs="宋体" w:hAnsi="宋体" w:hint="eastAsia"/>
          <w:bCs/>
          <w:szCs w:val="32"/>
          <w:lang w:val="en-US" w:eastAsia="zh-CN"/>
        </w:rPr>
        <w:t>1.3</w:t>
      </w:r>
      <w:r>
        <w:rPr>
          <w:rFonts w:ascii="宋体" w:eastAsia="宋体" w:cs="宋体" w:hAnsi="宋体" w:hint="eastAsia"/>
          <w:bCs/>
          <w:szCs w:val="32"/>
          <w:lang w:eastAsia="zh-CN"/>
        </w:rPr>
        <w:t>规划范围</w:t>
      </w:r>
      <w:r>
        <w:tab/>
      </w:r>
      <w:r>
        <w:fldChar w:fldCharType="begin"/>
      </w:r>
      <w:r>
        <w:instrText xml:space="preserve"> PAGEREF _Toc11635 \h </w:instrText>
      </w:r>
      <w:r>
        <w:fldChar w:fldCharType="separate"/>
      </w:r>
      <w:r>
        <w:t>4</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_Toc9966 </w:instrText>
      </w:r>
      <w:r>
        <w:rPr>
          <w:szCs w:val="28"/>
        </w:rPr>
        <w:fldChar w:fldCharType="separate"/>
      </w:r>
      <w:r>
        <w:rPr>
          <w:rFonts w:ascii="宋体" w:eastAsia="宋体" w:cs="宋体" w:hAnsi="宋体" w:hint="eastAsia"/>
          <w:bCs/>
          <w:szCs w:val="32"/>
          <w:lang w:val="en-US" w:eastAsia="zh-CN"/>
        </w:rPr>
        <w:t>1.4</w:t>
      </w:r>
      <w:r>
        <w:rPr>
          <w:rFonts w:ascii="宋体" w:eastAsia="宋体" w:cs="宋体" w:hAnsi="宋体" w:hint="eastAsia"/>
          <w:bCs/>
          <w:szCs w:val="32"/>
          <w:lang w:eastAsia="zh-CN"/>
        </w:rPr>
        <w:t>数据基础</w:t>
      </w:r>
      <w:r>
        <w:tab/>
      </w:r>
      <w:r>
        <w:fldChar w:fldCharType="begin"/>
      </w:r>
      <w:r>
        <w:instrText xml:space="preserve"> PAGEREF _Toc9966 \h </w:instrText>
      </w:r>
      <w:r>
        <w:fldChar w:fldCharType="separate"/>
      </w:r>
      <w:r>
        <w:t>5</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_Toc15351 </w:instrText>
      </w:r>
      <w:r>
        <w:rPr>
          <w:szCs w:val="28"/>
        </w:rPr>
        <w:fldChar w:fldCharType="separate"/>
      </w:r>
      <w:r>
        <w:rPr>
          <w:rFonts w:ascii="宋体" w:eastAsia="宋体" w:cs="宋体" w:hAnsi="宋体" w:hint="eastAsia"/>
          <w:bCs/>
          <w:szCs w:val="32"/>
          <w:lang w:val="en-US" w:eastAsia="zh-CN"/>
        </w:rPr>
        <w:t>1.5</w:t>
      </w:r>
      <w:r>
        <w:rPr>
          <w:rFonts w:ascii="宋体" w:eastAsia="宋体" w:cs="宋体" w:hAnsi="宋体" w:hint="eastAsia"/>
          <w:bCs/>
          <w:szCs w:val="32"/>
          <w:lang w:eastAsia="zh-CN"/>
        </w:rPr>
        <w:t>规划依据</w:t>
      </w:r>
      <w:r>
        <w:tab/>
      </w:r>
      <w:r>
        <w:fldChar w:fldCharType="begin"/>
      </w:r>
      <w:r>
        <w:instrText xml:space="preserve"> PAGEREF _Toc15351 \h </w:instrText>
      </w:r>
      <w:r>
        <w:fldChar w:fldCharType="separate"/>
      </w:r>
      <w:r>
        <w:t>5</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_Toc9311 </w:instrText>
      </w:r>
      <w:r>
        <w:rPr>
          <w:szCs w:val="28"/>
        </w:rPr>
        <w:fldChar w:fldCharType="separate"/>
      </w:r>
      <w:r>
        <w:rPr>
          <w:rFonts w:ascii="宋体" w:eastAsia="宋体" w:cs="宋体" w:hAnsi="宋体" w:hint="eastAsia"/>
          <w:bCs/>
          <w:szCs w:val="32"/>
          <w:lang w:val="en-US" w:eastAsia="zh-CN"/>
        </w:rPr>
        <w:t>1.6</w:t>
      </w:r>
      <w:r>
        <w:rPr>
          <w:rFonts w:ascii="宋体" w:eastAsia="宋体" w:cs="宋体" w:hAnsi="宋体" w:hint="eastAsia"/>
          <w:bCs/>
          <w:szCs w:val="32"/>
          <w:lang w:eastAsia="zh-CN"/>
        </w:rPr>
        <w:t>项目建设的必要性</w:t>
      </w:r>
      <w:r>
        <w:tab/>
      </w:r>
      <w:r>
        <w:fldChar w:fldCharType="begin"/>
      </w:r>
      <w:r>
        <w:instrText xml:space="preserve"> PAGEREF _Toc9311 \h </w:instrText>
      </w:r>
      <w:r>
        <w:fldChar w:fldCharType="separate"/>
      </w:r>
      <w:r>
        <w:t>8</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_Toc12499 </w:instrText>
      </w:r>
      <w:r>
        <w:rPr>
          <w:szCs w:val="28"/>
        </w:rPr>
        <w:fldChar w:fldCharType="separate"/>
      </w:r>
      <w:r>
        <w:rPr>
          <w:rFonts w:ascii="宋体" w:eastAsia="宋体" w:cs="宋体" w:hAnsi="宋体" w:hint="eastAsia"/>
          <w:bCs/>
          <w:szCs w:val="32"/>
          <w:lang w:val="en-US" w:eastAsia="zh-CN"/>
        </w:rPr>
        <w:t>1.7上位</w:t>
      </w:r>
      <w:r>
        <w:rPr>
          <w:rFonts w:ascii="宋体" w:eastAsia="宋体" w:cs="宋体" w:hAnsi="宋体" w:hint="eastAsia"/>
          <w:bCs/>
          <w:szCs w:val="32"/>
          <w:lang w:eastAsia="zh-CN"/>
        </w:rPr>
        <w:t>规划及相关规划情况</w:t>
      </w:r>
      <w:r>
        <w:tab/>
      </w:r>
      <w:r>
        <w:fldChar w:fldCharType="begin"/>
      </w:r>
      <w:r>
        <w:instrText xml:space="preserve"> PAGEREF _Toc12499 \h </w:instrText>
      </w:r>
      <w:r>
        <w:fldChar w:fldCharType="separate"/>
      </w:r>
      <w:r>
        <w:t>10</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_Toc17889 </w:instrText>
      </w:r>
      <w:r>
        <w:rPr>
          <w:szCs w:val="28"/>
        </w:rPr>
        <w:fldChar w:fldCharType="separate"/>
      </w:r>
      <w:r>
        <w:rPr>
          <w:rFonts w:ascii="宋体" w:eastAsia="宋体" w:cs="宋体" w:hAnsi="宋体" w:hint="eastAsia"/>
          <w:bCs/>
          <w:szCs w:val="32"/>
          <w:lang w:eastAsia="zh-CN"/>
        </w:rPr>
        <w:t>第二章</w:t>
      </w:r>
      <w:r>
        <w:rPr>
          <w:rFonts w:ascii="宋体" w:eastAsia="宋体" w:cs="宋体" w:hAnsi="宋体" w:hint="eastAsia"/>
          <w:bCs/>
          <w:szCs w:val="32"/>
          <w:lang w:val="en-US" w:eastAsia="zh-CN"/>
        </w:rPr>
        <w:t xml:space="preserve"> </w:t>
      </w:r>
      <w:r>
        <w:rPr>
          <w:rFonts w:ascii="宋体" w:eastAsia="宋体" w:cs="宋体" w:hAnsi="宋体" w:hint="eastAsia"/>
          <w:bCs/>
          <w:szCs w:val="32"/>
          <w:lang w:eastAsia="zh-CN"/>
        </w:rPr>
        <w:t>现状</w:t>
      </w:r>
      <w:r>
        <w:rPr>
          <w:rFonts w:ascii="宋体" w:eastAsia="宋体" w:cs="宋体" w:hAnsi="宋体" w:hint="eastAsia"/>
          <w:bCs/>
          <w:szCs w:val="32"/>
        </w:rPr>
        <w:t>概况</w:t>
      </w:r>
      <w:r>
        <w:tab/>
      </w:r>
      <w:r>
        <w:fldChar w:fldCharType="begin"/>
      </w:r>
      <w:r>
        <w:instrText xml:space="preserve"> PAGEREF _Toc17889 \h </w:instrText>
      </w:r>
      <w:r>
        <w:fldChar w:fldCharType="separate"/>
      </w:r>
      <w:r>
        <w:t>12</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_Toc29987 </w:instrText>
      </w:r>
      <w:r>
        <w:rPr>
          <w:szCs w:val="28"/>
        </w:rPr>
        <w:fldChar w:fldCharType="separate"/>
      </w:r>
      <w:r>
        <w:rPr>
          <w:rFonts w:ascii="宋体" w:eastAsia="宋体" w:cs="宋体" w:hAnsi="宋体" w:hint="eastAsia"/>
          <w:bCs/>
          <w:szCs w:val="32"/>
          <w:lang w:val="en-US" w:eastAsia="zh-CN"/>
        </w:rPr>
        <w:t>2.1区位情况</w:t>
      </w:r>
      <w:r>
        <w:tab/>
      </w:r>
      <w:r>
        <w:fldChar w:fldCharType="begin"/>
      </w:r>
      <w:r>
        <w:instrText xml:space="preserve"> PAGEREF _Toc29987 \h </w:instrText>
      </w:r>
      <w:r>
        <w:fldChar w:fldCharType="separate"/>
      </w:r>
      <w:r>
        <w:t>12</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_Toc775 </w:instrText>
      </w:r>
      <w:r>
        <w:rPr>
          <w:szCs w:val="28"/>
        </w:rPr>
        <w:fldChar w:fldCharType="separate"/>
      </w:r>
      <w:r>
        <w:rPr>
          <w:rFonts w:ascii="宋体" w:eastAsia="宋体" w:cs="宋体" w:hAnsi="宋体" w:hint="eastAsia"/>
          <w:bCs/>
          <w:szCs w:val="32"/>
          <w:lang w:val="en-US" w:eastAsia="zh-CN"/>
        </w:rPr>
        <w:t>2.2现状概况</w:t>
      </w:r>
      <w:r>
        <w:tab/>
      </w:r>
      <w:r>
        <w:fldChar w:fldCharType="begin"/>
      </w:r>
      <w:r>
        <w:instrText xml:space="preserve"> PAGEREF _Toc775 \h </w:instrText>
      </w:r>
      <w:r>
        <w:fldChar w:fldCharType="separate"/>
      </w:r>
      <w:r>
        <w:t>13</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_Toc4497 </w:instrText>
      </w:r>
      <w:r>
        <w:rPr>
          <w:szCs w:val="28"/>
        </w:rPr>
        <w:fldChar w:fldCharType="separate"/>
      </w:r>
      <w:r>
        <w:rPr>
          <w:rFonts w:ascii="宋体" w:eastAsia="宋体" w:cs="宋体" w:hAnsi="宋体" w:hint="eastAsia"/>
          <w:bCs/>
          <w:szCs w:val="32"/>
          <w:lang w:val="en-US" w:eastAsia="zh-CN"/>
        </w:rPr>
        <w:t>2.3土地利用现状</w:t>
      </w:r>
      <w:r>
        <w:tab/>
      </w:r>
      <w:r>
        <w:fldChar w:fldCharType="begin"/>
      </w:r>
      <w:r>
        <w:instrText xml:space="preserve"> PAGEREF _Toc4497 \h </w:instrText>
      </w:r>
      <w:r>
        <w:fldChar w:fldCharType="separate"/>
      </w:r>
      <w:r>
        <w:t>16</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_Toc23491 </w:instrText>
      </w:r>
      <w:r>
        <w:rPr>
          <w:szCs w:val="28"/>
        </w:rPr>
        <w:fldChar w:fldCharType="separate"/>
      </w:r>
      <w:r>
        <w:rPr>
          <w:rFonts w:ascii="宋体" w:eastAsia="宋体" w:cs="宋体" w:hAnsi="宋体" w:hint="eastAsia"/>
          <w:bCs/>
          <w:szCs w:val="32"/>
          <w:lang w:val="en-US" w:eastAsia="zh-CN"/>
        </w:rPr>
        <w:t>2.4周边区域情况</w:t>
      </w:r>
      <w:r>
        <w:tab/>
      </w:r>
      <w:r>
        <w:fldChar w:fldCharType="begin"/>
      </w:r>
      <w:r>
        <w:instrText xml:space="preserve"> PAGEREF _Toc23491 \h </w:instrText>
      </w:r>
      <w:r>
        <w:fldChar w:fldCharType="separate"/>
      </w:r>
      <w:r>
        <w:t>19</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_Toc105 </w:instrText>
      </w:r>
      <w:r>
        <w:rPr>
          <w:szCs w:val="28"/>
        </w:rPr>
        <w:fldChar w:fldCharType="separate"/>
      </w:r>
      <w:r>
        <w:rPr>
          <w:rFonts w:ascii="宋体" w:eastAsia="宋体" w:cs="宋体" w:hAnsi="宋体" w:hint="eastAsia"/>
          <w:bCs/>
          <w:szCs w:val="32"/>
          <w:lang w:eastAsia="zh-CN"/>
        </w:rPr>
        <w:t>第三章</w:t>
      </w:r>
      <w:r>
        <w:rPr>
          <w:rFonts w:ascii="宋体" w:eastAsia="宋体" w:cs="宋体" w:hAnsi="宋体" w:hint="eastAsia"/>
          <w:bCs/>
          <w:szCs w:val="32"/>
          <w:lang w:val="en-US" w:eastAsia="zh-CN"/>
        </w:rPr>
        <w:t xml:space="preserve"> </w:t>
      </w:r>
      <w:r>
        <w:rPr>
          <w:rFonts w:ascii="宋体" w:eastAsia="宋体" w:cs="宋体" w:hAnsi="宋体" w:hint="eastAsia"/>
          <w:bCs/>
          <w:szCs w:val="32"/>
        </w:rPr>
        <w:t>用地布局规划</w:t>
      </w:r>
      <w:r>
        <w:tab/>
      </w:r>
      <w:r>
        <w:fldChar w:fldCharType="begin"/>
      </w:r>
      <w:r>
        <w:instrText xml:space="preserve"> PAGEREF _Toc105 \h </w:instrText>
      </w:r>
      <w:r>
        <w:fldChar w:fldCharType="separate"/>
      </w:r>
      <w:r>
        <w:t>21</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_Toc6835 </w:instrText>
      </w:r>
      <w:r>
        <w:rPr>
          <w:szCs w:val="28"/>
        </w:rPr>
        <w:fldChar w:fldCharType="separate"/>
      </w:r>
      <w:r>
        <w:rPr>
          <w:rFonts w:ascii="宋体" w:eastAsia="宋体" w:cs="宋体" w:hAnsi="宋体" w:hint="eastAsia"/>
          <w:bCs/>
          <w:szCs w:val="32"/>
          <w:lang w:val="en-US" w:eastAsia="zh-CN"/>
        </w:rPr>
        <w:t>3.1规划依据</w:t>
      </w:r>
      <w:r>
        <w:tab/>
      </w:r>
      <w:r>
        <w:fldChar w:fldCharType="begin"/>
      </w:r>
      <w:r>
        <w:instrText xml:space="preserve"> PAGEREF _Toc6835 \h </w:instrText>
      </w:r>
      <w:r>
        <w:fldChar w:fldCharType="separate"/>
      </w:r>
      <w:r>
        <w:t>21</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_Toc15696 </w:instrText>
      </w:r>
      <w:r>
        <w:rPr>
          <w:szCs w:val="28"/>
        </w:rPr>
        <w:fldChar w:fldCharType="separate"/>
      </w:r>
      <w:r>
        <w:rPr>
          <w:rFonts w:ascii="宋体" w:eastAsia="宋体" w:cs="宋体" w:hAnsi="宋体" w:hint="eastAsia"/>
          <w:bCs/>
          <w:szCs w:val="32"/>
          <w:lang w:val="en-US" w:eastAsia="zh-CN"/>
        </w:rPr>
        <w:t>3.2规划原则</w:t>
      </w:r>
      <w:r>
        <w:tab/>
      </w:r>
      <w:r>
        <w:fldChar w:fldCharType="begin"/>
      </w:r>
      <w:r>
        <w:instrText xml:space="preserve"> PAGEREF _Toc15696 \h </w:instrText>
      </w:r>
      <w:r>
        <w:fldChar w:fldCharType="separate"/>
      </w:r>
      <w:r>
        <w:t>21</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_Toc8828 </w:instrText>
      </w:r>
      <w:r>
        <w:rPr>
          <w:szCs w:val="28"/>
        </w:rPr>
        <w:fldChar w:fldCharType="separate"/>
      </w:r>
      <w:r>
        <w:rPr>
          <w:rFonts w:ascii="宋体" w:eastAsia="宋体" w:cs="宋体" w:hAnsi="宋体" w:hint="eastAsia"/>
          <w:bCs/>
          <w:szCs w:val="32"/>
          <w:lang w:val="en-US" w:eastAsia="zh-CN"/>
        </w:rPr>
        <w:t>3.3土地利用规划</w:t>
      </w:r>
      <w:r>
        <w:tab/>
      </w:r>
      <w:r>
        <w:fldChar w:fldCharType="begin"/>
      </w:r>
      <w:r>
        <w:instrText xml:space="preserve"> PAGEREF _Toc8828 \h </w:instrText>
      </w:r>
      <w:r>
        <w:fldChar w:fldCharType="separate"/>
      </w:r>
      <w:r>
        <w:t>22</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_Toc26527 </w:instrText>
      </w:r>
      <w:r>
        <w:rPr>
          <w:szCs w:val="28"/>
        </w:rPr>
        <w:fldChar w:fldCharType="separate"/>
      </w:r>
      <w:r>
        <w:rPr>
          <w:rFonts w:ascii="宋体" w:eastAsia="宋体" w:cs="宋体" w:hAnsi="宋体" w:hint="eastAsia"/>
          <w:bCs/>
          <w:szCs w:val="32"/>
          <w:lang w:val="en-US" w:eastAsia="zh-CN"/>
        </w:rPr>
        <w:t>3.4用地规划与相邻区域关系</w:t>
      </w:r>
      <w:r>
        <w:tab/>
      </w:r>
      <w:r>
        <w:fldChar w:fldCharType="begin"/>
      </w:r>
      <w:r>
        <w:instrText xml:space="preserve"> PAGEREF _Toc26527 \h </w:instrText>
      </w:r>
      <w:r>
        <w:fldChar w:fldCharType="separate"/>
      </w:r>
      <w:r>
        <w:t>26</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_Toc26417 </w:instrText>
      </w:r>
      <w:r>
        <w:rPr>
          <w:szCs w:val="28"/>
        </w:rPr>
        <w:fldChar w:fldCharType="separate"/>
      </w:r>
      <w:r>
        <w:rPr>
          <w:rFonts w:ascii="宋体" w:eastAsia="宋体" w:cs="宋体" w:hAnsi="宋体" w:hint="eastAsia"/>
          <w:bCs/>
          <w:szCs w:val="32"/>
          <w:lang w:eastAsia="zh-CN"/>
        </w:rPr>
        <w:t>第四章</w:t>
      </w:r>
      <w:r>
        <w:rPr>
          <w:rFonts w:ascii="宋体" w:eastAsia="宋体" w:cs="宋体" w:hAnsi="宋体" w:hint="eastAsia"/>
          <w:bCs/>
          <w:szCs w:val="32"/>
          <w:lang w:val="en-US" w:eastAsia="zh-CN"/>
        </w:rPr>
        <w:t xml:space="preserve"> </w:t>
      </w:r>
      <w:r>
        <w:rPr>
          <w:rFonts w:ascii="宋体" w:eastAsia="宋体" w:cs="宋体" w:hAnsi="宋体" w:hint="eastAsia"/>
          <w:bCs/>
          <w:szCs w:val="32"/>
        </w:rPr>
        <w:t>综合交通及竖向规划</w:t>
      </w:r>
      <w:r>
        <w:tab/>
      </w:r>
      <w:r>
        <w:fldChar w:fldCharType="begin"/>
      </w:r>
      <w:r>
        <w:instrText xml:space="preserve"> PAGEREF _Toc26417 \h </w:instrText>
      </w:r>
      <w:r>
        <w:fldChar w:fldCharType="separate"/>
      </w:r>
      <w:r>
        <w:t>29</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_Toc13494 </w:instrText>
      </w:r>
      <w:r>
        <w:rPr>
          <w:szCs w:val="28"/>
        </w:rPr>
        <w:fldChar w:fldCharType="separate"/>
      </w:r>
      <w:r>
        <w:rPr>
          <w:rFonts w:ascii="宋体" w:eastAsia="宋体" w:cs="宋体" w:hAnsi="宋体" w:hint="eastAsia"/>
          <w:bCs/>
          <w:szCs w:val="32"/>
          <w:lang w:val="en-US" w:eastAsia="zh-CN"/>
        </w:rPr>
        <w:t>4.1综合交通规划</w:t>
      </w:r>
      <w:r>
        <w:tab/>
      </w:r>
      <w:r>
        <w:fldChar w:fldCharType="begin"/>
      </w:r>
      <w:r>
        <w:instrText xml:space="preserve"> PAGEREF _Toc13494 \h </w:instrText>
      </w:r>
      <w:r>
        <w:fldChar w:fldCharType="separate"/>
      </w:r>
      <w:r>
        <w:t>29</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_Toc31719 </w:instrText>
      </w:r>
      <w:r>
        <w:rPr>
          <w:szCs w:val="28"/>
        </w:rPr>
        <w:fldChar w:fldCharType="separate"/>
      </w:r>
      <w:r>
        <w:rPr>
          <w:rFonts w:ascii="宋体" w:eastAsia="宋体" w:cs="宋体" w:hAnsi="宋体" w:hint="eastAsia"/>
          <w:bCs/>
          <w:szCs w:val="32"/>
          <w:lang w:val="en-US" w:eastAsia="zh-CN"/>
        </w:rPr>
        <w:t>4.2竖向规划</w:t>
      </w:r>
      <w:r>
        <w:tab/>
      </w:r>
      <w:r>
        <w:fldChar w:fldCharType="begin"/>
      </w:r>
      <w:r>
        <w:instrText xml:space="preserve"> PAGEREF _Toc31719 \h </w:instrText>
      </w:r>
      <w:r>
        <w:fldChar w:fldCharType="separate"/>
      </w:r>
      <w:r>
        <w:t>31</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_Toc6593 </w:instrText>
      </w:r>
      <w:r>
        <w:rPr>
          <w:szCs w:val="28"/>
        </w:rPr>
        <w:fldChar w:fldCharType="separate"/>
      </w:r>
      <w:r>
        <w:rPr>
          <w:rFonts w:ascii="宋体" w:eastAsia="宋体" w:cs="宋体" w:hAnsi="宋体" w:hint="eastAsia"/>
          <w:bCs/>
          <w:szCs w:val="32"/>
          <w:lang w:eastAsia="zh-CN"/>
        </w:rPr>
        <w:t>第五章</w:t>
      </w:r>
      <w:r>
        <w:rPr>
          <w:rFonts w:ascii="宋体" w:eastAsia="宋体" w:cs="宋体" w:hAnsi="宋体" w:hint="eastAsia"/>
          <w:bCs/>
          <w:szCs w:val="32"/>
          <w:lang w:val="en-US" w:eastAsia="zh-CN"/>
        </w:rPr>
        <w:t xml:space="preserve"> </w:t>
      </w:r>
      <w:r>
        <w:rPr>
          <w:rFonts w:ascii="宋体" w:eastAsia="宋体" w:cs="宋体" w:hAnsi="宋体" w:hint="eastAsia"/>
          <w:bCs/>
          <w:szCs w:val="32"/>
        </w:rPr>
        <w:t>市政工程规划</w:t>
      </w:r>
      <w:r>
        <w:tab/>
      </w:r>
      <w:r>
        <w:fldChar w:fldCharType="begin"/>
      </w:r>
      <w:r>
        <w:instrText xml:space="preserve"> PAGEREF _Toc6593 \h </w:instrText>
      </w:r>
      <w:r>
        <w:fldChar w:fldCharType="separate"/>
      </w:r>
      <w:r>
        <w:t>31</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_Toc7644 </w:instrText>
      </w:r>
      <w:r>
        <w:rPr>
          <w:szCs w:val="28"/>
        </w:rPr>
        <w:fldChar w:fldCharType="separate"/>
      </w:r>
      <w:r>
        <w:rPr>
          <w:rFonts w:ascii="宋体" w:eastAsia="宋体" w:cs="宋体" w:hAnsi="宋体" w:hint="eastAsia"/>
          <w:bCs/>
          <w:szCs w:val="32"/>
          <w:lang w:val="en-US" w:eastAsia="zh-CN"/>
        </w:rPr>
        <w:t>5.1给水工程规划</w:t>
      </w:r>
      <w:r>
        <w:tab/>
      </w:r>
      <w:r>
        <w:fldChar w:fldCharType="begin"/>
      </w:r>
      <w:r>
        <w:instrText xml:space="preserve"> PAGEREF _Toc7644 \h </w:instrText>
      </w:r>
      <w:r>
        <w:fldChar w:fldCharType="separate"/>
      </w:r>
      <w:r>
        <w:t>31</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_Toc4291 </w:instrText>
      </w:r>
      <w:r>
        <w:rPr>
          <w:szCs w:val="28"/>
        </w:rPr>
        <w:fldChar w:fldCharType="separate"/>
      </w:r>
      <w:r>
        <w:rPr>
          <w:rFonts w:ascii="宋体" w:eastAsia="宋体" w:cs="宋体" w:hAnsi="宋体" w:hint="eastAsia"/>
          <w:bCs/>
          <w:szCs w:val="32"/>
          <w:lang w:val="en-US" w:eastAsia="zh-CN"/>
        </w:rPr>
        <w:t>5.2排水工程规划</w:t>
      </w:r>
      <w:r>
        <w:tab/>
      </w:r>
      <w:r>
        <w:fldChar w:fldCharType="begin"/>
      </w:r>
      <w:r>
        <w:instrText xml:space="preserve"> PAGEREF _Toc4291 \h </w:instrText>
      </w:r>
      <w:r>
        <w:fldChar w:fldCharType="separate"/>
      </w:r>
      <w:r>
        <w:t>32</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_Toc12761 </w:instrText>
      </w:r>
      <w:r>
        <w:rPr>
          <w:szCs w:val="28"/>
        </w:rPr>
        <w:fldChar w:fldCharType="separate"/>
      </w:r>
      <w:r>
        <w:rPr>
          <w:rFonts w:ascii="宋体" w:eastAsia="宋体" w:cs="宋体" w:hAnsi="宋体" w:hint="eastAsia"/>
          <w:bCs/>
          <w:szCs w:val="32"/>
          <w:lang w:val="en-US" w:eastAsia="zh-CN"/>
        </w:rPr>
        <w:t xml:space="preserve">5.3 </w:t>
      </w:r>
      <w:r>
        <w:rPr>
          <w:rFonts w:ascii="宋体" w:eastAsia="宋体" w:cs="宋体" w:hAnsi="宋体" w:hint="eastAsia"/>
          <w:bCs/>
          <w:szCs w:val="32"/>
        </w:rPr>
        <w:t>电力工程规划</w:t>
      </w:r>
      <w:r>
        <w:tab/>
      </w:r>
      <w:r>
        <w:fldChar w:fldCharType="begin"/>
      </w:r>
      <w:r>
        <w:instrText xml:space="preserve"> PAGEREF _Toc12761 \h </w:instrText>
      </w:r>
      <w:r>
        <w:fldChar w:fldCharType="separate"/>
      </w:r>
      <w:r>
        <w:t>35</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_Toc15078 </w:instrText>
      </w:r>
      <w:r>
        <w:rPr>
          <w:szCs w:val="28"/>
        </w:rPr>
        <w:fldChar w:fldCharType="separate"/>
      </w:r>
      <w:r>
        <w:rPr>
          <w:rFonts w:ascii="宋体" w:eastAsia="宋体" w:cs="宋体" w:hAnsi="宋体" w:hint="eastAsia"/>
          <w:bCs/>
          <w:szCs w:val="32"/>
          <w:lang w:val="en-US" w:eastAsia="zh-CN"/>
        </w:rPr>
        <w:t>5.4通信工程规划</w:t>
      </w:r>
      <w:r>
        <w:tab/>
      </w:r>
      <w:r>
        <w:fldChar w:fldCharType="begin"/>
      </w:r>
      <w:r>
        <w:instrText xml:space="preserve"> PAGEREF _Toc15078 \h </w:instrText>
      </w:r>
      <w:r>
        <w:fldChar w:fldCharType="separate"/>
      </w:r>
      <w:r>
        <w:t>37</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_Toc3520 </w:instrText>
      </w:r>
      <w:r>
        <w:rPr>
          <w:szCs w:val="28"/>
        </w:rPr>
        <w:fldChar w:fldCharType="separate"/>
      </w:r>
      <w:r>
        <w:rPr>
          <w:rFonts w:ascii="宋体" w:eastAsia="宋体" w:cs="宋体" w:hAnsi="宋体" w:hint="eastAsia"/>
          <w:bCs/>
          <w:szCs w:val="32"/>
          <w:lang w:val="en-US" w:eastAsia="zh-CN"/>
        </w:rPr>
        <w:t>5.5环卫设施规划</w:t>
      </w:r>
      <w:r>
        <w:tab/>
      </w:r>
      <w:r>
        <w:fldChar w:fldCharType="begin"/>
      </w:r>
      <w:r>
        <w:instrText xml:space="preserve"> PAGEREF _Toc3520 \h </w:instrText>
      </w:r>
      <w:r>
        <w:fldChar w:fldCharType="separate"/>
      </w:r>
      <w:r>
        <w:t>38</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_Toc29281 </w:instrText>
      </w:r>
      <w:r>
        <w:rPr>
          <w:szCs w:val="28"/>
        </w:rPr>
        <w:fldChar w:fldCharType="separate"/>
      </w:r>
      <w:r>
        <w:rPr>
          <w:rFonts w:ascii="宋体" w:eastAsia="宋体" w:cs="宋体" w:hAnsi="宋体" w:hint="eastAsia"/>
          <w:bCs/>
          <w:szCs w:val="32"/>
          <w:lang w:eastAsia="zh-CN"/>
        </w:rPr>
        <w:t>第六章</w:t>
      </w:r>
      <w:r>
        <w:rPr>
          <w:rFonts w:ascii="宋体" w:eastAsia="宋体" w:cs="宋体" w:hAnsi="宋体" w:hint="eastAsia"/>
          <w:bCs/>
          <w:szCs w:val="32"/>
          <w:lang w:val="en-US" w:eastAsia="zh-CN"/>
        </w:rPr>
        <w:t xml:space="preserve"> </w:t>
      </w:r>
      <w:r>
        <w:rPr>
          <w:rFonts w:ascii="宋体" w:eastAsia="宋体" w:cs="宋体" w:hAnsi="宋体" w:hint="eastAsia"/>
          <w:bCs/>
          <w:szCs w:val="32"/>
        </w:rPr>
        <w:t>综合防灾规划</w:t>
      </w:r>
      <w:r>
        <w:tab/>
      </w:r>
      <w:r>
        <w:fldChar w:fldCharType="begin"/>
      </w:r>
      <w:r>
        <w:instrText xml:space="preserve"> PAGEREF _Toc29281 \h </w:instrText>
      </w:r>
      <w:r>
        <w:fldChar w:fldCharType="separate"/>
      </w:r>
      <w:r>
        <w:t>39</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_Toc30560 </w:instrText>
      </w:r>
      <w:r>
        <w:rPr>
          <w:szCs w:val="28"/>
        </w:rPr>
        <w:fldChar w:fldCharType="separate"/>
      </w:r>
      <w:r>
        <w:rPr>
          <w:rFonts w:ascii="宋体" w:eastAsia="宋体" w:cs="宋体" w:hAnsi="宋体" w:hint="eastAsia"/>
          <w:bCs/>
          <w:szCs w:val="32"/>
          <w:lang w:val="en-US" w:eastAsia="zh-CN"/>
        </w:rPr>
        <w:t>6.1消防规划</w:t>
      </w:r>
      <w:r>
        <w:tab/>
      </w:r>
      <w:r>
        <w:fldChar w:fldCharType="begin"/>
      </w:r>
      <w:r>
        <w:instrText xml:space="preserve"> PAGEREF _Toc30560 \h </w:instrText>
      </w:r>
      <w:r>
        <w:fldChar w:fldCharType="separate"/>
      </w:r>
      <w:r>
        <w:t>39</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_Toc12402 </w:instrText>
      </w:r>
      <w:r>
        <w:rPr>
          <w:szCs w:val="28"/>
        </w:rPr>
        <w:fldChar w:fldCharType="separate"/>
      </w:r>
      <w:r>
        <w:rPr>
          <w:rFonts w:ascii="宋体" w:eastAsia="宋体" w:cs="宋体" w:hAnsi="宋体" w:hint="eastAsia"/>
          <w:bCs/>
          <w:szCs w:val="32"/>
          <w:lang w:val="en-US" w:eastAsia="zh-CN"/>
        </w:rPr>
        <w:t>6.2抗震防灾规划</w:t>
      </w:r>
      <w:r>
        <w:tab/>
      </w:r>
      <w:r>
        <w:fldChar w:fldCharType="begin"/>
      </w:r>
      <w:r>
        <w:instrText xml:space="preserve"> PAGEREF _Toc12402 \h </w:instrText>
      </w:r>
      <w:r>
        <w:fldChar w:fldCharType="separate"/>
      </w:r>
      <w:r>
        <w:t>44</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_Toc19199 </w:instrText>
      </w:r>
      <w:r>
        <w:rPr>
          <w:szCs w:val="28"/>
        </w:rPr>
        <w:fldChar w:fldCharType="separate"/>
      </w:r>
      <w:r>
        <w:rPr>
          <w:rFonts w:ascii="宋体" w:eastAsia="宋体" w:cs="宋体" w:hAnsi="宋体" w:hint="eastAsia"/>
          <w:bCs/>
          <w:szCs w:val="32"/>
          <w:lang w:val="en-US" w:eastAsia="zh-CN"/>
        </w:rPr>
        <w:t>6.3防洪排涝规划</w:t>
      </w:r>
      <w:r>
        <w:tab/>
      </w:r>
      <w:r>
        <w:fldChar w:fldCharType="begin"/>
      </w:r>
      <w:r>
        <w:instrText xml:space="preserve"> PAGEREF _Toc19199 \h </w:instrText>
      </w:r>
      <w:r>
        <w:fldChar w:fldCharType="separate"/>
      </w:r>
      <w:r>
        <w:t>45</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_Toc4156 </w:instrText>
      </w:r>
      <w:r>
        <w:rPr>
          <w:szCs w:val="28"/>
        </w:rPr>
        <w:fldChar w:fldCharType="separate"/>
      </w:r>
      <w:r>
        <w:rPr>
          <w:rFonts w:ascii="宋体" w:eastAsia="宋体" w:cs="宋体" w:hAnsi="宋体" w:hint="eastAsia"/>
          <w:bCs/>
          <w:szCs w:val="32"/>
          <w:lang w:val="en-US" w:eastAsia="zh-CN"/>
        </w:rPr>
        <w:t>6.4地质灾害防治规划</w:t>
      </w:r>
      <w:r>
        <w:tab/>
      </w:r>
      <w:r>
        <w:fldChar w:fldCharType="begin"/>
      </w:r>
      <w:r>
        <w:instrText xml:space="preserve"> PAGEREF _Toc4156 \h </w:instrText>
      </w:r>
      <w:r>
        <w:fldChar w:fldCharType="separate"/>
      </w:r>
      <w:r>
        <w:t>48</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_Toc3912 </w:instrText>
      </w:r>
      <w:r>
        <w:rPr>
          <w:szCs w:val="28"/>
        </w:rPr>
        <w:fldChar w:fldCharType="separate"/>
      </w:r>
      <w:r>
        <w:rPr>
          <w:rFonts w:ascii="宋体" w:eastAsia="宋体" w:cs="宋体" w:hAnsi="宋体" w:hint="eastAsia"/>
          <w:bCs/>
          <w:szCs w:val="32"/>
          <w:lang w:eastAsia="zh-CN"/>
        </w:rPr>
        <w:t>第七章</w:t>
      </w:r>
      <w:r>
        <w:rPr>
          <w:rFonts w:ascii="宋体" w:eastAsia="宋体" w:cs="宋体" w:hAnsi="宋体" w:hint="eastAsia"/>
          <w:bCs/>
          <w:szCs w:val="32"/>
          <w:lang w:val="en-US" w:eastAsia="zh-CN"/>
        </w:rPr>
        <w:t xml:space="preserve"> </w:t>
      </w:r>
      <w:r>
        <w:rPr>
          <w:rFonts w:ascii="宋体" w:eastAsia="宋体" w:cs="宋体" w:hAnsi="宋体" w:hint="eastAsia"/>
          <w:bCs/>
          <w:szCs w:val="32"/>
          <w:lang w:eastAsia="zh-CN"/>
        </w:rPr>
        <w:t>地块管控</w:t>
      </w:r>
      <w:r>
        <w:rPr>
          <w:rFonts w:ascii="宋体" w:eastAsia="宋体" w:cs="宋体" w:hAnsi="宋体" w:hint="eastAsia"/>
          <w:bCs/>
          <w:szCs w:val="32"/>
        </w:rPr>
        <w:t>规划</w:t>
      </w:r>
      <w:r>
        <w:tab/>
      </w:r>
      <w:r>
        <w:fldChar w:fldCharType="begin"/>
      </w:r>
      <w:r>
        <w:instrText xml:space="preserve"> PAGEREF _Toc3912 \h </w:instrText>
      </w:r>
      <w:r>
        <w:fldChar w:fldCharType="separate"/>
      </w:r>
      <w:r>
        <w:t>49</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_Toc15756 </w:instrText>
      </w:r>
      <w:r>
        <w:rPr>
          <w:szCs w:val="28"/>
        </w:rPr>
        <w:fldChar w:fldCharType="separate"/>
      </w:r>
      <w:r>
        <w:rPr>
          <w:rFonts w:ascii="宋体" w:eastAsia="宋体" w:cs="宋体" w:hAnsi="宋体" w:hint="eastAsia"/>
          <w:bCs/>
          <w:szCs w:val="32"/>
          <w:lang w:val="en-US" w:eastAsia="zh-CN"/>
        </w:rPr>
        <w:t>7.1地块控制内容</w:t>
      </w:r>
      <w:r>
        <w:tab/>
      </w:r>
      <w:r>
        <w:fldChar w:fldCharType="begin"/>
      </w:r>
      <w:r>
        <w:instrText xml:space="preserve"> PAGEREF _Toc15756 \h </w:instrText>
      </w:r>
      <w:r>
        <w:fldChar w:fldCharType="separate"/>
      </w:r>
      <w:r>
        <w:t>49</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_Toc10612 </w:instrText>
      </w:r>
      <w:r>
        <w:rPr>
          <w:szCs w:val="28"/>
        </w:rPr>
        <w:fldChar w:fldCharType="separate"/>
      </w:r>
      <w:r>
        <w:rPr>
          <w:rFonts w:ascii="宋体" w:eastAsia="宋体" w:cs="宋体" w:hAnsi="宋体" w:hint="eastAsia"/>
          <w:bCs/>
          <w:szCs w:val="32"/>
          <w:lang w:val="en-US" w:eastAsia="zh-CN"/>
        </w:rPr>
        <w:t>7.2地块控制指标表</w:t>
      </w:r>
      <w:r>
        <w:tab/>
      </w:r>
      <w:r>
        <w:fldChar w:fldCharType="begin"/>
      </w:r>
      <w:r>
        <w:instrText xml:space="preserve"> PAGEREF _Toc10612 \h </w:instrText>
      </w:r>
      <w:r>
        <w:fldChar w:fldCharType="separate"/>
      </w:r>
      <w:r>
        <w:t>57</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_Toc22227 </w:instrText>
      </w:r>
      <w:r>
        <w:rPr>
          <w:szCs w:val="28"/>
        </w:rPr>
        <w:fldChar w:fldCharType="separate"/>
      </w:r>
      <w:r>
        <w:rPr>
          <w:rFonts w:ascii="宋体" w:eastAsia="宋体" w:cs="宋体" w:hAnsi="宋体" w:hint="eastAsia"/>
          <w:bCs/>
          <w:szCs w:val="32"/>
          <w:lang w:eastAsia="zh-CN"/>
        </w:rPr>
        <w:t>第八章</w:t>
      </w:r>
      <w:r>
        <w:rPr>
          <w:rFonts w:ascii="宋体" w:eastAsia="宋体" w:cs="宋体" w:hAnsi="宋体" w:hint="eastAsia"/>
          <w:bCs/>
          <w:szCs w:val="32"/>
          <w:lang w:val="en-US" w:eastAsia="zh-CN"/>
        </w:rPr>
        <w:t xml:space="preserve"> </w:t>
      </w:r>
      <w:r>
        <w:rPr>
          <w:rFonts w:ascii="宋体" w:eastAsia="宋体" w:cs="宋体" w:hAnsi="宋体" w:hint="eastAsia"/>
          <w:bCs/>
          <w:szCs w:val="32"/>
          <w:lang w:eastAsia="zh-CN"/>
        </w:rPr>
        <w:t>环境保护</w:t>
      </w:r>
      <w:r>
        <w:rPr>
          <w:rFonts w:ascii="宋体" w:eastAsia="宋体" w:cs="宋体" w:hAnsi="宋体" w:hint="eastAsia"/>
          <w:bCs/>
          <w:szCs w:val="32"/>
        </w:rPr>
        <w:t>规划</w:t>
      </w:r>
      <w:r>
        <w:tab/>
      </w:r>
      <w:r>
        <w:fldChar w:fldCharType="begin"/>
      </w:r>
      <w:r>
        <w:instrText xml:space="preserve"> PAGEREF _Toc22227 \h </w:instrText>
      </w:r>
      <w:r>
        <w:fldChar w:fldCharType="separate"/>
      </w:r>
      <w:r>
        <w:t>59</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_Toc15332 </w:instrText>
      </w:r>
      <w:r>
        <w:rPr>
          <w:szCs w:val="28"/>
        </w:rPr>
        <w:fldChar w:fldCharType="separate"/>
      </w:r>
      <w:r>
        <w:rPr>
          <w:rFonts w:ascii="宋体" w:eastAsia="宋体" w:cs="宋体" w:hAnsi="宋体" w:hint="eastAsia"/>
          <w:bCs/>
          <w:szCs w:val="32"/>
          <w:lang w:val="en-US" w:eastAsia="zh-CN"/>
        </w:rPr>
        <w:t>8.1规划依据</w:t>
      </w:r>
      <w:r>
        <w:tab/>
      </w:r>
      <w:r>
        <w:fldChar w:fldCharType="begin"/>
      </w:r>
      <w:r>
        <w:instrText xml:space="preserve"> PAGEREF _Toc15332 \h </w:instrText>
      </w:r>
      <w:r>
        <w:fldChar w:fldCharType="separate"/>
      </w:r>
      <w:r>
        <w:t>59</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_Toc17363 </w:instrText>
      </w:r>
      <w:r>
        <w:rPr>
          <w:szCs w:val="28"/>
        </w:rPr>
        <w:fldChar w:fldCharType="separate"/>
      </w:r>
      <w:r>
        <w:rPr>
          <w:rFonts w:ascii="宋体" w:eastAsia="宋体" w:cs="宋体" w:hAnsi="宋体" w:hint="eastAsia"/>
          <w:bCs/>
          <w:szCs w:val="32"/>
          <w:lang w:val="en-US" w:eastAsia="zh-CN"/>
        </w:rPr>
        <w:t>8.2环境保护措施</w:t>
      </w:r>
      <w:r>
        <w:tab/>
      </w:r>
      <w:r>
        <w:fldChar w:fldCharType="begin"/>
      </w:r>
      <w:r>
        <w:instrText xml:space="preserve"> PAGEREF _Toc17363 \h </w:instrText>
      </w:r>
      <w:r>
        <w:fldChar w:fldCharType="separate"/>
      </w:r>
      <w:r>
        <w:t>60</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_Toc19093 </w:instrText>
      </w:r>
      <w:r>
        <w:rPr>
          <w:szCs w:val="28"/>
        </w:rPr>
        <w:fldChar w:fldCharType="separate"/>
      </w:r>
      <w:r>
        <w:rPr>
          <w:rFonts w:ascii="宋体" w:eastAsia="宋体" w:cs="宋体" w:hAnsi="宋体" w:hint="eastAsia"/>
          <w:bCs/>
          <w:szCs w:val="32"/>
          <w:lang w:eastAsia="zh-CN"/>
        </w:rPr>
        <w:t>第九章</w:t>
      </w:r>
      <w:r>
        <w:rPr>
          <w:rFonts w:ascii="宋体" w:eastAsia="宋体" w:cs="宋体" w:hAnsi="宋体" w:hint="eastAsia"/>
          <w:bCs/>
          <w:szCs w:val="32"/>
          <w:lang w:val="en-US" w:eastAsia="zh-CN"/>
        </w:rPr>
        <w:t xml:space="preserve"> </w:t>
      </w:r>
      <w:r>
        <w:rPr>
          <w:rFonts w:ascii="宋体" w:eastAsia="宋体" w:cs="宋体" w:hAnsi="宋体" w:hint="eastAsia"/>
          <w:bCs/>
          <w:szCs w:val="32"/>
          <w:lang w:eastAsia="zh-CN"/>
        </w:rPr>
        <w:t>附则</w:t>
      </w:r>
      <w:r>
        <w:tab/>
      </w:r>
      <w:r>
        <w:fldChar w:fldCharType="begin"/>
      </w:r>
      <w:r>
        <w:instrText xml:space="preserve"> PAGEREF _Toc19093 \h </w:instrText>
      </w:r>
      <w:r>
        <w:fldChar w:fldCharType="separate"/>
      </w:r>
      <w:r>
        <w:t>68</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_Toc20176 </w:instrText>
      </w:r>
      <w:r>
        <w:rPr>
          <w:szCs w:val="28"/>
        </w:rPr>
        <w:fldChar w:fldCharType="separate"/>
      </w:r>
      <w:r>
        <w:rPr>
          <w:rFonts w:ascii="宋体" w:eastAsia="宋体" w:cs="宋体" w:hAnsi="宋体" w:hint="eastAsia"/>
          <w:bCs/>
          <w:szCs w:val="32"/>
          <w:lang w:val="en-US" w:eastAsia="zh-CN"/>
        </w:rPr>
        <w:t>9.1规划成果构成</w:t>
      </w:r>
      <w:r>
        <w:tab/>
      </w:r>
      <w:r>
        <w:fldChar w:fldCharType="begin"/>
      </w:r>
      <w:r>
        <w:instrText xml:space="preserve"> PAGEREF _Toc20176 \h </w:instrText>
      </w:r>
      <w:r>
        <w:fldChar w:fldCharType="separate"/>
      </w:r>
      <w:r>
        <w:t>68</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_Toc23563 </w:instrText>
      </w:r>
      <w:r>
        <w:rPr>
          <w:szCs w:val="28"/>
        </w:rPr>
        <w:fldChar w:fldCharType="separate"/>
      </w:r>
      <w:r>
        <w:rPr>
          <w:rFonts w:ascii="宋体" w:eastAsia="宋体" w:cs="宋体" w:hAnsi="宋体" w:hint="eastAsia"/>
          <w:bCs/>
          <w:szCs w:val="32"/>
          <w:lang w:val="en-US" w:eastAsia="zh-CN"/>
        </w:rPr>
        <w:t>9.2规划控制指标</w:t>
      </w:r>
      <w:r>
        <w:tab/>
      </w:r>
      <w:r>
        <w:fldChar w:fldCharType="begin"/>
      </w:r>
      <w:r>
        <w:instrText xml:space="preserve"> PAGEREF _Toc23563 \h </w:instrText>
      </w:r>
      <w:r>
        <w:fldChar w:fldCharType="separate"/>
      </w:r>
      <w:r>
        <w:t>68</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_Toc31820 </w:instrText>
      </w:r>
      <w:r>
        <w:rPr>
          <w:szCs w:val="28"/>
        </w:rPr>
        <w:fldChar w:fldCharType="separate"/>
      </w:r>
      <w:r>
        <w:rPr>
          <w:rFonts w:ascii="宋体" w:eastAsia="宋体" w:cs="宋体" w:hAnsi="宋体" w:hint="eastAsia"/>
          <w:bCs/>
          <w:szCs w:val="32"/>
          <w:lang w:val="en-US" w:eastAsia="zh-CN"/>
        </w:rPr>
        <w:t>9.3规划实施保障措施</w:t>
      </w:r>
      <w:r>
        <w:tab/>
      </w:r>
      <w:r>
        <w:fldChar w:fldCharType="begin"/>
      </w:r>
      <w:r>
        <w:instrText xml:space="preserve"> PAGEREF _Toc31820 \h </w:instrText>
      </w:r>
      <w:r>
        <w:fldChar w:fldCharType="separate"/>
      </w:r>
      <w:r>
        <w:t>68</w:t>
      </w:r>
      <w:r>
        <w:fldChar w:fldCharType="end"/>
      </w:r>
      <w:r>
        <w:rPr>
          <w:color w:val="auto"/>
          <w:szCs w:val="28"/>
        </w:rPr>
        <w:fldChar w:fldCharType="end"/>
      </w:r>
    </w:p>
    <w:p>
      <w:pPr>
        <w:spacing w:line="440" w:lineRule="exact"/>
        <w:rPr>
          <w:b/>
          <w:bCs/>
          <w:color w:val="auto"/>
          <w:sz w:val="30"/>
          <w:szCs w:val="30"/>
        </w:rPr>
        <w:sectPr>
          <w:footerReference w:type="default" r:id="rId2"/>
          <w:pgSz w:w="11906" w:h="16838"/>
          <w:pgMar w:top="1440" w:right="1800" w:bottom="1440" w:left="1800" w:header="851" w:footer="992" w:gutter="0"/>
          <w:docGrid w:type="lines" w:linePitch="312" w:charSpace="0"/>
        </w:sectPr>
      </w:pPr>
      <w:r>
        <w:rPr>
          <w:color w:val="auto"/>
          <w:szCs w:val="28"/>
        </w:rPr>
        <w:fldChar w:fldCharType="end"/>
      </w:r>
      <w:bookmarkStart w:id="3" w:name="_Toc28413"/>
      <w:bookmarkStart w:id="4" w:name="_Toc18067"/>
    </w:p>
    <w:p>
      <w:pPr>
        <w:pStyle w:val="1"/>
        <w:numPr>
          <w:ilvl w:val="0"/>
          <w:numId w:val="1"/>
        </w:numPr>
        <w:spacing w:before="260" w:line="360" w:lineRule="auto"/>
        <w:ind w:left="420"/>
        <w:jc w:val="center"/>
        <w:rPr>
          <w:rFonts w:ascii="宋体" w:eastAsia="宋体" w:cs="宋体" w:hAnsi="宋体" w:hint="eastAsia"/>
          <w:bCs/>
          <w:color w:val="auto"/>
          <w:sz w:val="32"/>
          <w:szCs w:val="32"/>
          <w:lang w:eastAsia="zh-CN"/>
        </w:rPr>
      </w:pPr>
      <w:bookmarkStart w:id="5" w:name="_Toc18992"/>
      <w:bookmarkStart w:id="6" w:name="_Toc12534"/>
      <w:bookmarkStart w:id="7" w:name="_Toc20049"/>
      <w:bookmarkStart w:id="8" w:name="_Toc307"/>
      <w:bookmarkStart w:id="9" w:name="_Toc6350"/>
      <w:bookmarkStart w:id="10" w:name="_Toc23810"/>
      <w:bookmarkStart w:id="11" w:name="_Toc7237"/>
      <w:bookmarkStart w:id="12" w:name="_Toc9811"/>
      <w:bookmarkStart w:id="13" w:name="_Toc20414"/>
      <w:bookmarkStart w:id="14" w:name="_Toc27536"/>
      <w:bookmarkEnd w:id="3"/>
      <w:bookmarkEnd w:id="4"/>
      <w:r>
        <w:rPr>
          <w:rFonts w:ascii="宋体" w:eastAsia="宋体" w:cs="宋体" w:hAnsi="宋体" w:hint="eastAsia"/>
          <w:bCs/>
          <w:color w:val="auto"/>
          <w:sz w:val="32"/>
          <w:szCs w:val="32"/>
          <w:lang w:eastAsia="zh-CN"/>
        </w:rPr>
        <w:t>规划综述</w:t>
      </w:r>
      <w:bookmarkEnd w:id="5"/>
    </w:p>
    <w:p>
      <w:pPr>
        <w:pStyle w:val="1"/>
        <w:numPr>
          <w:ilvl w:val="0"/>
          <w:numId w:val="0"/>
        </w:numPr>
        <w:spacing w:before="260" w:line="360" w:lineRule="auto"/>
        <w:ind w:left="420"/>
        <w:rPr>
          <w:rFonts w:ascii="宋体" w:eastAsia="宋体" w:cs="宋体" w:hAnsi="宋体"/>
          <w:bCs/>
          <w:color w:val="auto"/>
          <w:sz w:val="32"/>
          <w:szCs w:val="32"/>
        </w:rPr>
      </w:pPr>
      <w:bookmarkStart w:id="15" w:name="_Toc2176"/>
      <w:r>
        <w:rPr>
          <w:rFonts w:ascii="宋体" w:eastAsia="宋体" w:cs="宋体" w:hAnsi="宋体" w:hint="eastAsia"/>
          <w:bCs/>
          <w:color w:val="auto"/>
          <w:sz w:val="32"/>
          <w:szCs w:val="32"/>
          <w:lang w:val="en-US" w:eastAsia="zh-CN"/>
        </w:rPr>
        <w:t>1.1</w:t>
      </w:r>
      <w:r>
        <w:rPr>
          <w:rFonts w:ascii="宋体" w:eastAsia="宋体" w:cs="宋体" w:hAnsi="宋体" w:hint="eastAsia"/>
          <w:bCs/>
          <w:color w:val="auto"/>
          <w:sz w:val="32"/>
          <w:szCs w:val="32"/>
          <w:lang w:eastAsia="zh-CN"/>
        </w:rPr>
        <w:t>规划背景</w:t>
      </w:r>
      <w:bookmarkEnd w:id="15"/>
    </w:p>
    <w:p>
      <w:pPr>
        <w:rPr>
          <w:color w:val="auto"/>
        </w:rPr>
      </w:pP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随着经济的快速发展，人类正以前所未有的速度消耗着地球上极为有限的化石能源资源。为减少对一次能源的依赖，保护人类的生存环境，我国研究、制定和执行经济、社会和资源相互协调的21 世纪可持续发展战略。根据“十四五”规划和2035年远景目标纲要，风能作为清洁、绿色、低碳的能源，将在构建新型电力系统中发挥不可或缺的作用</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广西属能源缺乏省份之一，在一次能源中，广西煤、气、油等资源匮乏，然而，钦州市风能资源丰富，主要分布在海拔相对较高的山脊、丘陵区域，开发风电场符合我国能源产业发展战略和方向</w:t>
      </w:r>
      <w:r>
        <w:rPr>
          <w:rFonts w:ascii="宋体" w:eastAsia="宋体" w:cs="宋体" w:hAnsi="宋体" w:hint="eastAsia"/>
          <w:color w:val="auto"/>
          <w:kern w:val="0"/>
          <w:sz w:val="28"/>
          <w:szCs w:val="28"/>
          <w:lang w:eastAsia="zh-CN"/>
        </w:rPr>
        <w:t>。钦北区百浪岭风电场一期属自治区核准项目，为了</w:t>
      </w:r>
      <w:r>
        <w:rPr>
          <w:rFonts w:ascii="宋体" w:eastAsia="宋体" w:cs="宋体" w:hAnsi="宋体" w:hint="eastAsia"/>
          <w:color w:val="auto"/>
          <w:kern w:val="0"/>
          <w:sz w:val="28"/>
          <w:szCs w:val="28"/>
        </w:rPr>
        <w:t>加快自治区</w:t>
      </w:r>
      <w:r>
        <w:rPr>
          <w:rFonts w:ascii="宋体" w:eastAsia="宋体" w:cs="宋体" w:hAnsi="宋体" w:hint="eastAsia"/>
          <w:color w:val="auto"/>
          <w:kern w:val="0"/>
          <w:sz w:val="28"/>
          <w:szCs w:val="28"/>
          <w:lang w:eastAsia="zh-CN"/>
        </w:rPr>
        <w:t>及钦州</w:t>
      </w:r>
      <w:r>
        <w:rPr>
          <w:rFonts w:ascii="宋体" w:eastAsia="宋体" w:cs="宋体" w:hAnsi="宋体" w:hint="eastAsia"/>
          <w:color w:val="auto"/>
          <w:kern w:val="0"/>
          <w:sz w:val="28"/>
          <w:szCs w:val="28"/>
        </w:rPr>
        <w:t>风能资源的开发</w:t>
      </w:r>
      <w:r>
        <w:rPr>
          <w:rFonts w:ascii="宋体" w:eastAsia="宋体" w:cs="宋体" w:hAnsi="宋体" w:hint="eastAsia"/>
          <w:color w:val="auto"/>
          <w:kern w:val="0"/>
          <w:sz w:val="28"/>
          <w:szCs w:val="28"/>
          <w:lang w:eastAsia="zh-CN"/>
        </w:rPr>
        <w:t>，广西钦州金源新能源开发有限公司作为投资建设主体向规划主管部门提出该</w:t>
      </w:r>
      <w:r>
        <w:rPr>
          <w:rFonts w:ascii="宋体" w:eastAsia="宋体" w:cs="宋体" w:hAnsi="宋体" w:hint="eastAsia"/>
          <w:color w:val="auto"/>
          <w:kern w:val="0"/>
          <w:sz w:val="28"/>
          <w:szCs w:val="28"/>
        </w:rPr>
        <w:t>项目</w:t>
      </w:r>
      <w:r>
        <w:rPr>
          <w:rFonts w:ascii="宋体" w:eastAsia="宋体" w:cs="宋体" w:hAnsi="宋体" w:hint="eastAsia"/>
          <w:color w:val="auto"/>
          <w:kern w:val="0"/>
          <w:sz w:val="28"/>
          <w:szCs w:val="28"/>
          <w:lang w:eastAsia="zh-CN"/>
        </w:rPr>
        <w:t>规划建设用地申请。目前已经取得自治区能源局、</w:t>
      </w:r>
      <w:r>
        <w:rPr>
          <w:rFonts w:ascii="宋体" w:eastAsia="宋体" w:cs="宋体" w:hAnsi="宋体"/>
          <w:color w:val="auto"/>
          <w:kern w:val="0"/>
          <w:sz w:val="28"/>
          <w:szCs w:val="28"/>
          <w:lang w:eastAsia="zh-CN"/>
        </w:rPr>
        <w:t>自治</w:t>
      </w:r>
      <w:r>
        <w:rPr>
          <w:rFonts w:ascii="宋体" w:eastAsia="宋体" w:cs="宋体" w:hAnsi="宋体" w:hint="eastAsia"/>
          <w:color w:val="auto"/>
          <w:kern w:val="0"/>
          <w:sz w:val="28"/>
          <w:szCs w:val="28"/>
          <w:lang w:eastAsia="zh-CN"/>
        </w:rPr>
        <w:t>区</w:t>
      </w:r>
      <w:r>
        <w:rPr>
          <w:rFonts w:ascii="宋体" w:eastAsia="宋体" w:cs="宋体" w:hAnsi="宋体"/>
          <w:color w:val="auto"/>
          <w:kern w:val="0"/>
          <w:sz w:val="28"/>
          <w:szCs w:val="28"/>
          <w:lang w:eastAsia="zh-CN"/>
        </w:rPr>
        <w:t>发展改革委</w:t>
      </w:r>
      <w:r>
        <w:rPr>
          <w:rFonts w:ascii="宋体" w:eastAsia="宋体" w:cs="宋体" w:hAnsi="宋体" w:hint="eastAsia"/>
          <w:color w:val="auto"/>
          <w:kern w:val="0"/>
          <w:sz w:val="28"/>
          <w:szCs w:val="28"/>
          <w:lang w:eastAsia="zh-CN"/>
        </w:rPr>
        <w:t>项目核准、</w:t>
      </w:r>
      <w:r>
        <w:rPr>
          <w:rFonts w:ascii="宋体" w:eastAsia="宋体" w:cs="宋体" w:hAnsi="宋体"/>
          <w:color w:val="auto"/>
          <w:kern w:val="0"/>
          <w:sz w:val="28"/>
          <w:szCs w:val="28"/>
          <w:lang w:eastAsia="zh-CN"/>
        </w:rPr>
        <w:t>自治</w:t>
      </w:r>
      <w:r>
        <w:rPr>
          <w:rFonts w:ascii="宋体" w:eastAsia="宋体" w:cs="宋体" w:hAnsi="宋体" w:hint="eastAsia"/>
          <w:color w:val="auto"/>
          <w:kern w:val="0"/>
          <w:sz w:val="28"/>
          <w:szCs w:val="28"/>
          <w:lang w:eastAsia="zh-CN"/>
        </w:rPr>
        <w:t>区自然资源厅用地预审和</w:t>
      </w:r>
      <w:r>
        <w:rPr>
          <w:rFonts w:ascii="宋体" w:eastAsia="宋体" w:cs="宋体" w:hAnsi="宋体"/>
          <w:color w:val="auto"/>
          <w:kern w:val="0"/>
          <w:sz w:val="28"/>
          <w:szCs w:val="28"/>
          <w:lang w:eastAsia="zh-CN"/>
        </w:rPr>
        <w:t>钦北</w:t>
      </w:r>
      <w:r>
        <w:rPr>
          <w:rFonts w:ascii="宋体" w:eastAsia="宋体" w:cs="宋体" w:hAnsi="宋体" w:hint="eastAsia"/>
          <w:color w:val="auto"/>
          <w:kern w:val="0"/>
          <w:sz w:val="28"/>
          <w:szCs w:val="28"/>
          <w:lang w:eastAsia="zh-CN"/>
        </w:rPr>
        <w:t>区</w:t>
      </w:r>
      <w:r>
        <w:rPr>
          <w:rFonts w:ascii="宋体" w:eastAsia="宋体" w:cs="宋体" w:hAnsi="宋体"/>
          <w:color w:val="auto"/>
          <w:kern w:val="0"/>
          <w:sz w:val="28"/>
          <w:szCs w:val="28"/>
          <w:lang w:eastAsia="zh-CN"/>
        </w:rPr>
        <w:t>人民</w:t>
      </w:r>
      <w:r>
        <w:rPr>
          <w:rFonts w:ascii="宋体" w:eastAsia="宋体" w:cs="宋体" w:hAnsi="宋体" w:hint="eastAsia"/>
          <w:color w:val="auto"/>
          <w:kern w:val="0"/>
          <w:sz w:val="28"/>
          <w:szCs w:val="28"/>
          <w:lang w:eastAsia="zh-CN"/>
        </w:rPr>
        <w:t>政府建设用地</w:t>
      </w:r>
      <w:bookmarkStart w:id="16" w:name="_GoBack"/>
      <w:bookmarkEnd w:id="16"/>
      <w:r>
        <w:rPr>
          <w:rFonts w:ascii="宋体" w:eastAsia="宋体" w:cs="宋体" w:hAnsi="宋体" w:hint="eastAsia"/>
          <w:color w:val="auto"/>
          <w:kern w:val="0"/>
          <w:sz w:val="28"/>
          <w:szCs w:val="28"/>
          <w:lang w:eastAsia="zh-CN"/>
        </w:rPr>
        <w:t>等方面的批复。</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color w:val="auto"/>
          <w:kern w:val="0"/>
          <w:sz w:val="28"/>
          <w:szCs w:val="28"/>
        </w:rPr>
        <w:t>2024年10月，</w:t>
      </w:r>
      <w:r>
        <w:rPr>
          <w:rFonts w:ascii="宋体" w:eastAsia="宋体" w:cs="宋体" w:hAnsi="宋体" w:hint="eastAsia"/>
          <w:color w:val="auto"/>
          <w:kern w:val="0"/>
          <w:sz w:val="28"/>
          <w:szCs w:val="28"/>
        </w:rPr>
        <w:t>自治区自然资源厅印发《广西壮族自治区独立地块详细规划编制要点（试行）》的通知（桂自然资办〔</w:t>
      </w:r>
      <w:r>
        <w:rPr>
          <w:rFonts w:ascii="宋体" w:eastAsia="宋体" w:cs="宋体" w:hAnsi="宋体"/>
          <w:color w:val="auto"/>
          <w:kern w:val="0"/>
          <w:sz w:val="28"/>
          <w:szCs w:val="28"/>
        </w:rPr>
        <w:t>2024〕197号</w:t>
      </w:r>
      <w:r>
        <w:rPr>
          <w:rFonts w:ascii="宋体" w:eastAsia="宋体" w:cs="宋体" w:hAnsi="宋体" w:hint="eastAsia"/>
          <w:color w:val="auto"/>
          <w:kern w:val="0"/>
          <w:sz w:val="28"/>
          <w:szCs w:val="28"/>
        </w:rPr>
        <w:t>），提出独立地块可以编制独立地块详细规划作为简易型的国土空间详细规划。</w:t>
      </w:r>
    </w:p>
    <w:p>
      <w:pPr>
        <w:widowControl/>
        <w:spacing w:before="4"/>
        <w:ind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目前，</w:t>
      </w:r>
      <w:r>
        <w:rPr>
          <w:rFonts w:ascii="宋体" w:eastAsia="宋体" w:cs="宋体" w:hAnsi="宋体" w:hint="eastAsia"/>
          <w:color w:val="auto"/>
          <w:kern w:val="0"/>
          <w:sz w:val="28"/>
          <w:szCs w:val="28"/>
        </w:rPr>
        <w:t>钦北区</w:t>
      </w:r>
      <w:r>
        <w:rPr>
          <w:rFonts w:ascii="宋体" w:eastAsia="宋体" w:cs="宋体" w:hAnsi="宋体" w:hint="eastAsia"/>
          <w:color w:val="auto"/>
          <w:kern w:val="0"/>
          <w:sz w:val="28"/>
          <w:szCs w:val="28"/>
          <w:lang w:eastAsia="zh-CN"/>
        </w:rPr>
        <w:t>各乡镇</w:t>
      </w:r>
      <w:r>
        <w:rPr>
          <w:rFonts w:ascii="宋体" w:eastAsia="宋体" w:cs="宋体" w:hAnsi="宋体" w:hint="eastAsia"/>
          <w:color w:val="auto"/>
          <w:kern w:val="0"/>
          <w:sz w:val="28"/>
          <w:szCs w:val="28"/>
        </w:rPr>
        <w:t>国土空间规划</w:t>
      </w:r>
      <w:r>
        <w:rPr>
          <w:rFonts w:ascii="宋体" w:eastAsia="宋体" w:cs="宋体" w:hAnsi="宋体" w:hint="eastAsia"/>
          <w:color w:val="auto"/>
          <w:kern w:val="0"/>
          <w:sz w:val="28"/>
          <w:szCs w:val="28"/>
          <w:lang w:eastAsia="zh-CN"/>
        </w:rPr>
        <w:t>还在编制阶段</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项目场址位于钦北区大寺镇及大直镇交界区域，用地位置在城镇开发边界外</w:t>
      </w:r>
      <w:r>
        <w:rPr>
          <w:rFonts w:hint="eastAsia"/>
          <w:color w:val="auto"/>
          <w:kern w:val="0"/>
          <w:sz w:val="28"/>
          <w:szCs w:val="28"/>
          <w:lang w:val="en-US" w:eastAsia="zh-CN"/>
        </w:rPr>
        <w:t>，</w:t>
      </w:r>
      <w:r>
        <w:rPr>
          <w:rFonts w:ascii="宋体" w:eastAsia="宋体" w:cs="宋体" w:hAnsi="宋体" w:hint="eastAsia"/>
          <w:color w:val="auto"/>
          <w:kern w:val="0"/>
          <w:sz w:val="28"/>
          <w:szCs w:val="28"/>
          <w:lang w:eastAsia="zh-CN"/>
        </w:rPr>
        <w:t>适用于</w:t>
      </w:r>
      <w:r>
        <w:rPr>
          <w:rFonts w:ascii="宋体" w:eastAsia="宋体" w:cs="宋体" w:hAnsi="宋体" w:hint="eastAsia"/>
          <w:color w:val="auto"/>
          <w:kern w:val="0"/>
          <w:sz w:val="28"/>
          <w:szCs w:val="28"/>
        </w:rPr>
        <w:t>《广西壮族自治区独立地块详细规划编制要点（试行）》</w:t>
      </w:r>
      <w:r>
        <w:rPr>
          <w:rFonts w:ascii="宋体" w:eastAsia="宋体" w:cs="宋体" w:hAnsi="宋体" w:hint="eastAsia"/>
          <w:color w:val="auto"/>
          <w:kern w:val="0"/>
          <w:sz w:val="28"/>
          <w:szCs w:val="28"/>
          <w:lang w:eastAsia="zh-CN"/>
        </w:rPr>
        <w:t>“符合单独选址条件、有地上建筑物且根据用途管制要求需编制详细规划的项目用地”的范围内。</w:t>
      </w:r>
      <w:r>
        <w:rPr>
          <w:rFonts w:ascii="宋体" w:eastAsia="宋体" w:cs="宋体" w:hAnsi="宋体" w:hint="eastAsia"/>
          <w:color w:val="auto"/>
          <w:kern w:val="0"/>
          <w:sz w:val="28"/>
          <w:szCs w:val="28"/>
        </w:rPr>
        <w:t>因此，为</w:t>
      </w:r>
      <w:r>
        <w:rPr>
          <w:rFonts w:ascii="宋体" w:eastAsia="宋体" w:cs="宋体" w:hAnsi="宋体" w:hint="eastAsia"/>
          <w:color w:val="auto"/>
          <w:kern w:val="0"/>
          <w:sz w:val="28"/>
          <w:szCs w:val="28"/>
          <w:lang w:eastAsia="zh-CN"/>
        </w:rPr>
        <w:t>高效地推进钦州市的风电事业发展</w:t>
      </w:r>
      <w:r>
        <w:rPr>
          <w:rFonts w:ascii="宋体" w:eastAsia="宋体" w:cs="宋体" w:hAnsi="宋体" w:hint="eastAsia"/>
          <w:color w:val="auto"/>
          <w:kern w:val="0"/>
          <w:sz w:val="28"/>
          <w:szCs w:val="28"/>
        </w:rPr>
        <w:t>，科学地出具规划设计条件</w:t>
      </w:r>
      <w:r>
        <w:rPr>
          <w:rFonts w:ascii="宋体" w:eastAsia="宋体" w:cs="宋体" w:hAnsi="宋体" w:hint="eastAsia"/>
          <w:color w:val="auto"/>
          <w:kern w:val="0"/>
          <w:sz w:val="28"/>
          <w:szCs w:val="28"/>
          <w:lang w:eastAsia="zh-CN"/>
        </w:rPr>
        <w:t>并</w:t>
      </w:r>
      <w:r>
        <w:rPr>
          <w:rFonts w:ascii="宋体" w:eastAsia="宋体" w:cs="宋体" w:hAnsi="宋体" w:hint="eastAsia"/>
          <w:color w:val="auto"/>
          <w:kern w:val="0"/>
          <w:sz w:val="28"/>
          <w:szCs w:val="28"/>
        </w:rPr>
        <w:t>更好地推进项目落地，编制</w:t>
      </w:r>
      <w:r>
        <w:rPr>
          <w:rFonts w:ascii="宋体" w:eastAsia="宋体" w:cs="宋体" w:hAnsi="宋体" w:hint="eastAsia"/>
          <w:color w:val="auto"/>
          <w:kern w:val="0"/>
          <w:sz w:val="28"/>
          <w:szCs w:val="28"/>
          <w:lang w:eastAsia="zh-CN"/>
        </w:rPr>
        <w:t>钦北区百浪岭风电场一期项目</w:t>
      </w:r>
      <w:r>
        <w:rPr>
          <w:rFonts w:ascii="宋体" w:eastAsia="宋体" w:cs="宋体" w:hAnsi="宋体" w:hint="eastAsia"/>
          <w:color w:val="auto"/>
          <w:kern w:val="0"/>
          <w:sz w:val="28"/>
          <w:szCs w:val="28"/>
        </w:rPr>
        <w:t>独立地块</w:t>
      </w:r>
      <w:r>
        <w:rPr>
          <w:rFonts w:ascii="宋体" w:eastAsia="宋体" w:cs="宋体" w:hAnsi="宋体" w:hint="eastAsia"/>
          <w:color w:val="auto"/>
          <w:kern w:val="0"/>
          <w:sz w:val="28"/>
          <w:szCs w:val="28"/>
          <w:lang w:eastAsia="zh-CN"/>
        </w:rPr>
        <w:t>控制性</w:t>
      </w:r>
      <w:r>
        <w:rPr>
          <w:rFonts w:ascii="宋体" w:eastAsia="宋体" w:cs="宋体" w:hAnsi="宋体" w:hint="eastAsia"/>
          <w:color w:val="auto"/>
          <w:kern w:val="0"/>
          <w:sz w:val="28"/>
          <w:szCs w:val="28"/>
        </w:rPr>
        <w:t>详细规划</w:t>
      </w:r>
      <w:r>
        <w:rPr>
          <w:rFonts w:ascii="宋体" w:eastAsia="宋体" w:cs="宋体" w:hAnsi="宋体" w:hint="eastAsia"/>
          <w:color w:val="auto"/>
          <w:kern w:val="0"/>
          <w:sz w:val="28"/>
          <w:szCs w:val="28"/>
          <w:lang w:eastAsia="zh-CN"/>
        </w:rPr>
        <w:t>。</w:t>
      </w:r>
    </w:p>
    <w:p>
      <w:pPr>
        <w:pStyle w:val="1"/>
        <w:numPr>
          <w:ilvl w:val="0"/>
          <w:numId w:val="0"/>
        </w:numPr>
        <w:spacing w:before="260" w:line="360" w:lineRule="auto"/>
        <w:ind w:left="420"/>
        <w:rPr>
          <w:rFonts w:ascii="宋体" w:eastAsia="宋体" w:cs="宋体" w:hAnsi="宋体"/>
          <w:bCs/>
          <w:color w:val="auto"/>
          <w:sz w:val="32"/>
          <w:szCs w:val="32"/>
        </w:rPr>
      </w:pPr>
      <w:bookmarkStart w:id="17" w:name="_Toc25494"/>
      <w:r>
        <w:rPr>
          <w:rFonts w:ascii="宋体" w:eastAsia="宋体" w:cs="宋体" w:hAnsi="宋体" w:hint="eastAsia"/>
          <w:bCs/>
          <w:color w:val="auto"/>
          <w:sz w:val="32"/>
          <w:szCs w:val="32"/>
          <w:lang w:val="en-US" w:eastAsia="zh-CN"/>
        </w:rPr>
        <w:t>1.2</w:t>
      </w:r>
      <w:r>
        <w:rPr>
          <w:rFonts w:ascii="宋体" w:eastAsia="宋体" w:cs="宋体" w:hAnsi="宋体" w:hint="eastAsia"/>
          <w:bCs/>
          <w:color w:val="auto"/>
          <w:sz w:val="32"/>
          <w:szCs w:val="32"/>
          <w:lang w:eastAsia="zh-CN"/>
        </w:rPr>
        <w:t>项目建设内容和规模</w:t>
      </w:r>
      <w:bookmarkEnd w:id="17"/>
    </w:p>
    <w:p>
      <w:pPr>
        <w:rPr>
          <w:color w:val="auto"/>
        </w:rPr>
      </w:pPr>
    </w:p>
    <w:p>
      <w:pPr>
        <w:widowControl/>
        <w:spacing w:before="4"/>
        <w:ind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钦北区百浪岭风电场一期</w:t>
      </w:r>
      <w:r>
        <w:rPr>
          <w:rFonts w:ascii="宋体" w:eastAsia="宋体" w:cs="宋体" w:hAnsi="宋体" w:hint="eastAsia"/>
          <w:color w:val="auto"/>
          <w:kern w:val="0"/>
          <w:sz w:val="28"/>
          <w:szCs w:val="28"/>
        </w:rPr>
        <w:t>工程</w:t>
      </w:r>
      <w:r>
        <w:rPr>
          <w:rFonts w:ascii="宋体" w:eastAsia="宋体" w:cs="宋体" w:hAnsi="宋体" w:hint="eastAsia"/>
          <w:color w:val="auto"/>
          <w:kern w:val="0"/>
          <w:sz w:val="28"/>
          <w:szCs w:val="28"/>
          <w:lang w:eastAsia="zh-CN"/>
        </w:rPr>
        <w:t>共计</w:t>
      </w:r>
      <w:r>
        <w:rPr>
          <w:rFonts w:ascii="宋体" w:eastAsia="宋体" w:cs="宋体" w:hAnsi="宋体" w:hint="eastAsia"/>
          <w:color w:val="auto"/>
          <w:kern w:val="0"/>
          <w:sz w:val="28"/>
          <w:szCs w:val="28"/>
        </w:rPr>
        <w:t>划安装</w:t>
      </w:r>
      <w:r>
        <w:rPr>
          <w:rFonts w:ascii="宋体" w:eastAsia="宋体" w:cs="宋体" w:hAnsi="宋体" w:hint="eastAsia"/>
          <w:color w:val="auto"/>
          <w:kern w:val="0"/>
          <w:sz w:val="28"/>
          <w:szCs w:val="28"/>
          <w:lang w:val="en-US" w:eastAsia="zh-CN"/>
        </w:rPr>
        <w:t>17</w:t>
      </w:r>
      <w:r>
        <w:rPr>
          <w:rFonts w:ascii="宋体" w:eastAsia="宋体" w:cs="宋体" w:hAnsi="宋体" w:hint="eastAsia"/>
          <w:color w:val="auto"/>
          <w:kern w:val="0"/>
          <w:sz w:val="28"/>
          <w:szCs w:val="28"/>
          <w:lang w:eastAsia="zh-CN"/>
        </w:rPr>
        <w:t>组</w:t>
      </w:r>
      <w:r>
        <w:rPr>
          <w:rFonts w:ascii="宋体" w:eastAsia="宋体" w:cs="宋体" w:hAnsi="宋体" w:hint="eastAsia"/>
          <w:color w:val="auto"/>
          <w:kern w:val="0"/>
          <w:sz w:val="28"/>
          <w:szCs w:val="28"/>
        </w:rPr>
        <w:t>单机容量为3000kW风电机组（其中</w:t>
      </w: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lang w:eastAsia="zh-CN"/>
        </w:rPr>
        <w:t>组</w:t>
      </w:r>
      <w:r>
        <w:rPr>
          <w:rFonts w:ascii="宋体" w:eastAsia="宋体" w:cs="宋体" w:hAnsi="宋体" w:hint="eastAsia"/>
          <w:color w:val="auto"/>
          <w:kern w:val="0"/>
          <w:sz w:val="28"/>
          <w:szCs w:val="28"/>
        </w:rPr>
        <w:t>限发</w:t>
      </w:r>
      <w:r>
        <w:rPr>
          <w:rFonts w:ascii="宋体" w:eastAsia="宋体" w:cs="宋体" w:hAnsi="宋体" w:hint="eastAsia"/>
          <w:color w:val="auto"/>
          <w:kern w:val="0"/>
          <w:sz w:val="28"/>
          <w:szCs w:val="28"/>
          <w:lang w:val="en-US" w:eastAsia="zh-CN"/>
        </w:rPr>
        <w:t>20</w:t>
      </w:r>
      <w:r>
        <w:rPr>
          <w:rFonts w:ascii="宋体" w:eastAsia="宋体" w:cs="宋体" w:hAnsi="宋体" w:hint="eastAsia"/>
          <w:color w:val="auto"/>
          <w:kern w:val="0"/>
          <w:sz w:val="28"/>
          <w:szCs w:val="28"/>
        </w:rPr>
        <w:t>00kW），</w:t>
      </w:r>
      <w:r>
        <w:rPr>
          <w:rFonts w:ascii="宋体" w:eastAsia="宋体" w:cs="宋体" w:hAnsi="宋体" w:hint="eastAsia"/>
          <w:color w:val="auto"/>
          <w:kern w:val="0"/>
          <w:sz w:val="28"/>
          <w:szCs w:val="28"/>
          <w:lang w:eastAsia="zh-CN"/>
        </w:rPr>
        <w:t>总</w:t>
      </w:r>
      <w:r>
        <w:rPr>
          <w:rFonts w:ascii="宋体" w:eastAsia="宋体" w:cs="宋体" w:hAnsi="宋体" w:hint="eastAsia"/>
          <w:color w:val="auto"/>
          <w:kern w:val="0"/>
          <w:sz w:val="28"/>
          <w:szCs w:val="28"/>
        </w:rPr>
        <w:t>装机容量为</w:t>
      </w:r>
      <w:r>
        <w:rPr>
          <w:rFonts w:ascii="宋体" w:eastAsia="宋体" w:cs="宋体" w:hAnsi="宋体" w:hint="eastAsia"/>
          <w:color w:val="auto"/>
          <w:kern w:val="0"/>
          <w:sz w:val="28"/>
          <w:szCs w:val="28"/>
          <w:lang w:val="en-US" w:eastAsia="zh-CN"/>
        </w:rPr>
        <w:t>5</w:t>
      </w:r>
      <w:r>
        <w:rPr>
          <w:rFonts w:ascii="宋体" w:eastAsia="宋体" w:cs="宋体" w:hAnsi="宋体" w:hint="eastAsia"/>
          <w:color w:val="auto"/>
          <w:kern w:val="0"/>
          <w:sz w:val="28"/>
          <w:szCs w:val="28"/>
        </w:rPr>
        <w:t>0MW，</w:t>
      </w:r>
      <w:r>
        <w:rPr>
          <w:rFonts w:ascii="宋体" w:eastAsia="宋体" w:cs="宋体" w:hAnsi="宋体" w:hint="eastAsia"/>
          <w:color w:val="auto"/>
          <w:kern w:val="0"/>
          <w:sz w:val="28"/>
          <w:szCs w:val="28"/>
          <w:lang w:eastAsia="zh-CN"/>
        </w:rPr>
        <w:t>同时</w:t>
      </w:r>
      <w:r>
        <w:rPr>
          <w:rFonts w:ascii="宋体" w:eastAsia="宋体" w:cs="宋体" w:hAnsi="宋体" w:hint="eastAsia"/>
          <w:color w:val="auto"/>
          <w:kern w:val="0"/>
          <w:sz w:val="28"/>
          <w:szCs w:val="28"/>
        </w:rPr>
        <w:t>在场址范围内</w:t>
      </w:r>
      <w:r>
        <w:rPr>
          <w:rFonts w:ascii="宋体" w:eastAsia="宋体" w:cs="宋体" w:hAnsi="宋体" w:hint="eastAsia"/>
          <w:color w:val="auto"/>
          <w:kern w:val="0"/>
          <w:sz w:val="28"/>
          <w:szCs w:val="28"/>
          <w:lang w:eastAsia="zh-CN"/>
        </w:rPr>
        <w:t>配套建设</w:t>
      </w:r>
      <w:r>
        <w:rPr>
          <w:rFonts w:ascii="宋体" w:eastAsia="宋体" w:cs="宋体" w:hAnsi="宋体" w:hint="eastAsia"/>
          <w:color w:val="auto"/>
          <w:kern w:val="0"/>
          <w:sz w:val="28"/>
          <w:szCs w:val="28"/>
        </w:rPr>
        <w:t>一座</w:t>
      </w:r>
      <w:r>
        <w:rPr>
          <w:rFonts w:ascii="宋体" w:eastAsia="宋体" w:cs="宋体" w:hAnsi="宋体" w:hint="eastAsia"/>
          <w:color w:val="auto"/>
          <w:kern w:val="0"/>
          <w:sz w:val="28"/>
          <w:szCs w:val="28"/>
          <w:lang w:val="en-US" w:eastAsia="zh-CN"/>
        </w:rPr>
        <w:t>110kV</w:t>
      </w:r>
      <w:r>
        <w:rPr>
          <w:rFonts w:ascii="宋体" w:eastAsia="宋体" w:cs="宋体" w:hAnsi="宋体" w:hint="eastAsia"/>
          <w:color w:val="auto"/>
          <w:kern w:val="0"/>
          <w:sz w:val="28"/>
          <w:szCs w:val="28"/>
          <w:lang w:eastAsia="zh-CN"/>
        </w:rPr>
        <w:t>升压</w:t>
      </w:r>
      <w:r>
        <w:rPr>
          <w:rFonts w:ascii="宋体" w:eastAsia="宋体" w:cs="宋体" w:hAnsi="宋体" w:hint="eastAsia"/>
          <w:color w:val="auto"/>
          <w:kern w:val="0"/>
          <w:sz w:val="28"/>
          <w:szCs w:val="28"/>
        </w:rPr>
        <w:t>站</w:t>
      </w:r>
      <w:r>
        <w:rPr>
          <w:rFonts w:ascii="宋体" w:eastAsia="宋体" w:cs="宋体" w:hAnsi="宋体" w:hint="eastAsia"/>
          <w:color w:val="auto"/>
          <w:kern w:val="0"/>
          <w:sz w:val="28"/>
          <w:szCs w:val="28"/>
          <w:lang w:eastAsia="zh-CN"/>
        </w:rPr>
        <w:t>、场内道路以及集电线路等设施。</w:t>
      </w:r>
    </w:p>
    <w:p>
      <w:pPr>
        <w:ind w:left="0" w:firstLineChars="200" w:firstLine="560"/>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val="en-US" w:eastAsia="zh-CN"/>
        </w:rPr>
        <w:t>每组风电机组</w:t>
      </w:r>
      <w:r>
        <w:rPr>
          <w:rFonts w:ascii="宋体" w:eastAsia="宋体" w:cs="宋体" w:hAnsi="宋体" w:hint="eastAsia"/>
          <w:color w:val="auto"/>
          <w:kern w:val="0"/>
          <w:sz w:val="28"/>
          <w:szCs w:val="28"/>
          <w:lang w:eastAsia="zh-CN"/>
        </w:rPr>
        <w:t>地块内主要布置</w:t>
      </w:r>
      <w:r>
        <w:rPr>
          <w:rFonts w:ascii="宋体" w:eastAsia="宋体" w:cs="宋体" w:hAnsi="宋体" w:hint="eastAsia"/>
          <w:color w:val="auto"/>
          <w:kern w:val="0"/>
          <w:sz w:val="28"/>
          <w:szCs w:val="28"/>
          <w:lang w:val="en-US" w:eastAsia="zh-CN"/>
        </w:rPr>
        <w:t>1个</w:t>
      </w:r>
      <w:r>
        <w:rPr>
          <w:rFonts w:ascii="宋体" w:eastAsia="宋体" w:cs="宋体" w:hAnsi="宋体" w:hint="eastAsia"/>
          <w:color w:val="auto"/>
          <w:kern w:val="0"/>
          <w:sz w:val="28"/>
          <w:szCs w:val="28"/>
          <w:lang w:eastAsia="zh-CN"/>
        </w:rPr>
        <w:t>风机和</w:t>
      </w:r>
      <w:r>
        <w:rPr>
          <w:rFonts w:ascii="宋体" w:eastAsia="宋体" w:cs="宋体" w:hAnsi="宋体" w:hint="eastAsia"/>
          <w:color w:val="auto"/>
          <w:kern w:val="0"/>
          <w:sz w:val="28"/>
          <w:szCs w:val="28"/>
          <w:lang w:val="en-US" w:eastAsia="zh-CN"/>
        </w:rPr>
        <w:t>1个</w:t>
      </w:r>
      <w:r>
        <w:rPr>
          <w:rFonts w:ascii="宋体" w:eastAsia="宋体" w:cs="宋体" w:hAnsi="宋体" w:hint="eastAsia"/>
          <w:color w:val="auto"/>
          <w:kern w:val="0"/>
          <w:sz w:val="28"/>
          <w:szCs w:val="28"/>
          <w:lang w:eastAsia="zh-CN"/>
        </w:rPr>
        <w:t>箱变设备。升压</w:t>
      </w:r>
      <w:r>
        <w:rPr>
          <w:rFonts w:ascii="宋体" w:eastAsia="宋体" w:cs="宋体" w:hAnsi="宋体" w:hint="eastAsia"/>
          <w:color w:val="auto"/>
          <w:kern w:val="0"/>
          <w:sz w:val="28"/>
          <w:szCs w:val="28"/>
        </w:rPr>
        <w:t>站是整个风电场的控制中心，</w:t>
      </w:r>
      <w:r>
        <w:rPr>
          <w:rFonts w:ascii="宋体" w:eastAsia="宋体" w:cs="宋体" w:hAnsi="宋体" w:hint="eastAsia"/>
          <w:color w:val="auto"/>
          <w:kern w:val="0"/>
          <w:sz w:val="28"/>
          <w:szCs w:val="28"/>
          <w:lang w:eastAsia="zh-CN"/>
        </w:rPr>
        <w:t>为本次规划主要研究的独立地块之一，</w:t>
      </w:r>
      <w:r>
        <w:rPr>
          <w:rFonts w:ascii="宋体" w:eastAsia="宋体" w:cs="宋体" w:hAnsi="宋体" w:hint="eastAsia"/>
          <w:color w:val="auto"/>
          <w:kern w:val="0"/>
          <w:sz w:val="28"/>
          <w:szCs w:val="28"/>
          <w:lang w:val="en-US" w:eastAsia="zh-CN"/>
        </w:rPr>
        <w:t>站内主要建设变电生产用房、运营管理用房及其他配套设施等。各地块用地位置布局及</w:t>
      </w:r>
      <w:r>
        <w:rPr>
          <w:rFonts w:ascii="宋体" w:eastAsia="宋体" w:cs="宋体" w:hAnsi="宋体" w:hint="eastAsia"/>
          <w:color w:val="auto"/>
          <w:kern w:val="0"/>
          <w:sz w:val="28"/>
          <w:szCs w:val="28"/>
          <w:lang w:eastAsia="zh-CN"/>
        </w:rPr>
        <w:t>风能资源利用区域</w:t>
      </w:r>
      <w:r>
        <w:rPr>
          <w:rFonts w:ascii="宋体" w:eastAsia="宋体" w:cs="宋体" w:hAnsi="宋体" w:hint="eastAsia"/>
          <w:color w:val="auto"/>
          <w:kern w:val="0"/>
          <w:sz w:val="28"/>
          <w:szCs w:val="28"/>
        </w:rPr>
        <w:t>范围</w:t>
      </w:r>
      <w:r>
        <w:rPr>
          <w:rFonts w:hint="eastAsia"/>
          <w:color w:val="auto"/>
          <w:sz w:val="28"/>
          <w:szCs w:val="28"/>
          <w:lang w:val="en-US" w:eastAsia="zh-CN"/>
        </w:rPr>
        <w:t>详见以下“钦北区百浪岭风电场一期工程项目用地规划平面布局示意图”；升压站各功能用房布置详见“升压站平面布局示意图”</w:t>
      </w:r>
      <w:r>
        <w:rPr>
          <w:rFonts w:ascii="宋体" w:eastAsia="宋体" w:cs="宋体" w:hAnsi="宋体" w:hint="eastAsia"/>
          <w:color w:val="auto"/>
          <w:kern w:val="0"/>
          <w:sz w:val="28"/>
          <w:szCs w:val="28"/>
          <w:lang w:eastAsia="zh-CN"/>
        </w:rPr>
        <w:t>。</w:t>
      </w:r>
    </w:p>
    <w:p>
      <w:pPr>
        <w:widowControl/>
        <w:spacing w:before="4"/>
        <w:ind w:right="351" w:firstLineChars="200" w:firstLine="560"/>
        <w:jc w:val="left"/>
        <w:rPr>
          <w:rFonts w:ascii="宋体" w:eastAsia="宋体" w:cs="宋体" w:hAnsi="宋体" w:hint="eastAsia"/>
          <w:color w:val="auto"/>
          <w:kern w:val="0"/>
          <w:sz w:val="28"/>
          <w:szCs w:val="28"/>
          <w:lang w:val="en-US" w:eastAsia="zh-CN"/>
        </w:rPr>
      </w:pPr>
    </w:p>
    <w:p>
      <w:pPr>
        <w:pStyle w:val="17"/>
        <w:rPr>
          <w:rFonts w:hint="eastAsia"/>
          <w:color w:val="auto"/>
          <w:lang w:eastAsia="zh-CN"/>
        </w:rPr>
      </w:pPr>
      <w:r>
        <w:rPr>
          <w:rFonts w:hint="eastAsia"/>
          <w:color w:val="auto"/>
          <w:lang w:eastAsia="zh-CN"/>
        </w:rPr>
        <w:drawing>
          <wp:inline distT="0" distB="0" distL="114300" distR="114300">
            <wp:extent cx="5685155" cy="8043545"/>
            <wp:effectExtent l="0" t="0" r="40" b="4"/>
            <wp:docPr id="10" name="图片 28" descr="C:/Users/Administrator/Desktop/2222222222.png2222222222"/>
            <wp:cNvGraphicFramePr>
              <a:graphicFrameLocks noChangeAspect="1"/>
            </wp:cNvGraphicFramePr>
            <a:graphic>
              <a:graphicData uri="http://schemas.openxmlformats.org/drawingml/2006/picture">
                <pic:pic>
                  <pic:nvPicPr>
                    <pic:cNvPr id="12" name="图片 28 12"/>
                    <pic:cNvPicPr/>
                  </pic:nvPicPr>
                  <pic:blipFill>
                    <a:blip r:embed="rId6"/>
                    <a:srcRect l="8" r="8"/>
                    <a:stretch>
                      <a:fillRect/>
                    </a:stretch>
                  </pic:blipFill>
                  <pic:spPr>
                    <a:xfrm rot="0">
                      <a:off x="0" y="0"/>
                      <a:ext cx="5685155" cy="8043545"/>
                    </a:xfrm>
                    <a:prstGeom prst="rect"/>
                    <a:noFill/>
                    <a:ln w="9525" cmpd="sng" cap="flat">
                      <a:noFill/>
                      <a:prstDash val="solid"/>
                      <a:miter/>
                    </a:ln>
                  </pic:spPr>
                </pic:pic>
              </a:graphicData>
            </a:graphic>
          </wp:inline>
        </w:drawing>
      </w:r>
    </w:p>
    <w:p>
      <w:pPr>
        <w:widowControl/>
        <w:spacing w:before="4" w:line="360" w:lineRule="auto"/>
        <w:ind w:right="351"/>
        <w:jc w:val="center"/>
        <w:rPr>
          <w:rFonts w:ascii="宋体" w:eastAsia="宋体" w:cs="宋体" w:hAnsi="宋体" w:hint="eastAsia"/>
          <w:color w:val="auto"/>
          <w:kern w:val="0"/>
          <w:sz w:val="28"/>
          <w:szCs w:val="28"/>
          <w:lang w:val="en-US" w:eastAsia="zh-CN"/>
        </w:rPr>
      </w:pPr>
      <w:r>
        <w:rPr>
          <w:rFonts w:hint="eastAsia"/>
          <w:b/>
          <w:bCs/>
          <w:color w:val="auto"/>
          <w:sz w:val="24"/>
          <w:lang w:val="en-US" w:eastAsia="zh-CN"/>
        </w:rPr>
        <w:t xml:space="preserve">   </w:t>
      </w:r>
      <w:r>
        <w:rPr>
          <w:rFonts w:hint="eastAsia"/>
          <w:b/>
          <w:bCs/>
          <w:color w:val="auto"/>
          <w:sz w:val="24"/>
          <w:lang w:eastAsia="zh-CN"/>
        </w:rPr>
        <w:t>钦北区百浪岭风电场一期工程项目用地规划平面布局示意图</w:t>
      </w:r>
    </w:p>
    <w:p>
      <w:pPr>
        <w:widowControl/>
        <w:spacing w:before="4" w:line="360" w:lineRule="auto"/>
        <w:ind w:right="351"/>
        <w:jc w:val="center"/>
        <w:rPr>
          <w:rFonts w:hint="eastAsia"/>
          <w:color w:val="auto"/>
          <w:sz w:val="28"/>
          <w:szCs w:val="28"/>
          <w:lang w:val="en-US" w:eastAsia="zh-CN"/>
        </w:rPr>
      </w:pPr>
      <w:r>
        <w:rPr>
          <w:rFonts w:ascii="宋体" w:eastAsia="宋体" w:cs="宋体" w:hAnsi="宋体" w:hint="eastAsia"/>
          <w:color w:val="auto"/>
          <w:kern w:val="0"/>
          <w:sz w:val="28"/>
          <w:szCs w:val="28"/>
          <w:lang w:val="en-US" w:eastAsia="zh-CN"/>
        </w:rPr>
        <w:drawing>
          <wp:inline distT="0" distB="0" distL="114300" distR="114300">
            <wp:extent cx="5704205" cy="5168900"/>
            <wp:effectExtent l="0" t="1" r="40" b="48"/>
            <wp:docPr id="13" name="图片 32" descr="E:/00王麒麟项目/王麒麟百浪岭项目一期风电场50mw2025.04.18/百浪岭插图/45W328J-05602 升压站总平面布置图简图-YD_t6-Model.png45W328J-05602 升压站总平面布置图简图-YD_t6-Model"/>
            <wp:cNvGraphicFramePr>
              <a:graphicFrameLocks noChangeAspect="1"/>
            </wp:cNvGraphicFramePr>
            <a:graphic>
              <a:graphicData uri="http://schemas.openxmlformats.org/drawingml/2006/picture">
                <pic:pic>
                  <pic:nvPicPr>
                    <pic:cNvPr id="15" name="图片 32 15"/>
                    <pic:cNvPicPr/>
                  </pic:nvPicPr>
                  <pic:blipFill>
                    <a:blip r:embed="rId7"/>
                    <a:srcRect t="6" b="6"/>
                    <a:stretch>
                      <a:fillRect/>
                    </a:stretch>
                  </pic:blipFill>
                  <pic:spPr>
                    <a:xfrm rot="0">
                      <a:off x="0" y="0"/>
                      <a:ext cx="5704205" cy="5168900"/>
                    </a:xfrm>
                    <a:prstGeom prst="rect"/>
                    <a:noFill/>
                    <a:ln w="9525" cmpd="sng" cap="flat">
                      <a:noFill/>
                      <a:prstDash val="solid"/>
                      <a:miter/>
                    </a:ln>
                  </pic:spPr>
                </pic:pic>
              </a:graphicData>
            </a:graphic>
          </wp:inline>
        </w:drawing>
      </w:r>
      <w:r>
        <w:rPr>
          <w:rFonts w:hint="eastAsia"/>
          <w:b/>
          <w:bCs/>
          <w:color w:val="auto"/>
          <w:sz w:val="24"/>
          <w:lang w:eastAsia="zh-CN"/>
        </w:rPr>
        <w:t>升压站平面布局示意图</w:t>
      </w:r>
    </w:p>
    <w:p>
      <w:pPr>
        <w:widowControl/>
        <w:spacing w:before="4"/>
        <w:ind w:right="351" w:firstLineChars="200" w:firstLine="560"/>
        <w:jc w:val="left"/>
        <w:rPr>
          <w:rFonts w:ascii="宋体" w:eastAsia="宋体" w:cs="宋体" w:hAnsi="宋体" w:hint="eastAsia"/>
          <w:color w:val="auto"/>
          <w:kern w:val="0"/>
          <w:sz w:val="28"/>
          <w:szCs w:val="28"/>
          <w:lang w:val="en-US" w:eastAsia="zh-CN"/>
        </w:rPr>
      </w:pPr>
    </w:p>
    <w:p>
      <w:pPr>
        <w:pStyle w:val="1"/>
        <w:numPr>
          <w:ilvl w:val="0"/>
          <w:numId w:val="0"/>
        </w:numPr>
        <w:spacing w:before="260" w:line="360" w:lineRule="auto"/>
        <w:ind w:left="420"/>
        <w:rPr>
          <w:rFonts w:ascii="宋体" w:eastAsia="宋体" w:cs="宋体" w:hAnsi="宋体"/>
          <w:bCs/>
          <w:color w:val="auto"/>
          <w:sz w:val="32"/>
          <w:szCs w:val="32"/>
        </w:rPr>
      </w:pPr>
      <w:bookmarkStart w:id="18" w:name="_Toc11635"/>
      <w:r>
        <w:rPr>
          <w:rFonts w:ascii="宋体" w:eastAsia="宋体" w:cs="宋体" w:hAnsi="宋体" w:hint="eastAsia"/>
          <w:bCs/>
          <w:color w:val="auto"/>
          <w:sz w:val="32"/>
          <w:szCs w:val="32"/>
          <w:lang w:val="en-US" w:eastAsia="zh-CN"/>
        </w:rPr>
        <w:t>1.3</w:t>
      </w:r>
      <w:r>
        <w:rPr>
          <w:rFonts w:ascii="宋体" w:eastAsia="宋体" w:cs="宋体" w:hAnsi="宋体" w:hint="eastAsia"/>
          <w:bCs/>
          <w:color w:val="auto"/>
          <w:sz w:val="32"/>
          <w:szCs w:val="32"/>
          <w:lang w:eastAsia="zh-CN"/>
        </w:rPr>
        <w:t>规划范围</w:t>
      </w:r>
      <w:bookmarkEnd w:id="18"/>
    </w:p>
    <w:p>
      <w:pPr>
        <w:rPr>
          <w:color w:val="auto"/>
        </w:rPr>
      </w:pPr>
    </w:p>
    <w:p>
      <w:pPr>
        <w:ind w:left="0" w:firstLineChars="200" w:firstLine="560"/>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本项目场址</w:t>
      </w:r>
      <w:r>
        <w:rPr>
          <w:rFonts w:ascii="宋体" w:eastAsia="宋体" w:cs="宋体" w:hAnsi="宋体" w:hint="eastAsia"/>
          <w:color w:val="auto"/>
          <w:kern w:val="0"/>
          <w:sz w:val="28"/>
          <w:szCs w:val="28"/>
        </w:rPr>
        <w:t>涉及</w:t>
      </w:r>
      <w:r>
        <w:rPr>
          <w:rFonts w:ascii="宋体" w:eastAsia="宋体" w:cs="宋体" w:hAnsi="宋体" w:hint="eastAsia"/>
          <w:color w:val="auto"/>
          <w:kern w:val="0"/>
          <w:sz w:val="28"/>
          <w:szCs w:val="28"/>
          <w:lang w:eastAsia="zh-CN"/>
        </w:rPr>
        <w:t>的区域</w:t>
      </w:r>
      <w:r>
        <w:rPr>
          <w:rFonts w:ascii="宋体" w:eastAsia="宋体" w:cs="宋体" w:hAnsi="宋体" w:hint="eastAsia"/>
          <w:color w:val="auto"/>
          <w:kern w:val="0"/>
          <w:sz w:val="28"/>
          <w:szCs w:val="28"/>
        </w:rPr>
        <w:t>范围</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东西</w:t>
      </w:r>
      <w:r>
        <w:rPr>
          <w:rFonts w:ascii="宋体" w:eastAsia="宋体" w:cs="宋体" w:hAnsi="宋体" w:hint="eastAsia"/>
          <w:color w:val="auto"/>
          <w:kern w:val="0"/>
          <w:sz w:val="28"/>
          <w:szCs w:val="28"/>
          <w:lang w:eastAsia="zh-CN"/>
        </w:rPr>
        <w:t>跨度</w:t>
      </w:r>
      <w:r>
        <w:rPr>
          <w:rFonts w:ascii="宋体" w:eastAsia="宋体" w:cs="宋体" w:hAnsi="宋体" w:hint="eastAsia"/>
          <w:color w:val="auto"/>
          <w:kern w:val="0"/>
          <w:sz w:val="28"/>
          <w:szCs w:val="28"/>
        </w:rPr>
        <w:t>约</w:t>
      </w:r>
      <w:r>
        <w:rPr>
          <w:rFonts w:ascii="宋体" w:eastAsia="宋体" w:cs="宋体" w:hAnsi="宋体" w:hint="eastAsia"/>
          <w:color w:val="auto"/>
          <w:kern w:val="0"/>
          <w:sz w:val="28"/>
          <w:szCs w:val="28"/>
          <w:lang w:val="en-US" w:eastAsia="zh-CN"/>
        </w:rPr>
        <w:t>5.5</w:t>
      </w:r>
      <w:r>
        <w:rPr>
          <w:rFonts w:ascii="宋体" w:eastAsia="宋体" w:cs="宋体" w:hAnsi="宋体" w:hint="eastAsia"/>
          <w:color w:val="auto"/>
          <w:kern w:val="0"/>
          <w:sz w:val="28"/>
          <w:szCs w:val="28"/>
        </w:rPr>
        <w:t>km</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南北</w:t>
      </w:r>
      <w:r>
        <w:rPr>
          <w:rFonts w:ascii="宋体" w:eastAsia="宋体" w:cs="宋体" w:hAnsi="宋体" w:hint="eastAsia"/>
          <w:color w:val="auto"/>
          <w:kern w:val="0"/>
          <w:sz w:val="28"/>
          <w:szCs w:val="28"/>
          <w:lang w:eastAsia="zh-CN"/>
        </w:rPr>
        <w:t>跨度</w:t>
      </w:r>
      <w:r>
        <w:rPr>
          <w:rFonts w:ascii="宋体" w:eastAsia="宋体" w:cs="宋体" w:hAnsi="宋体" w:hint="eastAsia"/>
          <w:color w:val="auto"/>
          <w:kern w:val="0"/>
          <w:sz w:val="28"/>
          <w:szCs w:val="28"/>
        </w:rPr>
        <w:t>约</w:t>
      </w:r>
      <w:r>
        <w:rPr>
          <w:rFonts w:ascii="宋体" w:eastAsia="宋体" w:cs="宋体" w:hAnsi="宋体" w:hint="eastAsia"/>
          <w:color w:val="auto"/>
          <w:kern w:val="0"/>
          <w:sz w:val="28"/>
          <w:szCs w:val="28"/>
          <w:lang w:val="en-US" w:eastAsia="zh-CN"/>
        </w:rPr>
        <w:t>6</w:t>
      </w:r>
      <w:r>
        <w:rPr>
          <w:rFonts w:ascii="宋体" w:eastAsia="宋体" w:cs="宋体" w:hAnsi="宋体" w:hint="eastAsia"/>
          <w:color w:val="auto"/>
          <w:kern w:val="0"/>
          <w:sz w:val="28"/>
          <w:szCs w:val="28"/>
        </w:rPr>
        <w:t>km</w:t>
      </w:r>
      <w:r>
        <w:rPr>
          <w:rFonts w:ascii="宋体" w:eastAsia="宋体" w:cs="宋体" w:hAnsi="宋体" w:hint="eastAsia"/>
          <w:color w:val="auto"/>
          <w:kern w:val="0"/>
          <w:sz w:val="28"/>
          <w:szCs w:val="28"/>
          <w:lang w:eastAsia="zh-CN"/>
        </w:rPr>
        <w:t>。场址内</w:t>
      </w:r>
      <w:r>
        <w:rPr>
          <w:rFonts w:ascii="宋体" w:eastAsia="宋体" w:cs="宋体" w:hAnsi="宋体" w:hint="eastAsia"/>
          <w:color w:val="auto"/>
          <w:kern w:val="0"/>
          <w:sz w:val="28"/>
          <w:szCs w:val="28"/>
          <w:lang w:val="en-US" w:eastAsia="zh-CN"/>
        </w:rPr>
        <w:t>共</w:t>
      </w:r>
      <w:r>
        <w:rPr>
          <w:rFonts w:ascii="宋体" w:eastAsia="宋体" w:cs="宋体" w:hAnsi="宋体" w:hint="eastAsia"/>
          <w:color w:val="auto"/>
          <w:kern w:val="0"/>
          <w:sz w:val="28"/>
          <w:szCs w:val="28"/>
          <w:lang w:eastAsia="zh-CN"/>
        </w:rPr>
        <w:t>规划</w:t>
      </w:r>
      <w:r>
        <w:rPr>
          <w:rFonts w:ascii="宋体" w:eastAsia="宋体" w:cs="宋体" w:hAnsi="宋体" w:hint="eastAsia"/>
          <w:color w:val="auto"/>
          <w:kern w:val="0"/>
          <w:sz w:val="28"/>
          <w:szCs w:val="28"/>
          <w:lang w:val="en-US" w:eastAsia="zh-CN"/>
        </w:rPr>
        <w:t>18个永久占地的独立地块，即17个风电机组地块和1个升压站地块，</w:t>
      </w:r>
      <w:r>
        <w:rPr>
          <w:rFonts w:ascii="宋体" w:eastAsia="宋体" w:cs="宋体" w:hAnsi="宋体" w:hint="eastAsia"/>
          <w:color w:val="auto"/>
          <w:kern w:val="0"/>
          <w:sz w:val="28"/>
          <w:szCs w:val="28"/>
          <w:lang w:eastAsia="zh-CN"/>
        </w:rPr>
        <w:t>总用地面积合计</w:t>
      </w:r>
      <w:r>
        <w:rPr>
          <w:rFonts w:ascii="宋体" w:eastAsia="宋体" w:cs="宋体" w:hAnsi="宋体" w:hint="eastAsia"/>
          <w:color w:val="auto"/>
          <w:kern w:val="0"/>
          <w:sz w:val="28"/>
          <w:szCs w:val="28"/>
          <w:lang w:val="en-US" w:eastAsia="zh-CN"/>
        </w:rPr>
        <w:t>0.8642公顷（8642.3693平方米）。17个</w:t>
      </w:r>
      <w:r>
        <w:rPr>
          <w:rFonts w:ascii="宋体" w:eastAsia="宋体" w:cs="宋体" w:hAnsi="宋体" w:hint="eastAsia"/>
          <w:color w:val="auto"/>
          <w:kern w:val="0"/>
          <w:sz w:val="28"/>
          <w:szCs w:val="28"/>
          <w:lang w:eastAsia="zh-CN"/>
        </w:rPr>
        <w:t>风电机组用地分布于钦州市钦北区大寺镇、大直镇交界处一带的山脊或山包区域，共占地</w:t>
      </w:r>
      <w:r>
        <w:rPr>
          <w:rFonts w:ascii="宋体" w:eastAsia="宋体" w:cs="宋体" w:hAnsi="宋体" w:hint="eastAsia"/>
          <w:color w:val="auto"/>
          <w:kern w:val="0"/>
          <w:sz w:val="28"/>
          <w:szCs w:val="28"/>
          <w:lang w:val="en-US" w:eastAsia="zh-CN"/>
        </w:rPr>
        <w:t>5410.2262平方米</w:t>
      </w:r>
      <w:r>
        <w:rPr>
          <w:rFonts w:ascii="宋体" w:eastAsia="宋体" w:cs="宋体" w:hAnsi="宋体" w:hint="eastAsia"/>
          <w:color w:val="auto"/>
          <w:kern w:val="0"/>
          <w:sz w:val="28"/>
          <w:szCs w:val="28"/>
          <w:lang w:eastAsia="zh-CN"/>
        </w:rPr>
        <w:t>，每个风电机组</w:t>
      </w:r>
      <w:r>
        <w:rPr>
          <w:rFonts w:ascii="宋体" w:eastAsia="宋体" w:cs="宋体" w:hAnsi="宋体" w:hint="eastAsia"/>
          <w:color w:val="auto"/>
          <w:kern w:val="0"/>
          <w:sz w:val="28"/>
          <w:szCs w:val="28"/>
          <w:lang w:val="en-US" w:eastAsia="zh-CN"/>
        </w:rPr>
        <w:t>地块</w:t>
      </w:r>
      <w:r>
        <w:rPr>
          <w:rFonts w:ascii="宋体" w:eastAsia="宋体" w:cs="宋体" w:hAnsi="宋体" w:hint="eastAsia"/>
          <w:color w:val="auto"/>
          <w:kern w:val="0"/>
          <w:sz w:val="28"/>
          <w:szCs w:val="28"/>
          <w:lang w:eastAsia="zh-CN"/>
        </w:rPr>
        <w:t>用地面积</w:t>
      </w:r>
      <w:r>
        <w:rPr>
          <w:rFonts w:ascii="宋体" w:eastAsia="宋体" w:cs="宋体" w:hAnsi="宋体" w:hint="eastAsia"/>
          <w:color w:val="auto"/>
          <w:kern w:val="0"/>
          <w:sz w:val="28"/>
          <w:szCs w:val="28"/>
          <w:lang w:val="en-US" w:eastAsia="zh-CN"/>
        </w:rPr>
        <w:t>318.2486平方米，形状呈正八边形；</w:t>
      </w:r>
      <w:r>
        <w:rPr>
          <w:rFonts w:ascii="宋体" w:eastAsia="宋体" w:cs="宋体" w:hAnsi="宋体" w:hint="eastAsia"/>
          <w:color w:val="auto"/>
          <w:kern w:val="0"/>
          <w:sz w:val="28"/>
          <w:szCs w:val="28"/>
          <w:lang w:eastAsia="zh-CN"/>
        </w:rPr>
        <w:t>升压站位于场址中部，南北偏东朝向，规划用地面积为</w:t>
      </w:r>
      <w:r>
        <w:rPr>
          <w:rFonts w:ascii="宋体" w:eastAsia="宋体" w:cs="宋体" w:hAnsi="宋体" w:hint="eastAsia"/>
          <w:color w:val="auto"/>
          <w:kern w:val="0"/>
          <w:sz w:val="28"/>
          <w:szCs w:val="28"/>
          <w:lang w:val="en-US" w:eastAsia="zh-CN"/>
        </w:rPr>
        <w:t>3232.1431平方米，站内</w:t>
      </w:r>
      <w:r>
        <w:rPr>
          <w:rFonts w:ascii="宋体" w:eastAsia="宋体" w:cs="宋体" w:hAnsi="宋体" w:hint="eastAsia"/>
          <w:color w:val="auto"/>
          <w:kern w:val="0"/>
          <w:sz w:val="28"/>
          <w:szCs w:val="28"/>
          <w:lang w:eastAsia="zh-CN"/>
        </w:rPr>
        <w:t>地块</w:t>
      </w:r>
      <w:r>
        <w:rPr>
          <w:rFonts w:ascii="宋体" w:eastAsia="宋体" w:cs="宋体" w:hAnsi="宋体" w:hint="eastAsia"/>
          <w:color w:val="auto"/>
          <w:kern w:val="0"/>
          <w:sz w:val="28"/>
          <w:szCs w:val="28"/>
          <w:lang w:val="en-US" w:eastAsia="zh-CN"/>
        </w:rPr>
        <w:t>东西长约57.2米，</w:t>
      </w:r>
      <w:r>
        <w:rPr>
          <w:rFonts w:ascii="宋体" w:eastAsia="宋体" w:cs="宋体" w:hAnsi="宋体" w:hint="eastAsia"/>
          <w:color w:val="auto"/>
          <w:kern w:val="0"/>
          <w:sz w:val="28"/>
          <w:szCs w:val="28"/>
          <w:lang w:eastAsia="zh-CN"/>
        </w:rPr>
        <w:t>南北宽约</w:t>
      </w:r>
      <w:r>
        <w:rPr>
          <w:rFonts w:ascii="宋体" w:eastAsia="宋体" w:cs="宋体" w:hAnsi="宋体" w:hint="eastAsia"/>
          <w:color w:val="auto"/>
          <w:kern w:val="0"/>
          <w:sz w:val="28"/>
          <w:szCs w:val="28"/>
          <w:lang w:val="en-US" w:eastAsia="zh-CN"/>
        </w:rPr>
        <w:t>56.5米，用地</w:t>
      </w:r>
      <w:r>
        <w:rPr>
          <w:rFonts w:ascii="宋体" w:eastAsia="宋体" w:cs="宋体" w:hAnsi="宋体" w:hint="eastAsia"/>
          <w:color w:val="auto"/>
          <w:kern w:val="0"/>
          <w:sz w:val="28"/>
          <w:szCs w:val="28"/>
          <w:lang w:eastAsia="zh-CN"/>
        </w:rPr>
        <w:t>形状大体呈正方形</w:t>
      </w:r>
      <w:r>
        <w:rPr>
          <w:rFonts w:ascii="宋体" w:eastAsia="宋体" w:cs="宋体" w:hAnsi="宋体" w:hint="eastAsia"/>
          <w:color w:val="auto"/>
          <w:kern w:val="0"/>
          <w:sz w:val="28"/>
          <w:szCs w:val="28"/>
          <w:lang w:val="en-US" w:eastAsia="zh-CN"/>
        </w:rPr>
        <w:t>。</w:t>
      </w:r>
    </w:p>
    <w:p>
      <w:pPr>
        <w:pStyle w:val="1"/>
        <w:numPr>
          <w:ilvl w:val="0"/>
          <w:numId w:val="0"/>
        </w:numPr>
        <w:spacing w:before="260" w:line="360" w:lineRule="auto"/>
        <w:ind w:left="420"/>
        <w:rPr>
          <w:rFonts w:ascii="宋体" w:eastAsia="宋体" w:cs="宋体" w:hAnsi="宋体"/>
          <w:bCs/>
          <w:color w:val="auto"/>
          <w:sz w:val="32"/>
          <w:szCs w:val="32"/>
        </w:rPr>
      </w:pPr>
      <w:bookmarkStart w:id="19" w:name="_Toc9966"/>
      <w:r>
        <w:rPr>
          <w:rFonts w:ascii="宋体" w:eastAsia="宋体" w:cs="宋体" w:hAnsi="宋体" w:hint="eastAsia"/>
          <w:bCs/>
          <w:color w:val="auto"/>
          <w:sz w:val="32"/>
          <w:szCs w:val="32"/>
          <w:lang w:val="en-US" w:eastAsia="zh-CN"/>
        </w:rPr>
        <w:t>1.4</w:t>
      </w:r>
      <w:r>
        <w:rPr>
          <w:rFonts w:ascii="宋体" w:eastAsia="宋体" w:cs="宋体" w:hAnsi="宋体" w:hint="eastAsia"/>
          <w:bCs/>
          <w:color w:val="auto"/>
          <w:sz w:val="32"/>
          <w:szCs w:val="32"/>
          <w:lang w:eastAsia="zh-CN"/>
        </w:rPr>
        <w:t>数据基础</w:t>
      </w:r>
      <w:bookmarkEnd w:id="19"/>
    </w:p>
    <w:p>
      <w:pPr>
        <w:rPr>
          <w:color w:val="auto"/>
        </w:rPr>
      </w:pPr>
    </w:p>
    <w:p>
      <w:pPr>
        <w:ind w:left="0" w:firstLineChars="200" w:firstLine="560"/>
        <w:rPr>
          <w:rFonts w:ascii="宋体" w:eastAsia="宋体" w:cs="宋体" w:hAnsi="宋体"/>
          <w:color w:val="auto"/>
          <w:kern w:val="0"/>
          <w:sz w:val="28"/>
          <w:szCs w:val="28"/>
          <w:lang w:val="en-US" w:eastAsia="zh-CN"/>
        </w:rPr>
      </w:pPr>
      <w:r>
        <w:rPr>
          <w:rFonts w:ascii="宋体" w:eastAsia="宋体" w:cs="宋体" w:hAnsi="宋体" w:hint="eastAsia"/>
          <w:color w:val="auto"/>
          <w:kern w:val="0"/>
          <w:sz w:val="28"/>
          <w:szCs w:val="28"/>
          <w:lang w:eastAsia="zh-CN"/>
        </w:rPr>
        <w:t>采用“三调”及基期年</w:t>
      </w:r>
      <w:r>
        <w:rPr>
          <w:rFonts w:ascii="宋体" w:eastAsia="宋体" w:cs="宋体" w:hAnsi="宋体" w:hint="eastAsia"/>
          <w:color w:val="auto"/>
          <w:kern w:val="0"/>
          <w:sz w:val="28"/>
          <w:szCs w:val="28"/>
          <w:lang w:val="en-US" w:eastAsia="zh-CN"/>
        </w:rPr>
        <w:t>2023</w:t>
      </w:r>
      <w:r>
        <w:rPr>
          <w:rFonts w:ascii="宋体" w:eastAsia="宋体" w:cs="宋体" w:hAnsi="宋体" w:hint="eastAsia"/>
          <w:color w:val="auto"/>
          <w:kern w:val="0"/>
          <w:sz w:val="28"/>
          <w:szCs w:val="28"/>
          <w:lang w:eastAsia="zh-CN"/>
        </w:rPr>
        <w:t>年度变更调查成果的村域行政区边界、土地利用现状等为底图基础</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平面坐标系统采用</w:t>
      </w:r>
      <w:r>
        <w:rPr>
          <w:rFonts w:ascii="宋体" w:eastAsia="宋体" w:cs="宋体" w:hAnsi="宋体" w:hint="eastAsia"/>
          <w:color w:val="auto"/>
          <w:kern w:val="0"/>
          <w:sz w:val="28"/>
          <w:szCs w:val="28"/>
          <w:lang w:val="en-US" w:eastAsia="zh-CN"/>
        </w:rPr>
        <w:t>2000国家大地坐标系；高程系统采用1985国家高程基准；投影方式采用高斯——克吕格投影，按3°分带。</w:t>
      </w:r>
    </w:p>
    <w:p>
      <w:pPr>
        <w:pStyle w:val="1"/>
        <w:numPr>
          <w:ilvl w:val="0"/>
          <w:numId w:val="0"/>
        </w:numPr>
        <w:spacing w:before="260" w:line="360" w:lineRule="auto"/>
        <w:ind w:left="420"/>
        <w:rPr>
          <w:rFonts w:ascii="宋体" w:eastAsia="宋体" w:cs="宋体" w:hAnsi="宋体"/>
          <w:bCs/>
          <w:color w:val="auto"/>
          <w:sz w:val="32"/>
          <w:szCs w:val="32"/>
        </w:rPr>
      </w:pPr>
      <w:bookmarkStart w:id="20" w:name="_Toc15351"/>
      <w:r>
        <w:rPr>
          <w:rFonts w:ascii="宋体" w:eastAsia="宋体" w:cs="宋体" w:hAnsi="宋体" w:hint="eastAsia"/>
          <w:bCs/>
          <w:color w:val="auto"/>
          <w:sz w:val="32"/>
          <w:szCs w:val="32"/>
          <w:lang w:val="en-US" w:eastAsia="zh-CN"/>
        </w:rPr>
        <w:t>1.5</w:t>
      </w:r>
      <w:r>
        <w:rPr>
          <w:rFonts w:ascii="宋体" w:eastAsia="宋体" w:cs="宋体" w:hAnsi="宋体" w:hint="eastAsia"/>
          <w:bCs/>
          <w:color w:val="auto"/>
          <w:sz w:val="32"/>
          <w:szCs w:val="32"/>
          <w:lang w:eastAsia="zh-CN"/>
        </w:rPr>
        <w:t>规划依据</w:t>
      </w:r>
      <w:bookmarkEnd w:id="20"/>
    </w:p>
    <w:p>
      <w:pPr>
        <w:rPr>
          <w:color w:val="auto"/>
        </w:rPr>
      </w:pPr>
    </w:p>
    <w:p>
      <w:pPr>
        <w:pStyle w:val="17"/>
        <w:widowControl/>
        <w:autoSpaceDE w:val="0"/>
        <w:autoSpaceDN w:val="0"/>
        <w:spacing w:before="4" w:line="420" w:lineRule="auto"/>
        <w:ind w:left="118" w:right="351" w:firstLineChars="200" w:firstLine="560"/>
        <w:jc w:val="left"/>
        <w:rPr>
          <w:rFonts w:ascii="宋体" w:eastAsia="宋体" w:cs="宋体" w:hAnsi="宋体"/>
          <w:color w:val="auto"/>
          <w:sz w:val="30"/>
          <w:szCs w:val="30"/>
        </w:rPr>
      </w:pPr>
      <w:r>
        <w:rPr>
          <w:rFonts w:hint="eastAsia"/>
          <w:b/>
          <w:bCs/>
          <w:color w:val="auto"/>
          <w:sz w:val="28"/>
          <w:szCs w:val="28"/>
          <w:lang w:val="en-US" w:eastAsia="zh-CN"/>
        </w:rPr>
        <w:t>1.5.1 法规条例</w:t>
      </w:r>
    </w:p>
    <w:p>
      <w:pPr>
        <w:pStyle w:val="24"/>
        <w:pBdr>
          <w:top w:val="none" w:sz="0" w:space="0" w:color="auto"/>
          <w:left w:val="none" w:sz="0" w:space="0" w:color="auto"/>
          <w:bottom w:val="none" w:sz="0" w:space="0" w:color="auto"/>
          <w:right w:val="none" w:sz="0" w:space="0" w:color="auto"/>
        </w:pBdr>
        <w:bidi w:val="0"/>
        <w:spacing w:before="0" w:beforeAutospacing="0" w:after="0" w:afterAutospacing="0" w:line="359" w:lineRule="atLeast"/>
        <w:ind w:left="119" w:right="344" w:firstLine="554"/>
        <w:rPr>
          <w:rFonts w:ascii="Sans-serif" w:hAnsi="Sans-serif"/>
          <w:b w:val="0"/>
          <w:bCs w:val="0"/>
          <w:i w:val="0"/>
          <w:iCs w:val="0"/>
          <w:caps w:val="0"/>
          <w:smallCaps w:val="0"/>
          <w:vanish w:val="0"/>
          <w:color w:val="000000"/>
          <w:spacing w:val="0"/>
          <w:sz w:val="20"/>
          <w:szCs w:val="20"/>
        </w:rPr>
      </w:pPr>
      <w:r>
        <w:rPr>
          <w:rFonts w:ascii="宋体" w:eastAsia="宋体" w:hint="eastAsia"/>
          <w:b w:val="0"/>
          <w:bCs w:val="0"/>
          <w:i w:val="0"/>
          <w:iCs w:val="0"/>
          <w:caps w:val="0"/>
          <w:smallCaps w:val="0"/>
          <w:vanish w:val="0"/>
          <w:color w:val="auto"/>
          <w:spacing w:val="0"/>
          <w:sz w:val="29"/>
          <w:szCs w:val="29"/>
          <w:vertAlign w:val="baseline"/>
        </w:rPr>
        <w:t>《中华人民共和国城乡规划法（2019年修正）》）；</w:t>
      </w:r>
    </w:p>
    <w:p>
      <w:pPr>
        <w:pStyle w:val="24"/>
        <w:pBdr>
          <w:top w:val="none" w:sz="0" w:space="0" w:color="auto"/>
          <w:left w:val="none" w:sz="0" w:space="0" w:color="auto"/>
          <w:bottom w:val="none" w:sz="0" w:space="0" w:color="auto"/>
          <w:right w:val="none" w:sz="0" w:space="0" w:color="auto"/>
        </w:pBdr>
        <w:bidi w:val="0"/>
        <w:spacing w:before="0" w:beforeAutospacing="0" w:after="0" w:afterAutospacing="0" w:line="359" w:lineRule="atLeast"/>
        <w:ind w:left="119" w:right="344" w:firstLine="554"/>
        <w:rPr>
          <w:rFonts w:ascii="Sans-serif" w:hAnsi="Sans-serif"/>
          <w:b w:val="0"/>
          <w:bCs w:val="0"/>
          <w:i w:val="0"/>
          <w:iCs w:val="0"/>
          <w:caps w:val="0"/>
          <w:smallCaps w:val="0"/>
          <w:vanish w:val="0"/>
          <w:color w:val="000000"/>
          <w:spacing w:val="0"/>
          <w:sz w:val="20"/>
          <w:szCs w:val="20"/>
        </w:rPr>
      </w:pPr>
      <w:r>
        <w:rPr>
          <w:rFonts w:ascii="宋体" w:eastAsia="宋体" w:hint="eastAsia"/>
          <w:b w:val="0"/>
          <w:bCs w:val="0"/>
          <w:i w:val="0"/>
          <w:iCs w:val="0"/>
          <w:caps w:val="0"/>
          <w:smallCaps w:val="0"/>
          <w:vanish w:val="0"/>
          <w:color w:val="auto"/>
          <w:spacing w:val="0"/>
          <w:sz w:val="29"/>
          <w:szCs w:val="29"/>
          <w:vertAlign w:val="baseline"/>
        </w:rPr>
        <w:t>《中华人民共和国土地管理法》（2019年修订）；</w:t>
      </w:r>
    </w:p>
    <w:p>
      <w:pPr>
        <w:pStyle w:val="24"/>
        <w:pBdr>
          <w:top w:val="none" w:sz="0" w:space="0" w:color="auto"/>
          <w:left w:val="none" w:sz="0" w:space="0" w:color="auto"/>
          <w:bottom w:val="none" w:sz="0" w:space="0" w:color="auto"/>
          <w:right w:val="none" w:sz="0" w:space="0" w:color="auto"/>
        </w:pBdr>
        <w:bidi w:val="0"/>
        <w:spacing w:before="0" w:beforeAutospacing="0" w:after="0" w:afterAutospacing="0" w:line="359" w:lineRule="atLeast"/>
        <w:ind w:left="119" w:right="344" w:firstLine="554"/>
        <w:rPr>
          <w:rFonts w:ascii="Sans-serif" w:hAnsi="Sans-serif"/>
          <w:b w:val="0"/>
          <w:bCs w:val="0"/>
          <w:i w:val="0"/>
          <w:iCs w:val="0"/>
          <w:caps w:val="0"/>
          <w:smallCaps w:val="0"/>
          <w:vanish w:val="0"/>
          <w:color w:val="000000"/>
          <w:spacing w:val="0"/>
          <w:sz w:val="20"/>
          <w:szCs w:val="20"/>
        </w:rPr>
      </w:pPr>
      <w:r>
        <w:rPr>
          <w:rFonts w:ascii="宋体" w:eastAsia="宋体" w:hint="eastAsia"/>
          <w:b w:val="0"/>
          <w:bCs w:val="0"/>
          <w:i w:val="0"/>
          <w:iCs w:val="0"/>
          <w:caps w:val="0"/>
          <w:smallCaps w:val="0"/>
          <w:vanish w:val="0"/>
          <w:color w:val="auto"/>
          <w:spacing w:val="0"/>
          <w:sz w:val="29"/>
          <w:szCs w:val="29"/>
          <w:vertAlign w:val="baseline"/>
        </w:rPr>
        <w:t>《中华人民共和国公路法》（2017年修正）；</w:t>
      </w:r>
    </w:p>
    <w:p>
      <w:pPr>
        <w:pStyle w:val="24"/>
        <w:pBdr>
          <w:top w:val="none" w:sz="0" w:space="0" w:color="auto"/>
          <w:left w:val="none" w:sz="0" w:space="0" w:color="auto"/>
          <w:bottom w:val="none" w:sz="0" w:space="0" w:color="auto"/>
          <w:right w:val="none" w:sz="0" w:space="0" w:color="auto"/>
        </w:pBdr>
        <w:bidi w:val="0"/>
        <w:spacing w:before="0" w:beforeAutospacing="0" w:after="0" w:afterAutospacing="0" w:line="359" w:lineRule="atLeast"/>
        <w:ind w:left="119" w:right="344" w:firstLine="554"/>
        <w:rPr>
          <w:rFonts w:ascii="Sans-serif" w:hAnsi="Sans-serif"/>
          <w:b w:val="0"/>
          <w:bCs w:val="0"/>
          <w:i w:val="0"/>
          <w:iCs w:val="0"/>
          <w:caps w:val="0"/>
          <w:smallCaps w:val="0"/>
          <w:vanish w:val="0"/>
          <w:color w:val="000000"/>
          <w:spacing w:val="0"/>
          <w:sz w:val="20"/>
          <w:szCs w:val="20"/>
        </w:rPr>
      </w:pPr>
      <w:r>
        <w:rPr>
          <w:rFonts w:ascii="宋体" w:eastAsia="宋体" w:hint="eastAsia"/>
          <w:b w:val="0"/>
          <w:bCs w:val="0"/>
          <w:i w:val="0"/>
          <w:iCs w:val="0"/>
          <w:caps w:val="0"/>
          <w:smallCaps w:val="0"/>
          <w:vanish w:val="0"/>
          <w:color w:val="auto"/>
          <w:spacing w:val="0"/>
          <w:sz w:val="29"/>
          <w:szCs w:val="29"/>
          <w:vertAlign w:val="baseline"/>
        </w:rPr>
        <w:t>《中华人民共和国消防法》（2019年修订）；</w:t>
      </w:r>
    </w:p>
    <w:p>
      <w:pPr>
        <w:pStyle w:val="24"/>
        <w:pBdr>
          <w:top w:val="none" w:sz="0" w:space="0" w:color="auto"/>
          <w:left w:val="none" w:sz="0" w:space="0" w:color="auto"/>
          <w:bottom w:val="none" w:sz="0" w:space="0" w:color="auto"/>
          <w:right w:val="none" w:sz="0" w:space="0" w:color="auto"/>
        </w:pBdr>
        <w:bidi w:val="0"/>
        <w:spacing w:before="0" w:beforeAutospacing="0" w:after="0" w:afterAutospacing="0" w:line="359" w:lineRule="atLeast"/>
        <w:ind w:left="119" w:right="344" w:firstLine="554"/>
        <w:rPr>
          <w:rFonts w:ascii="Sans-serif" w:hAnsi="Sans-serif"/>
          <w:b w:val="0"/>
          <w:bCs w:val="0"/>
          <w:i w:val="0"/>
          <w:iCs w:val="0"/>
          <w:caps w:val="0"/>
          <w:smallCaps w:val="0"/>
          <w:vanish w:val="0"/>
          <w:color w:val="000000"/>
          <w:spacing w:val="0"/>
          <w:sz w:val="20"/>
          <w:szCs w:val="20"/>
        </w:rPr>
      </w:pPr>
      <w:r>
        <w:rPr>
          <w:rFonts w:ascii="宋体" w:eastAsia="宋体" w:hint="eastAsia"/>
          <w:b w:val="0"/>
          <w:bCs w:val="0"/>
          <w:i w:val="0"/>
          <w:iCs w:val="0"/>
          <w:caps w:val="0"/>
          <w:smallCaps w:val="0"/>
          <w:vanish w:val="0"/>
          <w:color w:val="auto"/>
          <w:spacing w:val="0"/>
          <w:sz w:val="29"/>
          <w:szCs w:val="29"/>
          <w:vertAlign w:val="baseline"/>
        </w:rPr>
        <w:t>《中华人民共和国环境保护法》（2015年）；</w:t>
      </w:r>
    </w:p>
    <w:p>
      <w:pPr>
        <w:pStyle w:val="24"/>
        <w:pBdr>
          <w:top w:val="none" w:sz="0" w:space="0" w:color="auto"/>
          <w:left w:val="none" w:sz="0" w:space="0" w:color="auto"/>
          <w:bottom w:val="none" w:sz="0" w:space="0" w:color="auto"/>
          <w:right w:val="none" w:sz="0" w:space="0" w:color="auto"/>
        </w:pBdr>
        <w:bidi w:val="0"/>
        <w:spacing w:before="0" w:beforeAutospacing="0" w:after="0" w:afterAutospacing="0" w:line="359" w:lineRule="atLeast"/>
        <w:ind w:left="119" w:right="344" w:firstLine="554"/>
        <w:rPr>
          <w:rFonts w:ascii="Sans-serif" w:hAnsi="Sans-serif"/>
          <w:b w:val="0"/>
          <w:bCs w:val="0"/>
          <w:i w:val="0"/>
          <w:iCs w:val="0"/>
          <w:caps w:val="0"/>
          <w:smallCaps w:val="0"/>
          <w:vanish w:val="0"/>
          <w:color w:val="000000"/>
          <w:spacing w:val="0"/>
          <w:sz w:val="20"/>
          <w:szCs w:val="20"/>
        </w:rPr>
      </w:pPr>
      <w:r>
        <w:rPr>
          <w:rFonts w:ascii="宋体" w:eastAsia="宋体" w:hint="eastAsia"/>
          <w:b w:val="0"/>
          <w:bCs w:val="0"/>
          <w:i w:val="0"/>
          <w:iCs w:val="0"/>
          <w:caps w:val="0"/>
          <w:smallCaps w:val="0"/>
          <w:vanish w:val="0"/>
          <w:color w:val="auto"/>
          <w:spacing w:val="0"/>
          <w:sz w:val="29"/>
          <w:szCs w:val="29"/>
          <w:vertAlign w:val="baseline"/>
        </w:rPr>
        <w:t>《中华人民共和国自然保护区条例》（2017年修订）；</w:t>
      </w:r>
    </w:p>
    <w:p>
      <w:pPr>
        <w:pStyle w:val="24"/>
        <w:pBdr>
          <w:top w:val="none" w:sz="0" w:space="0" w:color="auto"/>
          <w:left w:val="none" w:sz="0" w:space="0" w:color="auto"/>
          <w:bottom w:val="none" w:sz="0" w:space="0" w:color="auto"/>
          <w:right w:val="none" w:sz="0" w:space="0" w:color="auto"/>
        </w:pBdr>
        <w:bidi w:val="0"/>
        <w:spacing w:before="0" w:beforeAutospacing="0" w:after="0" w:afterAutospacing="0" w:line="359" w:lineRule="atLeast"/>
        <w:ind w:left="119" w:right="344" w:firstLine="554"/>
        <w:rPr>
          <w:rFonts w:ascii="Sans-serif" w:hAnsi="Sans-serif"/>
          <w:b w:val="0"/>
          <w:bCs w:val="0"/>
          <w:i w:val="0"/>
          <w:iCs w:val="0"/>
          <w:caps w:val="0"/>
          <w:smallCaps w:val="0"/>
          <w:vanish w:val="0"/>
          <w:color w:val="000000"/>
          <w:spacing w:val="0"/>
          <w:sz w:val="20"/>
          <w:szCs w:val="20"/>
        </w:rPr>
      </w:pPr>
      <w:r>
        <w:rPr>
          <w:rFonts w:ascii="宋体" w:eastAsia="宋体" w:hint="eastAsia"/>
          <w:b w:val="0"/>
          <w:bCs w:val="0"/>
          <w:i w:val="0"/>
          <w:iCs w:val="0"/>
          <w:caps w:val="0"/>
          <w:smallCaps w:val="0"/>
          <w:vanish w:val="0"/>
          <w:color w:val="auto"/>
          <w:spacing w:val="0"/>
          <w:sz w:val="29"/>
          <w:szCs w:val="29"/>
          <w:vertAlign w:val="baseline"/>
        </w:rPr>
        <w:t>《中华人民共和国档案法（2016年修正）》）；</w:t>
      </w:r>
    </w:p>
    <w:p>
      <w:pPr>
        <w:pStyle w:val="24"/>
        <w:pBdr>
          <w:top w:val="none" w:sz="0" w:space="0" w:color="auto"/>
          <w:left w:val="none" w:sz="0" w:space="0" w:color="auto"/>
          <w:bottom w:val="none" w:sz="0" w:space="0" w:color="auto"/>
          <w:right w:val="none" w:sz="0" w:space="0" w:color="auto"/>
        </w:pBdr>
        <w:bidi w:val="0"/>
        <w:spacing w:before="0" w:beforeAutospacing="0" w:after="0" w:afterAutospacing="0" w:line="359" w:lineRule="atLeast"/>
        <w:ind w:left="119" w:right="344" w:firstLine="554"/>
        <w:rPr>
          <w:rFonts w:ascii="Sans-serif" w:hAnsi="Sans-serif"/>
          <w:b w:val="0"/>
          <w:bCs w:val="0"/>
          <w:i w:val="0"/>
          <w:iCs w:val="0"/>
          <w:caps w:val="0"/>
          <w:smallCaps w:val="0"/>
          <w:vanish w:val="0"/>
          <w:color w:val="000000"/>
          <w:spacing w:val="0"/>
          <w:sz w:val="20"/>
          <w:szCs w:val="20"/>
        </w:rPr>
      </w:pPr>
      <w:r>
        <w:rPr>
          <w:rFonts w:ascii="宋体" w:eastAsia="宋体" w:hint="eastAsia"/>
          <w:b w:val="0"/>
          <w:bCs w:val="0"/>
          <w:i w:val="0"/>
          <w:iCs w:val="0"/>
          <w:caps w:val="0"/>
          <w:smallCaps w:val="0"/>
          <w:vanish w:val="0"/>
          <w:color w:val="auto"/>
          <w:spacing w:val="0"/>
          <w:sz w:val="29"/>
          <w:szCs w:val="29"/>
          <w:vertAlign w:val="baseline"/>
        </w:rPr>
        <w:t>《中华人民共和国矿产资源法（2009年修正）》）；</w:t>
      </w:r>
    </w:p>
    <w:p>
      <w:pPr>
        <w:pStyle w:val="24"/>
        <w:pBdr>
          <w:top w:val="none" w:sz="0" w:space="0" w:color="auto"/>
          <w:left w:val="none" w:sz="0" w:space="0" w:color="auto"/>
          <w:bottom w:val="none" w:sz="0" w:space="0" w:color="auto"/>
          <w:right w:val="none" w:sz="0" w:space="0" w:color="auto"/>
        </w:pBdr>
        <w:bidi w:val="0"/>
        <w:spacing w:before="0" w:beforeAutospacing="0" w:after="0" w:afterAutospacing="0" w:line="359" w:lineRule="atLeast"/>
        <w:ind w:left="119" w:right="344" w:firstLine="554"/>
        <w:rPr>
          <w:rFonts w:ascii="Sans-serif" w:hAnsi="Sans-serif"/>
          <w:b w:val="0"/>
          <w:bCs w:val="0"/>
          <w:i w:val="0"/>
          <w:iCs w:val="0"/>
          <w:caps w:val="0"/>
          <w:smallCaps w:val="0"/>
          <w:vanish w:val="0"/>
          <w:color w:val="000000"/>
          <w:spacing w:val="0"/>
          <w:sz w:val="20"/>
          <w:szCs w:val="20"/>
        </w:rPr>
      </w:pPr>
      <w:r>
        <w:rPr>
          <w:rFonts w:ascii="宋体" w:eastAsia="宋体" w:hint="eastAsia"/>
          <w:b w:val="0"/>
          <w:bCs w:val="0"/>
          <w:i w:val="0"/>
          <w:iCs w:val="0"/>
          <w:caps w:val="0"/>
          <w:smallCaps w:val="0"/>
          <w:vanish w:val="0"/>
          <w:color w:val="auto"/>
          <w:spacing w:val="0"/>
          <w:sz w:val="29"/>
          <w:szCs w:val="29"/>
          <w:vertAlign w:val="baseline"/>
        </w:rPr>
        <w:t>《中华人民共和国安全生产法》（2002年）；</w:t>
      </w:r>
    </w:p>
    <w:p>
      <w:pPr>
        <w:pStyle w:val="24"/>
        <w:pBdr>
          <w:top w:val="none" w:sz="0" w:space="0" w:color="auto"/>
          <w:left w:val="none" w:sz="0" w:space="0" w:color="auto"/>
          <w:bottom w:val="none" w:sz="0" w:space="0" w:color="auto"/>
          <w:right w:val="none" w:sz="0" w:space="0" w:color="auto"/>
        </w:pBdr>
        <w:bidi w:val="0"/>
        <w:spacing w:before="0" w:beforeAutospacing="0" w:after="0" w:afterAutospacing="0" w:line="359" w:lineRule="atLeast"/>
        <w:ind w:left="119" w:right="344" w:firstLine="554"/>
        <w:rPr>
          <w:rFonts w:ascii="Sans-serif" w:hAnsi="Sans-serif"/>
          <w:b w:val="0"/>
          <w:bCs w:val="0"/>
          <w:i w:val="0"/>
          <w:iCs w:val="0"/>
          <w:caps w:val="0"/>
          <w:smallCaps w:val="0"/>
          <w:vanish w:val="0"/>
          <w:color w:val="000000"/>
          <w:spacing w:val="0"/>
          <w:sz w:val="20"/>
          <w:szCs w:val="20"/>
        </w:rPr>
      </w:pPr>
      <w:r>
        <w:rPr>
          <w:rFonts w:ascii="宋体" w:eastAsia="宋体" w:hint="eastAsia"/>
          <w:b w:val="0"/>
          <w:bCs w:val="0"/>
          <w:i w:val="0"/>
          <w:iCs w:val="0"/>
          <w:caps w:val="0"/>
          <w:smallCaps w:val="0"/>
          <w:vanish w:val="0"/>
          <w:color w:val="auto"/>
          <w:spacing w:val="0"/>
          <w:sz w:val="29"/>
          <w:szCs w:val="29"/>
          <w:vertAlign w:val="baseline"/>
        </w:rPr>
        <w:t>《中华人民共和国土地管理法实施条例》（2021年修订）；</w:t>
      </w:r>
    </w:p>
    <w:p>
      <w:pPr>
        <w:pStyle w:val="24"/>
        <w:pBdr>
          <w:top w:val="none" w:sz="0" w:space="0" w:color="auto"/>
          <w:left w:val="none" w:sz="0" w:space="0" w:color="auto"/>
          <w:bottom w:val="none" w:sz="0" w:space="0" w:color="auto"/>
          <w:right w:val="none" w:sz="0" w:space="0" w:color="auto"/>
        </w:pBdr>
        <w:bidi w:val="0"/>
        <w:spacing w:before="0" w:beforeAutospacing="0" w:after="0" w:afterAutospacing="0" w:line="359" w:lineRule="atLeast"/>
        <w:ind w:left="119" w:right="344" w:firstLine="554"/>
        <w:rPr>
          <w:rFonts w:ascii="Sans-serif" w:hAnsi="Sans-serif"/>
          <w:b w:val="0"/>
          <w:bCs w:val="0"/>
          <w:i w:val="0"/>
          <w:iCs w:val="0"/>
          <w:caps w:val="0"/>
          <w:smallCaps w:val="0"/>
          <w:vanish w:val="0"/>
          <w:color w:val="000000"/>
          <w:spacing w:val="0"/>
          <w:sz w:val="20"/>
          <w:szCs w:val="20"/>
        </w:rPr>
      </w:pPr>
      <w:r>
        <w:rPr>
          <w:rFonts w:ascii="宋体" w:eastAsia="宋体" w:hint="eastAsia"/>
          <w:b w:val="0"/>
          <w:bCs w:val="0"/>
          <w:i w:val="0"/>
          <w:iCs w:val="0"/>
          <w:caps w:val="0"/>
          <w:smallCaps w:val="0"/>
          <w:vanish w:val="0"/>
          <w:color w:val="auto"/>
          <w:spacing w:val="0"/>
          <w:sz w:val="29"/>
          <w:szCs w:val="29"/>
          <w:vertAlign w:val="baseline"/>
        </w:rPr>
        <w:t>《基本农田保护条例》（2019年修订）；</w:t>
      </w:r>
    </w:p>
    <w:p>
      <w:pPr>
        <w:pStyle w:val="24"/>
        <w:pBdr>
          <w:top w:val="none" w:sz="0" w:space="0" w:color="auto"/>
          <w:left w:val="none" w:sz="0" w:space="0" w:color="auto"/>
          <w:bottom w:val="none" w:sz="0" w:space="0" w:color="auto"/>
          <w:right w:val="none" w:sz="0" w:space="0" w:color="auto"/>
        </w:pBdr>
        <w:bidi w:val="0"/>
        <w:spacing w:before="0" w:beforeAutospacing="0" w:after="0" w:afterAutospacing="0" w:line="359" w:lineRule="atLeast"/>
        <w:ind w:left="119" w:right="344" w:firstLine="554"/>
        <w:rPr>
          <w:rFonts w:ascii="Sans-serif" w:hAnsi="Sans-serif"/>
          <w:b w:val="0"/>
          <w:bCs w:val="0"/>
          <w:i w:val="0"/>
          <w:iCs w:val="0"/>
          <w:caps w:val="0"/>
          <w:smallCaps w:val="0"/>
          <w:vanish w:val="0"/>
          <w:color w:val="000000"/>
          <w:spacing w:val="0"/>
          <w:sz w:val="20"/>
          <w:szCs w:val="20"/>
        </w:rPr>
      </w:pPr>
      <w:r>
        <w:rPr>
          <w:rFonts w:ascii="宋体" w:eastAsia="宋体" w:hint="eastAsia"/>
          <w:b w:val="0"/>
          <w:bCs w:val="0"/>
          <w:i w:val="0"/>
          <w:iCs w:val="0"/>
          <w:caps w:val="0"/>
          <w:smallCaps w:val="0"/>
          <w:vanish w:val="0"/>
          <w:color w:val="auto"/>
          <w:spacing w:val="0"/>
          <w:sz w:val="29"/>
          <w:szCs w:val="29"/>
          <w:vertAlign w:val="baseline"/>
        </w:rPr>
        <w:t>《土地复垦条例》（2011年颁布）；</w:t>
      </w:r>
    </w:p>
    <w:p>
      <w:pPr>
        <w:pStyle w:val="24"/>
        <w:pBdr>
          <w:top w:val="none" w:sz="0" w:space="0" w:color="auto"/>
          <w:left w:val="none" w:sz="0" w:space="0" w:color="auto"/>
          <w:bottom w:val="none" w:sz="0" w:space="0" w:color="auto"/>
          <w:right w:val="none" w:sz="0" w:space="0" w:color="auto"/>
        </w:pBdr>
        <w:bidi w:val="0"/>
        <w:spacing w:before="0" w:beforeAutospacing="0" w:after="0" w:afterAutospacing="0" w:line="359" w:lineRule="atLeast"/>
        <w:ind w:left="119" w:right="344" w:firstLine="554"/>
        <w:rPr>
          <w:rFonts w:ascii="Sans-serif" w:hAnsi="Sans-serif"/>
          <w:b w:val="0"/>
          <w:bCs w:val="0"/>
          <w:i w:val="0"/>
          <w:iCs w:val="0"/>
          <w:caps w:val="0"/>
          <w:smallCaps w:val="0"/>
          <w:vanish w:val="0"/>
          <w:color w:val="000000"/>
          <w:spacing w:val="0"/>
          <w:sz w:val="20"/>
          <w:szCs w:val="20"/>
        </w:rPr>
      </w:pPr>
      <w:r>
        <w:rPr>
          <w:rFonts w:ascii="宋体" w:eastAsia="宋体" w:hint="eastAsia"/>
          <w:b w:val="0"/>
          <w:bCs w:val="0"/>
          <w:i w:val="0"/>
          <w:iCs w:val="0"/>
          <w:caps w:val="0"/>
          <w:smallCaps w:val="0"/>
          <w:vanish w:val="0"/>
          <w:color w:val="auto"/>
          <w:spacing w:val="0"/>
          <w:sz w:val="29"/>
          <w:szCs w:val="29"/>
          <w:vertAlign w:val="baseline"/>
        </w:rPr>
        <w:t>《城市规划编制办法》2006；</w:t>
      </w:r>
    </w:p>
    <w:p>
      <w:pPr>
        <w:pStyle w:val="24"/>
        <w:pBdr>
          <w:top w:val="none" w:sz="0" w:space="0" w:color="auto"/>
          <w:left w:val="none" w:sz="0" w:space="0" w:color="auto"/>
          <w:bottom w:val="none" w:sz="0" w:space="0" w:color="auto"/>
          <w:right w:val="none" w:sz="0" w:space="0" w:color="auto"/>
        </w:pBdr>
        <w:bidi w:val="0"/>
        <w:spacing w:before="0" w:beforeAutospacing="0" w:after="0" w:afterAutospacing="0" w:line="359" w:lineRule="atLeast"/>
        <w:ind w:left="119" w:right="344" w:firstLine="554"/>
        <w:rPr>
          <w:rFonts w:ascii="Sans-serif" w:hAnsi="Sans-serif"/>
          <w:b w:val="0"/>
          <w:bCs w:val="0"/>
          <w:i w:val="0"/>
          <w:iCs w:val="0"/>
          <w:caps w:val="0"/>
          <w:smallCaps w:val="0"/>
          <w:vanish w:val="0"/>
          <w:color w:val="000000"/>
          <w:spacing w:val="0"/>
          <w:sz w:val="20"/>
          <w:szCs w:val="20"/>
        </w:rPr>
      </w:pPr>
      <w:r>
        <w:rPr>
          <w:rFonts w:ascii="宋体" w:eastAsia="宋体" w:hint="eastAsia"/>
          <w:b w:val="0"/>
          <w:bCs w:val="0"/>
          <w:i w:val="0"/>
          <w:iCs w:val="0"/>
          <w:caps w:val="0"/>
          <w:smallCaps w:val="0"/>
          <w:vanish w:val="0"/>
          <w:color w:val="auto"/>
          <w:spacing w:val="0"/>
          <w:sz w:val="29"/>
          <w:szCs w:val="29"/>
          <w:vertAlign w:val="baseline"/>
        </w:rPr>
        <w:t>《广西壮族自治区实施&lt;中华人民共和国城乡规划法&gt;办法》；</w:t>
      </w:r>
    </w:p>
    <w:p>
      <w:pPr>
        <w:pStyle w:val="24"/>
        <w:pBdr>
          <w:top w:val="none" w:sz="0" w:space="0" w:color="auto"/>
          <w:left w:val="none" w:sz="0" w:space="0" w:color="auto"/>
          <w:bottom w:val="none" w:sz="0" w:space="0" w:color="auto"/>
          <w:right w:val="none" w:sz="0" w:space="0" w:color="auto"/>
        </w:pBdr>
        <w:bidi w:val="0"/>
        <w:spacing w:before="0" w:beforeAutospacing="0" w:after="0" w:afterAutospacing="0" w:line="359" w:lineRule="atLeast"/>
        <w:ind w:left="119" w:right="344" w:firstLine="554"/>
        <w:rPr>
          <w:rFonts w:ascii="Sans-serif" w:hAnsi="Sans-serif"/>
          <w:b w:val="0"/>
          <w:bCs w:val="0"/>
          <w:i w:val="0"/>
          <w:iCs w:val="0"/>
          <w:caps w:val="0"/>
          <w:smallCaps w:val="0"/>
          <w:vanish w:val="0"/>
          <w:color w:val="000000"/>
          <w:spacing w:val="0"/>
          <w:sz w:val="20"/>
          <w:szCs w:val="20"/>
        </w:rPr>
      </w:pPr>
      <w:r>
        <w:rPr>
          <w:rFonts w:ascii="宋体" w:eastAsia="宋体" w:hint="eastAsia"/>
          <w:b w:val="0"/>
          <w:bCs w:val="0"/>
          <w:i w:val="0"/>
          <w:iCs w:val="0"/>
          <w:caps w:val="0"/>
          <w:smallCaps w:val="0"/>
          <w:vanish w:val="0"/>
          <w:color w:val="auto"/>
          <w:spacing w:val="0"/>
          <w:sz w:val="29"/>
          <w:szCs w:val="29"/>
          <w:vertAlign w:val="baseline"/>
        </w:rPr>
        <w:t>其他国家有关土地、水、矿产资源利用、保护与管理的法律法规及地方法规</w:t>
      </w:r>
    </w:p>
    <w:p>
      <w:pPr>
        <w:pStyle w:val="17"/>
        <w:widowControl/>
        <w:autoSpaceDE w:val="0"/>
        <w:autoSpaceDN w:val="0"/>
        <w:spacing w:before="4" w:line="420" w:lineRule="auto"/>
        <w:ind w:left="118" w:right="351" w:firstLineChars="200" w:firstLine="560"/>
        <w:jc w:val="left"/>
        <w:rPr>
          <w:rFonts w:ascii="宋体" w:eastAsia="宋体" w:cs="宋体" w:hAnsi="宋体"/>
          <w:color w:val="auto"/>
          <w:sz w:val="30"/>
          <w:szCs w:val="30"/>
        </w:rPr>
      </w:pPr>
      <w:r>
        <w:rPr>
          <w:rFonts w:hint="eastAsia"/>
          <w:b/>
          <w:bCs/>
          <w:color w:val="auto"/>
          <w:sz w:val="28"/>
          <w:szCs w:val="28"/>
          <w:lang w:val="en-US" w:eastAsia="zh-CN"/>
        </w:rPr>
        <w:t>1.5.2 相关文件</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广西壮族自治区能源局关于印发广西201</w:t>
      </w:r>
      <w:r>
        <w:rPr>
          <w:rFonts w:ascii="宋体" w:eastAsia="宋体" w:cs="宋体" w:hAnsi="宋体" w:hint="eastAsia"/>
          <w:color w:val="auto"/>
          <w:kern w:val="0"/>
          <w:sz w:val="28"/>
          <w:szCs w:val="28"/>
          <w:lang w:val="en-US" w:eastAsia="zh-CN"/>
        </w:rPr>
        <w:t>8</w:t>
      </w:r>
      <w:r>
        <w:rPr>
          <w:rFonts w:ascii="宋体" w:eastAsia="宋体" w:cs="宋体" w:hAnsi="宋体" w:hint="eastAsia"/>
          <w:color w:val="auto"/>
          <w:kern w:val="0"/>
          <w:sz w:val="28"/>
          <w:szCs w:val="28"/>
          <w:lang w:eastAsia="zh-CN"/>
        </w:rPr>
        <w:t xml:space="preserve"> 年风电开发建设方案的通知（桂能新能〔201</w:t>
      </w:r>
      <w:r>
        <w:rPr>
          <w:rFonts w:ascii="宋体" w:eastAsia="宋体" w:cs="宋体" w:hAnsi="宋体" w:hint="eastAsia"/>
          <w:color w:val="auto"/>
          <w:kern w:val="0"/>
          <w:sz w:val="28"/>
          <w:szCs w:val="28"/>
          <w:lang w:val="en-US" w:eastAsia="zh-CN"/>
        </w:rPr>
        <w:t>8</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5</w:t>
      </w:r>
      <w:r>
        <w:rPr>
          <w:rFonts w:ascii="宋体" w:eastAsia="宋体" w:cs="宋体" w:hAnsi="宋体" w:hint="eastAsia"/>
          <w:color w:val="auto"/>
          <w:kern w:val="0"/>
          <w:sz w:val="28"/>
          <w:szCs w:val="28"/>
          <w:lang w:eastAsia="zh-CN"/>
        </w:rPr>
        <w:t>号）；</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广西壮族自治区能源局印发的《关于印发广西无补贴平价风电开发建设方案的通知》（桂能新能〔</w:t>
      </w:r>
      <w:r>
        <w:rPr>
          <w:rFonts w:ascii="宋体" w:eastAsia="宋体" w:cs="宋体" w:hAnsi="宋体" w:hint="eastAsia"/>
          <w:color w:val="auto"/>
          <w:kern w:val="0"/>
          <w:sz w:val="28"/>
          <w:szCs w:val="28"/>
          <w:lang w:val="en-US" w:eastAsia="zh-CN"/>
        </w:rPr>
        <w:t>2020</w:t>
      </w:r>
      <w:r>
        <w:rPr>
          <w:rFonts w:ascii="宋体" w:eastAsia="宋体" w:cs="宋体" w:hAnsi="宋体" w:hint="eastAsia"/>
          <w:color w:val="auto"/>
          <w:kern w:val="0"/>
          <w:sz w:val="28"/>
          <w:szCs w:val="28"/>
          <w:lang w:eastAsia="zh-CN"/>
        </w:rPr>
        <w:t>〕8 号）；</w:t>
      </w:r>
    </w:p>
    <w:p>
      <w:pPr>
        <w:pStyle w:val="17"/>
        <w:ind w:firstLineChars="200" w:firstLine="560"/>
        <w:rPr>
          <w:rFonts w:cs="宋体" w:hint="eastAsia"/>
          <w:color w:val="auto"/>
          <w:kern w:val="0"/>
          <w:sz w:val="28"/>
          <w:szCs w:val="28"/>
          <w:lang w:eastAsia="zh-CN"/>
        </w:rPr>
      </w:pPr>
      <w:r>
        <w:rPr>
          <w:rFonts w:cs="宋体" w:hint="eastAsia"/>
          <w:color w:val="auto"/>
          <w:kern w:val="0"/>
          <w:sz w:val="28"/>
          <w:szCs w:val="28"/>
          <w:lang w:eastAsia="zh-CN"/>
        </w:rPr>
        <w:t>钦州市国土资源局钦北分局关于钦北区百浪岭风电场项目供地等问题的说明；</w:t>
      </w:r>
    </w:p>
    <w:p>
      <w:pPr>
        <w:pStyle w:val="17"/>
        <w:ind w:firstLineChars="200" w:firstLine="560"/>
        <w:rPr>
          <w:rFonts w:cs="宋体" w:hint="eastAsia"/>
          <w:color w:val="auto"/>
          <w:kern w:val="0"/>
          <w:sz w:val="28"/>
          <w:szCs w:val="28"/>
          <w:lang w:eastAsia="zh-CN"/>
        </w:rPr>
      </w:pPr>
      <w:r>
        <w:rPr>
          <w:rFonts w:cs="宋体" w:hint="eastAsia"/>
          <w:color w:val="auto"/>
          <w:kern w:val="0"/>
          <w:sz w:val="28"/>
          <w:szCs w:val="28"/>
          <w:lang w:eastAsia="zh-CN"/>
        </w:rPr>
        <w:t>钦州市发展和改革委员会关于核准钦北区百浪岭风电场一期（50MW）项目的请示；</w:t>
      </w:r>
    </w:p>
    <w:p>
      <w:pPr>
        <w:pStyle w:val="17"/>
        <w:ind w:firstLineChars="200" w:firstLine="560"/>
        <w:rPr>
          <w:rFonts w:ascii="宋体" w:eastAsia="宋体" w:cs="宋体" w:hAnsi="宋体" w:hint="eastAsia"/>
          <w:color w:val="auto"/>
          <w:kern w:val="0"/>
          <w:sz w:val="28"/>
          <w:szCs w:val="28"/>
          <w:lang w:eastAsia="zh-CN"/>
        </w:rPr>
      </w:pPr>
      <w:r>
        <w:rPr>
          <w:rFonts w:cs="宋体" w:hint="eastAsia"/>
          <w:color w:val="auto"/>
          <w:kern w:val="0"/>
          <w:sz w:val="28"/>
          <w:szCs w:val="28"/>
          <w:lang w:eastAsia="zh-CN"/>
        </w:rPr>
        <w:t>钦州市人民政府办公室关于印发钦州市2023年重大项目建设实施方案的通知</w:t>
      </w:r>
      <w:r>
        <w:rPr>
          <w:rFonts w:ascii="宋体" w:eastAsia="宋体" w:cs="宋体" w:hAnsi="宋体" w:hint="eastAsia"/>
          <w:color w:val="auto"/>
          <w:kern w:val="0"/>
          <w:sz w:val="28"/>
          <w:szCs w:val="28"/>
          <w:lang w:eastAsia="zh-CN"/>
        </w:rPr>
        <w:t>（</w:t>
      </w:r>
      <w:r>
        <w:rPr>
          <w:rFonts w:cs="宋体" w:hint="eastAsia"/>
          <w:color w:val="auto"/>
          <w:kern w:val="0"/>
          <w:sz w:val="28"/>
          <w:szCs w:val="28"/>
          <w:lang w:eastAsia="zh-CN"/>
        </w:rPr>
        <w:t>钦政办</w:t>
      </w:r>
      <w:r>
        <w:rPr>
          <w:rFonts w:ascii="宋体" w:eastAsia="宋体" w:cs="宋体" w:hAnsi="宋体" w:hint="eastAsia"/>
          <w:color w:val="auto"/>
          <w:kern w:val="0"/>
          <w:sz w:val="28"/>
          <w:szCs w:val="28"/>
          <w:lang w:eastAsia="zh-CN"/>
        </w:rPr>
        <w:t>〔20</w:t>
      </w:r>
      <w:r>
        <w:rPr>
          <w:rFonts w:cs="宋体" w:hint="eastAsia"/>
          <w:color w:val="auto"/>
          <w:kern w:val="0"/>
          <w:sz w:val="28"/>
          <w:szCs w:val="28"/>
          <w:lang w:val="en-US" w:eastAsia="zh-CN"/>
        </w:rPr>
        <w:t>23</w:t>
      </w:r>
      <w:r>
        <w:rPr>
          <w:rFonts w:ascii="宋体" w:eastAsia="宋体" w:cs="宋体" w:hAnsi="宋体" w:hint="eastAsia"/>
          <w:color w:val="auto"/>
          <w:kern w:val="0"/>
          <w:sz w:val="28"/>
          <w:szCs w:val="28"/>
          <w:lang w:eastAsia="zh-CN"/>
        </w:rPr>
        <w:t>〕</w:t>
      </w:r>
      <w:r>
        <w:rPr>
          <w:rFonts w:cs="宋体" w:hint="eastAsia"/>
          <w:color w:val="auto"/>
          <w:kern w:val="0"/>
          <w:sz w:val="28"/>
          <w:szCs w:val="28"/>
          <w:lang w:val="en-US" w:eastAsia="zh-CN"/>
        </w:rPr>
        <w:t>10</w:t>
      </w:r>
      <w:r>
        <w:rPr>
          <w:rFonts w:ascii="宋体" w:eastAsia="宋体" w:cs="宋体" w:hAnsi="宋体" w:hint="eastAsia"/>
          <w:color w:val="auto"/>
          <w:kern w:val="0"/>
          <w:sz w:val="28"/>
          <w:szCs w:val="28"/>
          <w:lang w:eastAsia="zh-CN"/>
        </w:rPr>
        <w:t>号）</w:t>
      </w:r>
      <w:r>
        <w:rPr>
          <w:rFonts w:cs="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广西壮族自治区人民政府关于钦北区百浪岭风电场一期项目建设用地的批复</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桂政土批函〔2024〕343号</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广西壮族自治区自然资源厅办公室关于印发《广西壮族自治区独立地块详细规划编制要点（试行）》的通知（桂</w:t>
      </w:r>
      <w:r>
        <w:rPr>
          <w:rFonts w:ascii="宋体" w:eastAsia="宋体" w:cs="宋体" w:hAnsi="宋体" w:hint="eastAsia"/>
          <w:color w:val="auto"/>
          <w:kern w:val="0"/>
          <w:sz w:val="28"/>
          <w:szCs w:val="28"/>
          <w:lang w:eastAsia="zh-CN"/>
        </w:rPr>
        <w:t>自然资办</w:t>
      </w:r>
      <w:r>
        <w:rPr>
          <w:rFonts w:ascii="宋体" w:eastAsia="宋体" w:cs="宋体" w:hAnsi="宋体" w:hint="eastAsia"/>
          <w:color w:val="auto"/>
          <w:kern w:val="0"/>
          <w:sz w:val="28"/>
          <w:szCs w:val="28"/>
        </w:rPr>
        <w:t>〔202</w:t>
      </w:r>
      <w:r>
        <w:rPr>
          <w:rFonts w:ascii="宋体" w:eastAsia="宋体" w:cs="宋体" w:hAnsi="宋体" w:hint="eastAsia"/>
          <w:color w:val="auto"/>
          <w:kern w:val="0"/>
          <w:sz w:val="28"/>
          <w:szCs w:val="28"/>
          <w:lang w:val="en-US" w:eastAsia="zh-CN"/>
        </w:rPr>
        <w:t>4</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197</w:t>
      </w:r>
      <w:r>
        <w:rPr>
          <w:rFonts w:ascii="宋体" w:eastAsia="宋体" w:cs="宋体" w:hAnsi="宋体" w:hint="eastAsia"/>
          <w:color w:val="auto"/>
          <w:kern w:val="0"/>
          <w:sz w:val="28"/>
          <w:szCs w:val="28"/>
        </w:rPr>
        <w:t>号）</w:t>
      </w:r>
      <w:r>
        <w:rPr>
          <w:rFonts w:ascii="宋体" w:eastAsia="宋体" w:cs="宋体" w:hAnsi="宋体" w:hint="eastAsia"/>
          <w:color w:val="auto"/>
          <w:kern w:val="0"/>
          <w:sz w:val="28"/>
          <w:szCs w:val="28"/>
          <w:lang w:eastAsia="zh-CN"/>
        </w:rPr>
        <w:t>。</w:t>
      </w:r>
    </w:p>
    <w:p>
      <w:pPr>
        <w:pStyle w:val="17"/>
        <w:widowControl/>
        <w:autoSpaceDE w:val="0"/>
        <w:autoSpaceDN w:val="0"/>
        <w:spacing w:before="4" w:line="420" w:lineRule="auto"/>
        <w:ind w:left="118" w:right="351" w:firstLineChars="200" w:firstLine="560"/>
        <w:jc w:val="left"/>
        <w:rPr>
          <w:rFonts w:hint="eastAsia"/>
          <w:color w:val="auto"/>
          <w:lang w:eastAsia="zh-CN"/>
        </w:rPr>
      </w:pPr>
      <w:r>
        <w:rPr>
          <w:rFonts w:hint="eastAsia"/>
          <w:b/>
          <w:bCs/>
          <w:color w:val="auto"/>
          <w:sz w:val="28"/>
          <w:szCs w:val="28"/>
          <w:lang w:val="en-US" w:eastAsia="zh-CN"/>
        </w:rPr>
        <w:t>1.5.3 规范标准</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电力工程项目建设用地指标(风电场)</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建标(2011)209号</w:t>
      </w:r>
      <w:r>
        <w:rPr>
          <w:rFonts w:ascii="宋体" w:eastAsia="宋体" w:cs="宋体" w:hAnsi="宋体" w:hint="eastAsia"/>
          <w:color w:val="auto"/>
          <w:kern w:val="0"/>
          <w:sz w:val="28"/>
          <w:szCs w:val="28"/>
          <w:lang w:eastAsia="zh-CN"/>
        </w:rPr>
        <w:t>；</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《风电场工程设计导则</w:t>
      </w:r>
      <w:r>
        <w:rPr>
          <w:rFonts w:ascii="宋体" w:eastAsia="宋体" w:cs="宋体" w:hAnsi="宋体" w:hint="eastAsia"/>
          <w:color w:val="auto"/>
          <w:kern w:val="0"/>
          <w:sz w:val="28"/>
          <w:szCs w:val="28"/>
          <w:lang w:eastAsia="zh-CN"/>
        </w:rPr>
        <w:t>（试行）</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《风</w:t>
      </w:r>
      <w:r>
        <w:rPr>
          <w:rFonts w:ascii="宋体" w:eastAsia="宋体" w:cs="宋体" w:hAnsi="宋体" w:hint="eastAsia"/>
          <w:color w:val="auto"/>
          <w:kern w:val="0"/>
          <w:sz w:val="28"/>
          <w:szCs w:val="28"/>
          <w:lang w:val="en-US" w:eastAsia="zh-CN"/>
        </w:rPr>
        <w:t>力发电场设计规范</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w:t>
      </w:r>
      <w:r>
        <w:rPr>
          <w:rFonts w:ascii="宋体" w:eastAsia="宋体" w:cs="宋体" w:hAnsi="宋体"/>
          <w:color w:val="auto"/>
          <w:kern w:val="0"/>
          <w:sz w:val="28"/>
          <w:szCs w:val="28"/>
        </w:rPr>
        <w:t>GB</w:t>
      </w:r>
      <w:r>
        <w:rPr>
          <w:rFonts w:ascii="宋体" w:eastAsia="宋体" w:cs="宋体" w:hAnsi="宋体" w:hint="eastAsia"/>
          <w:color w:val="auto"/>
          <w:kern w:val="0"/>
          <w:sz w:val="28"/>
          <w:szCs w:val="28"/>
          <w:lang w:eastAsia="zh-CN"/>
        </w:rPr>
        <w:t>5</w:t>
      </w:r>
      <w:r>
        <w:rPr>
          <w:rFonts w:ascii="宋体" w:eastAsia="宋体" w:cs="宋体" w:hAnsi="宋体" w:hint="eastAsia"/>
          <w:color w:val="auto"/>
          <w:kern w:val="0"/>
          <w:sz w:val="28"/>
          <w:szCs w:val="28"/>
          <w:lang w:val="en-US" w:eastAsia="zh-CN"/>
        </w:rPr>
        <w:t>1096</w:t>
      </w:r>
      <w:r>
        <w:rPr>
          <w:rFonts w:ascii="宋体" w:eastAsia="宋体" w:cs="宋体" w:hAnsi="宋体"/>
          <w:color w:val="auto"/>
          <w:kern w:val="0"/>
          <w:sz w:val="28"/>
          <w:szCs w:val="28"/>
        </w:rPr>
        <w:t>-201</w:t>
      </w:r>
      <w:r>
        <w:rPr>
          <w:rFonts w:ascii="宋体" w:eastAsia="宋体" w:cs="宋体" w:hAnsi="宋体" w:hint="eastAsia"/>
          <w:color w:val="auto"/>
          <w:kern w:val="0"/>
          <w:sz w:val="28"/>
          <w:szCs w:val="28"/>
          <w:lang w:val="en-US" w:eastAsia="zh-CN"/>
        </w:rPr>
        <w:t>5</w:t>
      </w:r>
      <w:r>
        <w:rPr>
          <w:rFonts w:ascii="宋体" w:eastAsia="宋体" w:cs="宋体" w:hAnsi="宋体" w:hint="eastAsia"/>
          <w:color w:val="auto"/>
          <w:kern w:val="0"/>
          <w:sz w:val="28"/>
          <w:szCs w:val="28"/>
          <w:lang w:eastAsia="zh-CN"/>
        </w:rPr>
        <w:t>）；</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《电力工程电缆设计</w:t>
      </w:r>
      <w:r>
        <w:rPr>
          <w:rFonts w:ascii="宋体" w:eastAsia="宋体" w:cs="宋体" w:hAnsi="宋体" w:hint="eastAsia"/>
          <w:color w:val="auto"/>
          <w:kern w:val="0"/>
          <w:sz w:val="28"/>
          <w:szCs w:val="28"/>
          <w:lang w:eastAsia="zh-CN"/>
        </w:rPr>
        <w:t>标准</w:t>
      </w:r>
      <w:r>
        <w:rPr>
          <w:rFonts w:ascii="宋体" w:eastAsia="宋体" w:cs="宋体" w:hAnsi="宋体" w:hint="eastAsia"/>
          <w:color w:val="auto"/>
          <w:kern w:val="0"/>
          <w:sz w:val="28"/>
          <w:szCs w:val="28"/>
        </w:rPr>
        <w:t>》GB50217-2018</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《建筑设计防火规范》（</w:t>
      </w:r>
      <w:r>
        <w:rPr>
          <w:rFonts w:ascii="宋体" w:eastAsia="宋体" w:cs="宋体" w:hAnsi="宋体"/>
          <w:color w:val="auto"/>
          <w:kern w:val="0"/>
          <w:sz w:val="28"/>
          <w:szCs w:val="28"/>
        </w:rPr>
        <w:t>GB50016-2014）（2018版）</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Times New Roman"/>
          <w:color w:val="auto"/>
          <w:kern w:val="0"/>
          <w:sz w:val="24"/>
          <w:szCs w:val="24"/>
        </w:rPr>
      </w:pPr>
      <w:r>
        <w:rPr>
          <w:rFonts w:ascii="宋体" w:eastAsia="宋体" w:cs="宋体" w:hAnsi="宋体" w:hint="eastAsia"/>
          <w:color w:val="auto"/>
          <w:kern w:val="0"/>
          <w:sz w:val="28"/>
          <w:szCs w:val="28"/>
        </w:rPr>
        <w:t>《建筑防火通用规范》</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GB55037-2022</w:t>
      </w:r>
      <w:r>
        <w:rPr>
          <w:rFonts w:ascii="宋体" w:eastAsia="宋体" w:cs="宋体" w:hAnsi="宋体" w:hint="eastAsia"/>
          <w:color w:val="auto"/>
          <w:kern w:val="0"/>
          <w:sz w:val="28"/>
          <w:szCs w:val="28"/>
          <w:lang w:eastAsia="zh-CN"/>
        </w:rPr>
        <w:t>）</w:t>
      </w:r>
      <w:r>
        <w:rPr>
          <w:rFonts w:ascii="宋体" w:eastAsia="宋体" w:cs="宋体" w:hAnsi="宋体"/>
          <w:color w:val="auto"/>
          <w:kern w:val="0"/>
          <w:sz w:val="28"/>
          <w:szCs w:val="28"/>
        </w:rPr>
        <w:t>；</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《钦州市城市规划技术标准与准则》（</w:t>
      </w:r>
      <w:r>
        <w:rPr>
          <w:rFonts w:ascii="宋体" w:eastAsia="宋体" w:cs="宋体" w:hAnsi="宋体"/>
          <w:color w:val="auto"/>
          <w:kern w:val="0"/>
          <w:sz w:val="28"/>
          <w:szCs w:val="28"/>
        </w:rPr>
        <w:t>2015</w:t>
      </w:r>
      <w:r>
        <w:rPr>
          <w:rFonts w:ascii="宋体" w:eastAsia="宋体" w:cs="宋体" w:hAnsi="宋体" w:hint="eastAsia"/>
          <w:color w:val="auto"/>
          <w:kern w:val="0"/>
          <w:sz w:val="28"/>
          <w:szCs w:val="28"/>
        </w:rPr>
        <w:t>年版）；</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《国土空间调查、规划、用途管制用地用海分类指南》</w:t>
      </w:r>
      <w:r>
        <w:rPr>
          <w:rFonts w:ascii="宋体" w:eastAsia="宋体" w:cs="宋体" w:hAnsi="宋体"/>
          <w:color w:val="auto"/>
          <w:kern w:val="0"/>
          <w:sz w:val="28"/>
          <w:szCs w:val="28"/>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《第三次全国国土调查技术规程》（TD/T 1055—2019）；</w:t>
      </w:r>
    </w:p>
    <w:p>
      <w:pPr>
        <w:ind w:left="0" w:firstLineChars="200" w:firstLine="560"/>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其他国家</w:t>
      </w:r>
      <w:r>
        <w:rPr>
          <w:rFonts w:ascii="宋体" w:eastAsia="宋体" w:cs="宋体" w:hAnsi="宋体" w:hint="eastAsia"/>
          <w:color w:val="auto"/>
          <w:kern w:val="0"/>
          <w:sz w:val="28"/>
          <w:szCs w:val="28"/>
          <w:lang w:eastAsia="zh-CN"/>
        </w:rPr>
        <w:t>相关技术</w:t>
      </w:r>
      <w:r>
        <w:rPr>
          <w:rFonts w:ascii="宋体" w:eastAsia="宋体" w:cs="宋体" w:hAnsi="宋体" w:hint="eastAsia"/>
          <w:color w:val="auto"/>
          <w:kern w:val="0"/>
          <w:sz w:val="28"/>
          <w:szCs w:val="28"/>
        </w:rPr>
        <w:t>规范</w:t>
      </w:r>
      <w:r>
        <w:rPr>
          <w:rFonts w:ascii="宋体" w:eastAsia="宋体" w:cs="宋体" w:hAnsi="宋体" w:hint="eastAsia"/>
          <w:color w:val="auto"/>
          <w:kern w:val="0"/>
          <w:sz w:val="28"/>
          <w:szCs w:val="28"/>
          <w:lang w:eastAsia="zh-CN"/>
        </w:rPr>
        <w:t>和标准。</w:t>
      </w:r>
    </w:p>
    <w:p>
      <w:pPr>
        <w:pStyle w:val="17"/>
        <w:widowControl/>
        <w:autoSpaceDE w:val="0"/>
        <w:autoSpaceDN w:val="0"/>
        <w:spacing w:before="4" w:line="420" w:lineRule="auto"/>
        <w:ind w:left="118" w:right="351" w:firstLineChars="200" w:firstLine="560"/>
        <w:jc w:val="left"/>
        <w:rPr>
          <w:rFonts w:ascii="宋体" w:eastAsia="宋体" w:cs="宋体" w:hAnsi="宋体"/>
          <w:color w:val="auto"/>
          <w:sz w:val="30"/>
          <w:szCs w:val="30"/>
        </w:rPr>
      </w:pPr>
      <w:r>
        <w:rPr>
          <w:rFonts w:hint="eastAsia"/>
          <w:b/>
          <w:bCs/>
          <w:color w:val="auto"/>
          <w:sz w:val="28"/>
          <w:szCs w:val="28"/>
          <w:lang w:val="en-US" w:eastAsia="zh-CN"/>
        </w:rPr>
        <w:t>1.5.4 相关规划</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《广西壮族自治区国民经济和社会发展第十四个五年规划和2035年远景目标纲要》；</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《钦州市国民经济和社会发展第十四个五年规划和2035年远景目标纲要》；</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《钦北区国民经济和社会发展第十四个五年规划和2035 年远景目标纲要》；</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《钦州市国土空间总体规划（2021-2035年）》；</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《广西</w:t>
      </w:r>
      <w:r>
        <w:rPr>
          <w:rFonts w:ascii="宋体" w:eastAsia="宋体" w:cs="宋体" w:hAnsi="宋体" w:hint="eastAsia"/>
          <w:color w:val="auto"/>
          <w:kern w:val="0"/>
          <w:sz w:val="28"/>
          <w:szCs w:val="28"/>
          <w:lang w:val="en-US" w:eastAsia="zh-CN"/>
        </w:rPr>
        <w:t>2018年风电开发建设方案</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hint="eastAsia"/>
          <w:color w:val="auto"/>
          <w:lang w:eastAsia="zh-CN"/>
        </w:rPr>
      </w:pPr>
      <w:r>
        <w:rPr>
          <w:rFonts w:ascii="宋体" w:eastAsia="宋体" w:cs="宋体" w:hAnsi="宋体" w:hint="eastAsia"/>
          <w:color w:val="auto"/>
          <w:kern w:val="0"/>
          <w:sz w:val="28"/>
          <w:szCs w:val="28"/>
        </w:rPr>
        <w:t>《广西陆上风电场建设规划修编》</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hint="eastAsia"/>
          <w:color w:val="auto"/>
          <w:lang w:eastAsia="zh-CN"/>
        </w:rPr>
      </w:pPr>
      <w:r>
        <w:rPr>
          <w:rFonts w:ascii="宋体" w:eastAsia="宋体" w:cs="宋体" w:hAnsi="宋体" w:hint="eastAsia"/>
          <w:color w:val="auto"/>
          <w:kern w:val="0"/>
          <w:sz w:val="28"/>
          <w:szCs w:val="28"/>
          <w:lang w:eastAsia="zh-CN"/>
        </w:rPr>
        <w:t>《广西陆上风电中长期发展规划》(桂发改新能〔202</w:t>
      </w: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lang w:eastAsia="zh-CN"/>
        </w:rPr>
        <w:t>〕 816 号）；</w:t>
      </w:r>
    </w:p>
    <w:p>
      <w:pPr>
        <w:ind w:left="0" w:firstLineChars="200" w:firstLine="560"/>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其他</w:t>
      </w:r>
      <w:r>
        <w:rPr>
          <w:rFonts w:ascii="宋体" w:eastAsia="宋体" w:cs="宋体" w:hAnsi="宋体" w:hint="eastAsia"/>
          <w:color w:val="auto"/>
          <w:kern w:val="0"/>
          <w:sz w:val="28"/>
          <w:szCs w:val="28"/>
          <w:lang w:eastAsia="zh-CN"/>
        </w:rPr>
        <w:t>相关专项规划和城镇规划。</w:t>
      </w:r>
    </w:p>
    <w:p>
      <w:pPr>
        <w:pStyle w:val="1"/>
        <w:numPr>
          <w:ilvl w:val="0"/>
          <w:numId w:val="0"/>
        </w:numPr>
        <w:spacing w:before="260" w:line="360" w:lineRule="auto"/>
        <w:ind w:left="420"/>
        <w:rPr>
          <w:rFonts w:ascii="宋体" w:eastAsia="宋体" w:cs="宋体" w:hAnsi="宋体"/>
          <w:bCs/>
          <w:color w:val="auto"/>
          <w:sz w:val="32"/>
          <w:szCs w:val="32"/>
        </w:rPr>
      </w:pPr>
      <w:bookmarkStart w:id="21" w:name="_Toc9311"/>
      <w:r>
        <w:rPr>
          <w:rFonts w:ascii="宋体" w:eastAsia="宋体" w:cs="宋体" w:hAnsi="宋体" w:hint="eastAsia"/>
          <w:bCs/>
          <w:color w:val="auto"/>
          <w:sz w:val="32"/>
          <w:szCs w:val="32"/>
          <w:lang w:val="en-US" w:eastAsia="zh-CN"/>
        </w:rPr>
        <w:t>1.6</w:t>
      </w:r>
      <w:r>
        <w:rPr>
          <w:rFonts w:ascii="宋体" w:eastAsia="宋体" w:cs="宋体" w:hAnsi="宋体" w:hint="eastAsia"/>
          <w:bCs/>
          <w:color w:val="auto"/>
          <w:sz w:val="32"/>
          <w:szCs w:val="32"/>
          <w:lang w:eastAsia="zh-CN"/>
        </w:rPr>
        <w:t>项目建设的必要性</w:t>
      </w:r>
      <w:bookmarkEnd w:id="21"/>
    </w:p>
    <w:p>
      <w:pPr>
        <w:rPr>
          <w:color w:val="auto"/>
        </w:rPr>
      </w:pPr>
    </w:p>
    <w:p>
      <w:pPr>
        <w:pStyle w:val="17"/>
        <w:widowControl/>
        <w:autoSpaceDE w:val="0"/>
        <w:autoSpaceDN w:val="0"/>
        <w:spacing w:before="4" w:line="420" w:lineRule="auto"/>
        <w:ind w:left="118" w:right="351" w:firstLineChars="200" w:firstLine="560"/>
        <w:jc w:val="left"/>
        <w:rPr>
          <w:rFonts w:ascii="宋体" w:eastAsia="宋体" w:cs="宋体" w:hAnsi="宋体"/>
          <w:color w:val="auto"/>
          <w:sz w:val="30"/>
          <w:szCs w:val="30"/>
        </w:rPr>
      </w:pPr>
      <w:bookmarkStart w:id="22" w:name="_Toc22960"/>
      <w:bookmarkStart w:id="23" w:name="_Toc5027"/>
      <w:bookmarkStart w:id="24" w:name="_Toc18293"/>
      <w:bookmarkStart w:id="25" w:name="_Toc23970"/>
      <w:r>
        <w:rPr>
          <w:rFonts w:hint="eastAsia"/>
          <w:b/>
          <w:bCs/>
          <w:color w:val="auto"/>
          <w:sz w:val="28"/>
          <w:szCs w:val="28"/>
          <w:lang w:val="en-US" w:eastAsia="zh-CN"/>
        </w:rPr>
        <w:t>1.6.1 符合我国能源产业发展战略和方向</w:t>
      </w:r>
      <w:bookmarkEnd w:id="22"/>
      <w:bookmarkEnd w:id="23"/>
      <w:bookmarkEnd w:id="24"/>
      <w:bookmarkEnd w:id="25"/>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随着经济的快速发展，人类正以前所未有的速度消耗着地球上极为有限的化石能源资源。然而，有限的一次能源储量，以及利用一次能源所带来的环境方面的问题，直接影响世界经济的可持续发展和人类的生存环境。为减少对一次能源的依赖，保护人类的生存环境，我国政府已向世界庄严承诺，21 世纪走可持续发展的道路，明确经济的发展不应以牺牲后代生存环境、经济资源为代价，并研究、制定和开始执行经济、社会和资源相互协调的21 世纪可持续发展战略。研究地块建设场址位于广西钦州市钦北区，年上网电量约14569 万kW·h，有利于当地能源消费结构的调整，有利于广西能源发展规划目标的实现。</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p>
    <w:p>
      <w:pPr>
        <w:pStyle w:val="17"/>
        <w:widowControl/>
        <w:autoSpaceDE w:val="0"/>
        <w:autoSpaceDN w:val="0"/>
        <w:spacing w:before="4" w:line="420" w:lineRule="auto"/>
        <w:ind w:left="118" w:right="351" w:firstLineChars="200" w:firstLine="560"/>
        <w:jc w:val="left"/>
        <w:rPr>
          <w:rFonts w:hint="eastAsia"/>
          <w:b/>
          <w:bCs/>
          <w:color w:val="auto"/>
          <w:sz w:val="28"/>
          <w:szCs w:val="28"/>
          <w:lang w:val="en-US" w:eastAsia="zh-CN"/>
        </w:rPr>
      </w:pPr>
      <w:r>
        <w:rPr>
          <w:rFonts w:hint="eastAsia"/>
          <w:b/>
          <w:bCs/>
          <w:color w:val="auto"/>
          <w:sz w:val="28"/>
          <w:szCs w:val="28"/>
          <w:lang w:val="en-US" w:eastAsia="zh-CN"/>
        </w:rPr>
        <w:t>1.6.2 是能源消耗的有益补充</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在一次能源中，广西煤、气、油等资源匮乏，从长远看，广西属能源缺乏省份之一。为了满足广西经济和社会发展对能源的需求，保证能源安全，广西能源长远发展必须实施能源形式多元化战略，推进能源多元清洁发展，转变能源生产和利用方式，优化能源结构，构建清洁能源示范区。深度开发水电，因地制宜发展中小型水电，合理布局抽水蓄能电站。优化发展火电，优先建设“上大压小”煤电、热电联产综合利用等项目，鼓励发展清洁高效、大容量燃煤机组，推进传统能源清洁利用。积极发展生物质能、风能、太阳能、地热能、潮汐能等可再生能源。稳步推进沿海液化天然气利用、非粮乙醇、生物柴油、生物质成型燃料、生物质气化等项目建设，开展分布式能源和太阳能城市试点。因此，用地规划建设是广西能源长期发展战略的需要</w:t>
      </w:r>
      <w:r>
        <w:rPr>
          <w:rFonts w:ascii="宋体" w:eastAsia="宋体" w:cs="宋体" w:hAnsi="宋体" w:hint="eastAsia"/>
          <w:color w:val="auto"/>
          <w:kern w:val="0"/>
          <w:sz w:val="28"/>
          <w:szCs w:val="28"/>
          <w:lang w:eastAsia="zh-CN"/>
        </w:rPr>
        <w:t>。</w:t>
      </w:r>
    </w:p>
    <w:p>
      <w:pPr>
        <w:pStyle w:val="17"/>
        <w:widowControl/>
        <w:autoSpaceDE w:val="0"/>
        <w:autoSpaceDN w:val="0"/>
        <w:spacing w:before="4" w:line="420" w:lineRule="auto"/>
        <w:ind w:left="118" w:right="351" w:firstLineChars="200" w:firstLine="560"/>
        <w:jc w:val="left"/>
        <w:rPr>
          <w:rFonts w:ascii="宋体" w:eastAsia="宋体" w:cs="宋体" w:hAnsi="宋体"/>
          <w:color w:val="auto"/>
          <w:sz w:val="30"/>
          <w:szCs w:val="30"/>
        </w:rPr>
      </w:pPr>
      <w:r>
        <w:rPr>
          <w:rFonts w:hint="eastAsia"/>
          <w:b/>
          <w:bCs/>
          <w:color w:val="auto"/>
          <w:sz w:val="28"/>
          <w:szCs w:val="28"/>
          <w:lang w:val="en-US" w:eastAsia="zh-CN"/>
        </w:rPr>
        <w:t>1.6.3 有利于保护生态环境</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广西能源资源的特点是水力资源丰富，但缺煤少油，而且煤的质量差，含硫量高、灰分大，并且开采困难。截至目前广西水力资源已开发量约占全区经济可开发装机容量的80%，后续可开发容量不大。由于广西煤种质量较差，数量少，利用外省煤必然会增加运营成本，且燃煤机组会给环境带来污染。随着广西水电资源开发尾声的接近，广西电源结构中火电厂的比重逐渐增大，增加风电等清洁能源的比重刻不容缓。</w:t>
      </w:r>
      <w:r>
        <w:rPr>
          <w:rFonts w:ascii="宋体" w:eastAsia="宋体" w:cs="宋体" w:hAnsi="宋体" w:hint="eastAsia"/>
          <w:color w:val="auto"/>
          <w:kern w:val="0"/>
          <w:sz w:val="28"/>
          <w:szCs w:val="28"/>
          <w:lang w:eastAsia="zh-CN"/>
        </w:rPr>
        <w:t>建设风电场充分利用可再生风能发电，既没有燃料的消耗，又没有废水、废气和废渣的排放，</w:t>
      </w:r>
      <w:r>
        <w:rPr>
          <w:rFonts w:ascii="宋体" w:eastAsia="宋体" w:cs="宋体" w:hAnsi="宋体" w:hint="eastAsia"/>
          <w:color w:val="auto"/>
          <w:kern w:val="0"/>
          <w:sz w:val="28"/>
          <w:szCs w:val="28"/>
        </w:rPr>
        <w:t>在减少CO</w:t>
      </w:r>
      <w:r>
        <w:rPr>
          <w:rFonts w:ascii="宋体" w:eastAsia="宋体" w:cs="宋体" w:hAnsi="宋体"/>
          <w:color w:val="auto"/>
          <w:kern w:val="0"/>
          <w:sz w:val="28"/>
          <w:szCs w:val="28"/>
          <w:vertAlign w:val="subscript"/>
        </w:rPr>
        <w:t>2</w:t>
      </w:r>
      <w:r>
        <w:rPr>
          <w:rFonts w:ascii="宋体" w:eastAsia="宋体" w:cs="宋体" w:hAnsi="宋体" w:hint="eastAsia"/>
          <w:color w:val="auto"/>
          <w:kern w:val="0"/>
          <w:sz w:val="28"/>
          <w:szCs w:val="28"/>
        </w:rPr>
        <w:t>等温室气体排放，</w:t>
      </w:r>
      <w:r>
        <w:rPr>
          <w:rFonts w:ascii="宋体" w:eastAsia="宋体" w:cs="宋体" w:hAnsi="宋体"/>
          <w:color w:val="auto"/>
          <w:kern w:val="0"/>
          <w:sz w:val="28"/>
          <w:szCs w:val="28"/>
        </w:rPr>
        <w:t>在</w:t>
      </w:r>
      <w:r>
        <w:rPr>
          <w:rFonts w:ascii="宋体" w:eastAsia="宋体" w:cs="宋体" w:hAnsi="宋体" w:hint="eastAsia"/>
          <w:color w:val="auto"/>
          <w:kern w:val="0"/>
          <w:sz w:val="28"/>
          <w:szCs w:val="28"/>
        </w:rPr>
        <w:t>缓解全球气候变暖方面，风电是有效的举措之一。</w:t>
      </w:r>
      <w:r>
        <w:rPr>
          <w:rFonts w:ascii="宋体" w:eastAsia="宋体" w:cs="宋体" w:hAnsi="宋体" w:hint="eastAsia"/>
          <w:color w:val="auto"/>
          <w:kern w:val="0"/>
          <w:sz w:val="28"/>
          <w:szCs w:val="28"/>
          <w:lang w:eastAsia="zh-CN"/>
        </w:rPr>
        <w:t>在促进当地经济发展的同时，不会破坏原有的生态环境和人居环境，是钦北区解决能源紧缺的最佳电源选择之一。</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p>
    <w:p>
      <w:pPr>
        <w:pStyle w:val="17"/>
        <w:widowControl/>
        <w:autoSpaceDE w:val="0"/>
        <w:autoSpaceDN w:val="0"/>
        <w:spacing w:before="4" w:line="420" w:lineRule="auto"/>
        <w:ind w:left="118" w:right="351" w:firstLineChars="200" w:firstLine="560"/>
        <w:jc w:val="left"/>
        <w:rPr>
          <w:rFonts w:ascii="宋体" w:eastAsia="宋体" w:cs="宋体" w:hAnsi="宋体"/>
          <w:color w:val="auto"/>
          <w:sz w:val="30"/>
          <w:szCs w:val="30"/>
        </w:rPr>
      </w:pPr>
      <w:bookmarkStart w:id="26" w:name="_Toc12902"/>
      <w:bookmarkStart w:id="27" w:name="_Toc15874"/>
      <w:bookmarkStart w:id="28" w:name="_Toc25774"/>
      <w:bookmarkStart w:id="29" w:name="_Toc19449"/>
      <w:r>
        <w:rPr>
          <w:rFonts w:hint="eastAsia"/>
          <w:b/>
          <w:bCs/>
          <w:color w:val="auto"/>
          <w:sz w:val="28"/>
          <w:szCs w:val="28"/>
          <w:lang w:val="en-US" w:eastAsia="zh-CN"/>
        </w:rPr>
        <w:t>1.6.4 风电与水电互补缓解广西电网供需矛盾</w:t>
      </w:r>
      <w:bookmarkEnd w:id="26"/>
      <w:bookmarkEnd w:id="27"/>
      <w:bookmarkEnd w:id="28"/>
      <w:bookmarkEnd w:id="29"/>
    </w:p>
    <w:p>
      <w:pPr>
        <w:ind w:left="0" w:firstLineChars="200" w:firstLine="560"/>
        <w:rPr>
          <w:rFonts w:hint="eastAsia"/>
          <w:color w:val="auto"/>
          <w:lang w:eastAsia="zh-CN"/>
        </w:rPr>
      </w:pPr>
      <w:r>
        <w:rPr>
          <w:rFonts w:ascii="宋体" w:eastAsia="宋体" w:cs="宋体" w:hAnsi="宋体" w:hint="eastAsia"/>
          <w:color w:val="auto"/>
          <w:kern w:val="0"/>
          <w:sz w:val="28"/>
          <w:szCs w:val="28"/>
        </w:rPr>
        <w:t>目前广西的电源结构是水电与火电比重基本相当，风电投产容量小。根据广西各河流的径流特征，枯水期（11 月至次年4 月）各主要水电站的出力比汛期（5 月至10 月）出力要小得多，大部分小水电站枯水期几乎无出力，因此枯水期全区的电力缺口较大。而根据对我区风资源的初步评估结论，从平均风速的季节变化看，秋冬季较大，春夏季较小，本风电场的主要风况亦且有春季较大的特征，这与水电站的出力形成一定互补，填补枯水期的部分电力缺口，缓解电网供需矛盾。随着风电在电力系统中比重的增加，将有利于提高我区能源供应的多样性，为保持我区的经济和社会可持续发展发挥积极作用</w:t>
      </w:r>
      <w:r>
        <w:rPr>
          <w:rFonts w:ascii="宋体" w:eastAsia="宋体" w:cs="宋体" w:hAnsi="宋体" w:hint="eastAsia"/>
          <w:color w:val="auto"/>
          <w:kern w:val="0"/>
          <w:sz w:val="28"/>
          <w:szCs w:val="28"/>
          <w:lang w:eastAsia="zh-CN"/>
        </w:rPr>
        <w:t>。</w:t>
      </w:r>
    </w:p>
    <w:p>
      <w:pPr>
        <w:pStyle w:val="1"/>
        <w:numPr>
          <w:ilvl w:val="0"/>
          <w:numId w:val="0"/>
        </w:numPr>
        <w:spacing w:before="260" w:line="360" w:lineRule="auto"/>
        <w:ind w:left="420"/>
        <w:rPr>
          <w:rFonts w:ascii="宋体" w:eastAsia="宋体" w:cs="宋体" w:hAnsi="宋体"/>
          <w:bCs/>
          <w:color w:val="auto"/>
          <w:sz w:val="32"/>
          <w:szCs w:val="32"/>
        </w:rPr>
      </w:pPr>
      <w:bookmarkStart w:id="30" w:name="_Toc12499"/>
      <w:r>
        <w:rPr>
          <w:rFonts w:ascii="宋体" w:eastAsia="宋体" w:cs="宋体" w:hAnsi="宋体" w:hint="eastAsia"/>
          <w:bCs/>
          <w:color w:val="auto"/>
          <w:sz w:val="32"/>
          <w:szCs w:val="32"/>
          <w:lang w:val="en-US" w:eastAsia="zh-CN"/>
        </w:rPr>
        <w:t>1.7上位</w:t>
      </w:r>
      <w:r>
        <w:rPr>
          <w:rFonts w:ascii="宋体" w:eastAsia="宋体" w:cs="宋体" w:hAnsi="宋体" w:hint="eastAsia"/>
          <w:bCs/>
          <w:color w:val="auto"/>
          <w:sz w:val="32"/>
          <w:szCs w:val="32"/>
          <w:lang w:eastAsia="zh-CN"/>
        </w:rPr>
        <w:t>规划及相关规划情况</w:t>
      </w:r>
      <w:bookmarkEnd w:id="30"/>
    </w:p>
    <w:p>
      <w:pPr>
        <w:rPr>
          <w:color w:val="auto"/>
        </w:rPr>
      </w:pPr>
    </w:p>
    <w:p>
      <w:pPr>
        <w:pStyle w:val="17"/>
        <w:widowControl/>
        <w:autoSpaceDE w:val="0"/>
        <w:autoSpaceDN w:val="0"/>
        <w:spacing w:before="4" w:line="420" w:lineRule="auto"/>
        <w:ind w:left="118" w:right="351" w:firstLineChars="200" w:firstLine="560"/>
        <w:jc w:val="left"/>
        <w:rPr>
          <w:rFonts w:ascii="宋体" w:eastAsia="宋体" w:cs="宋体" w:hAnsi="宋体"/>
          <w:color w:val="auto"/>
          <w:sz w:val="30"/>
          <w:szCs w:val="30"/>
        </w:rPr>
      </w:pPr>
      <w:r>
        <w:rPr>
          <w:rFonts w:hint="eastAsia"/>
          <w:b/>
          <w:bCs/>
          <w:color w:val="auto"/>
          <w:sz w:val="28"/>
          <w:szCs w:val="28"/>
          <w:lang w:val="en-US" w:eastAsia="zh-CN"/>
        </w:rPr>
        <w:t>1.7.1 国土空间规划</w:t>
      </w:r>
    </w:p>
    <w:p>
      <w:pPr>
        <w:ind w:left="0" w:firstLineChars="200" w:firstLine="560"/>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lang w:eastAsia="zh-CN"/>
        </w:rPr>
        <w:t>）钦州市国土空间总体规划（2021-2035年）</w:t>
      </w:r>
    </w:p>
    <w:p>
      <w:pPr>
        <w:ind w:left="0" w:firstLineChars="200" w:firstLine="560"/>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钦州市国土空间总体规划（2021-2035年）于</w:t>
      </w:r>
      <w:r>
        <w:rPr>
          <w:rFonts w:ascii="宋体" w:eastAsia="宋体" w:cs="宋体" w:hAnsi="宋体" w:hint="eastAsia"/>
          <w:color w:val="auto"/>
          <w:kern w:val="0"/>
          <w:sz w:val="28"/>
          <w:szCs w:val="28"/>
          <w:lang w:val="en-US" w:eastAsia="zh-CN"/>
        </w:rPr>
        <w:t>2024年2月</w:t>
      </w:r>
      <w:r>
        <w:rPr>
          <w:rFonts w:ascii="宋体" w:eastAsia="宋体" w:cs="宋体" w:hAnsi="宋体" w:hint="eastAsia"/>
          <w:color w:val="auto"/>
          <w:kern w:val="0"/>
          <w:sz w:val="28"/>
          <w:szCs w:val="28"/>
          <w:lang w:eastAsia="zh-CN"/>
        </w:rPr>
        <w:t>已取得自治区人民政府的批复（桂政函〔2024〕17号）。</w:t>
      </w:r>
      <w:r>
        <w:rPr>
          <w:rFonts w:ascii="宋体" w:eastAsia="宋体" w:cs="宋体" w:hAnsi="宋体" w:hint="eastAsia"/>
          <w:color w:val="auto"/>
          <w:kern w:val="0"/>
          <w:sz w:val="28"/>
          <w:szCs w:val="28"/>
        </w:rPr>
        <w:t>钦北区百浪岭风电场一期项目</w:t>
      </w:r>
      <w:r>
        <w:rPr>
          <w:rFonts w:ascii="宋体" w:eastAsia="宋体" w:cs="宋体" w:hAnsi="宋体" w:hint="eastAsia"/>
          <w:color w:val="auto"/>
          <w:kern w:val="0"/>
          <w:sz w:val="28"/>
          <w:szCs w:val="28"/>
          <w:lang w:eastAsia="zh-CN"/>
        </w:rPr>
        <w:t>已纳入钦州市国土空间总体规划，为风电能源类项目重点安排建设项目之一。用地不涉及占用基本农田、生态保护红线和城镇开发边界，符合规划。</w:t>
      </w:r>
    </w:p>
    <w:p>
      <w:pPr>
        <w:ind w:left="0" w:firstLineChars="200" w:firstLine="560"/>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lang w:eastAsia="zh-CN"/>
        </w:rPr>
        <w:t>）钦北区各镇级国土空间总体规划</w:t>
      </w:r>
    </w:p>
    <w:p>
      <w:pPr>
        <w:ind w:left="0" w:firstLineChars="200" w:firstLine="560"/>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本风电场位于钦北区大寺镇和大直镇交界处区域，项目地块已纳入市国空建设用地。项目用地在城镇开发边界外，不涉及生态保护红线，也不占用永久基本农田。目前，</w:t>
      </w:r>
      <w:r>
        <w:rPr>
          <w:rFonts w:ascii="宋体" w:eastAsia="宋体" w:cs="宋体" w:hAnsi="宋体" w:hint="eastAsia"/>
          <w:color w:val="auto"/>
          <w:kern w:val="0"/>
          <w:sz w:val="28"/>
          <w:szCs w:val="28"/>
        </w:rPr>
        <w:t>钦北区</w:t>
      </w:r>
      <w:r>
        <w:rPr>
          <w:rFonts w:ascii="宋体" w:eastAsia="宋体" w:cs="宋体" w:hAnsi="宋体" w:hint="eastAsia"/>
          <w:color w:val="auto"/>
          <w:kern w:val="0"/>
          <w:sz w:val="28"/>
          <w:szCs w:val="28"/>
          <w:lang w:eastAsia="zh-CN"/>
        </w:rPr>
        <w:t>各镇级的</w:t>
      </w:r>
      <w:r>
        <w:rPr>
          <w:rFonts w:ascii="宋体" w:eastAsia="宋体" w:cs="宋体" w:hAnsi="宋体" w:hint="eastAsia"/>
          <w:color w:val="auto"/>
          <w:kern w:val="0"/>
          <w:sz w:val="28"/>
          <w:szCs w:val="28"/>
        </w:rPr>
        <w:t>国土空间规划</w:t>
      </w:r>
      <w:r>
        <w:rPr>
          <w:rFonts w:ascii="宋体" w:eastAsia="宋体" w:cs="宋体" w:hAnsi="宋体" w:hint="eastAsia"/>
          <w:color w:val="auto"/>
          <w:kern w:val="0"/>
          <w:sz w:val="28"/>
          <w:szCs w:val="28"/>
          <w:lang w:eastAsia="zh-CN"/>
        </w:rPr>
        <w:t>还在编制阶段</w:t>
      </w:r>
      <w:r>
        <w:rPr>
          <w:rFonts w:ascii="宋体" w:eastAsia="宋体" w:cs="宋体" w:hAnsi="宋体" w:hint="eastAsia"/>
          <w:color w:val="auto"/>
          <w:kern w:val="0"/>
          <w:sz w:val="28"/>
          <w:szCs w:val="28"/>
        </w:rPr>
        <w:t>。现阶段还没有控规对该</w:t>
      </w:r>
      <w:r>
        <w:rPr>
          <w:rFonts w:ascii="宋体" w:eastAsia="宋体" w:cs="宋体" w:hAnsi="宋体" w:hint="eastAsia"/>
          <w:color w:val="auto"/>
          <w:kern w:val="0"/>
          <w:sz w:val="28"/>
          <w:szCs w:val="28"/>
          <w:lang w:eastAsia="zh-CN"/>
        </w:rPr>
        <w:t>项目</w:t>
      </w:r>
      <w:r>
        <w:rPr>
          <w:rFonts w:ascii="宋体" w:eastAsia="宋体" w:cs="宋体" w:hAnsi="宋体" w:hint="eastAsia"/>
          <w:color w:val="auto"/>
          <w:kern w:val="0"/>
          <w:sz w:val="28"/>
          <w:szCs w:val="28"/>
        </w:rPr>
        <w:t>地块进行规划落实用地性质、开发强度等，</w:t>
      </w:r>
      <w:r>
        <w:rPr>
          <w:rFonts w:ascii="宋体" w:eastAsia="宋体" w:cs="宋体" w:hAnsi="宋体" w:hint="eastAsia"/>
          <w:color w:val="auto"/>
          <w:kern w:val="0"/>
          <w:sz w:val="28"/>
          <w:szCs w:val="28"/>
          <w:lang w:eastAsia="zh-CN"/>
        </w:rPr>
        <w:t>因此，本次项目</w:t>
      </w:r>
      <w:r>
        <w:rPr>
          <w:rFonts w:ascii="宋体" w:eastAsia="宋体" w:cs="宋体" w:hAnsi="宋体" w:hint="eastAsia"/>
          <w:color w:val="auto"/>
          <w:kern w:val="0"/>
          <w:sz w:val="28"/>
          <w:szCs w:val="28"/>
        </w:rPr>
        <w:t>地块单独编制独立地块控制性详细规划后，后续应将该</w:t>
      </w:r>
      <w:r>
        <w:rPr>
          <w:rFonts w:ascii="宋体" w:eastAsia="宋体" w:cs="宋体" w:hAnsi="宋体" w:hint="eastAsia"/>
          <w:color w:val="auto"/>
          <w:kern w:val="0"/>
          <w:sz w:val="28"/>
          <w:szCs w:val="28"/>
          <w:lang w:eastAsia="zh-CN"/>
        </w:rPr>
        <w:t>项目</w:t>
      </w:r>
      <w:r>
        <w:rPr>
          <w:rFonts w:ascii="宋体" w:eastAsia="宋体" w:cs="宋体" w:hAnsi="宋体" w:hint="eastAsia"/>
          <w:color w:val="auto"/>
          <w:kern w:val="0"/>
          <w:sz w:val="28"/>
          <w:szCs w:val="28"/>
        </w:rPr>
        <w:t>地块落实至乡镇国空</w:t>
      </w:r>
      <w:r>
        <w:rPr>
          <w:rFonts w:ascii="宋体" w:eastAsia="宋体" w:cs="宋体" w:hAnsi="宋体" w:hint="eastAsia"/>
          <w:color w:val="auto"/>
          <w:kern w:val="0"/>
          <w:sz w:val="28"/>
          <w:szCs w:val="28"/>
          <w:lang w:eastAsia="zh-CN"/>
        </w:rPr>
        <w:t>。</w:t>
      </w:r>
    </w:p>
    <w:p>
      <w:pPr>
        <w:ind w:left="0" w:firstLineChars="200" w:firstLine="560"/>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3</w:t>
      </w:r>
      <w:r>
        <w:rPr>
          <w:rFonts w:ascii="宋体" w:eastAsia="宋体" w:cs="宋体" w:hAnsi="宋体" w:hint="eastAsia"/>
          <w:color w:val="auto"/>
          <w:kern w:val="0"/>
          <w:sz w:val="28"/>
          <w:szCs w:val="28"/>
          <w:lang w:eastAsia="zh-CN"/>
        </w:rPr>
        <w:t>）村庄规划</w:t>
      </w:r>
    </w:p>
    <w:p>
      <w:pPr>
        <w:ind w:left="0" w:firstLineChars="200" w:firstLine="560"/>
        <w:rPr>
          <w:rFonts w:hint="eastAsia"/>
          <w:color w:val="auto"/>
        </w:rPr>
      </w:pPr>
      <w:r>
        <w:rPr>
          <w:rFonts w:ascii="宋体" w:eastAsia="宋体" w:cs="宋体" w:hAnsi="宋体" w:hint="eastAsia"/>
          <w:color w:val="auto"/>
          <w:kern w:val="0"/>
          <w:sz w:val="28"/>
          <w:szCs w:val="28"/>
          <w:lang w:eastAsia="zh-CN"/>
        </w:rPr>
        <w:t>本项目共规划</w:t>
      </w:r>
      <w:r>
        <w:rPr>
          <w:rFonts w:ascii="宋体" w:eastAsia="宋体" w:cs="宋体" w:hAnsi="宋体" w:hint="eastAsia"/>
          <w:color w:val="auto"/>
          <w:kern w:val="0"/>
          <w:sz w:val="28"/>
          <w:szCs w:val="28"/>
          <w:lang w:val="en-US" w:eastAsia="zh-CN"/>
        </w:rPr>
        <w:t>18个独立</w:t>
      </w:r>
      <w:r>
        <w:rPr>
          <w:rFonts w:ascii="宋体" w:eastAsia="宋体" w:cs="宋体" w:hAnsi="宋体" w:hint="eastAsia"/>
          <w:color w:val="auto"/>
          <w:kern w:val="0"/>
          <w:sz w:val="28"/>
          <w:szCs w:val="28"/>
          <w:lang w:eastAsia="zh-CN"/>
        </w:rPr>
        <w:t>地块，分别位于钦北区大寺镇四联村、屯强村、广琅村、新晓村，大直镇富雄村、彭久村村庄范围内。目前项目用地所在的大寺镇四联村和大直镇彭久村村庄规划处于报批阶段，根据已编的村庄规划，本项目规划空间布局与村庄建设空间分布及功能没有冲突，各独立地块均不涉及所在村庄的建设用地边界和村庄居民点，不涉及生态保护红线，不占用永久基本农田。其余未编或在编的村庄规划，待本项目规划用地报批后，应与对应的村庄规划衔接。</w:t>
      </w:r>
    </w:p>
    <w:p>
      <w:pPr>
        <w:pStyle w:val="17"/>
        <w:widowControl/>
        <w:autoSpaceDE w:val="0"/>
        <w:autoSpaceDN w:val="0"/>
        <w:spacing w:before="4" w:line="420" w:lineRule="auto"/>
        <w:ind w:left="118" w:right="351" w:firstLineChars="200" w:firstLine="560"/>
        <w:jc w:val="left"/>
        <w:rPr>
          <w:rFonts w:ascii="宋体" w:eastAsia="宋体" w:cs="宋体" w:hAnsi="宋体"/>
          <w:color w:val="auto"/>
          <w:sz w:val="30"/>
          <w:szCs w:val="30"/>
        </w:rPr>
      </w:pPr>
      <w:r>
        <w:rPr>
          <w:rFonts w:hint="eastAsia"/>
          <w:b/>
          <w:bCs/>
          <w:color w:val="auto"/>
          <w:sz w:val="28"/>
          <w:szCs w:val="28"/>
          <w:lang w:val="en-US" w:eastAsia="zh-CN"/>
        </w:rPr>
        <w:t>1.7.2 广西陆上风电场相关规划</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钦州市区域内海拔相对较高的山脊及丘陵地带风能资源条件</w:t>
      </w:r>
      <w:r>
        <w:rPr>
          <w:rFonts w:ascii="宋体" w:eastAsia="宋体" w:cs="宋体" w:hAnsi="宋体" w:hint="eastAsia"/>
          <w:color w:val="auto"/>
          <w:kern w:val="0"/>
          <w:sz w:val="28"/>
          <w:szCs w:val="28"/>
          <w:lang w:eastAsia="zh-CN"/>
        </w:rPr>
        <w:t>良</w:t>
      </w:r>
      <w:r>
        <w:rPr>
          <w:rFonts w:ascii="宋体" w:eastAsia="宋体" w:cs="宋体" w:hAnsi="宋体" w:hint="eastAsia"/>
          <w:color w:val="auto"/>
          <w:kern w:val="0"/>
          <w:sz w:val="28"/>
          <w:szCs w:val="28"/>
        </w:rPr>
        <w:t>好，</w:t>
      </w:r>
      <w:r>
        <w:rPr>
          <w:rFonts w:ascii="宋体" w:eastAsia="宋体" w:cs="宋体" w:hAnsi="宋体" w:hint="eastAsia"/>
          <w:color w:val="auto"/>
          <w:kern w:val="0"/>
          <w:sz w:val="28"/>
          <w:szCs w:val="28"/>
          <w:lang w:eastAsia="zh-CN"/>
        </w:rPr>
        <w:t>具有较好的开发价值。根据全国风能资源普查结果，钦北区属于风能较丰富区。参照《风电场风能资源评估方法》风功率密度等级标准，初步判断本风电场测风塔区域风功率密度等级属3 级标准，风能资源条件较好。本风电场风能方向集中，有利于风机布置。根据2017 年版本《广西陆上风电场建设规划修编》，百浪岭风电场为规划场址之一。广西壮族自治区能源局关于印发广西201</w:t>
      </w:r>
      <w:r>
        <w:rPr>
          <w:rFonts w:ascii="宋体" w:eastAsia="宋体" w:cs="宋体" w:hAnsi="宋体" w:hint="eastAsia"/>
          <w:color w:val="auto"/>
          <w:kern w:val="0"/>
          <w:sz w:val="28"/>
          <w:szCs w:val="28"/>
          <w:lang w:val="en-US" w:eastAsia="zh-CN"/>
        </w:rPr>
        <w:t>8</w:t>
      </w:r>
      <w:r>
        <w:rPr>
          <w:rFonts w:ascii="宋体" w:eastAsia="宋体" w:cs="宋体" w:hAnsi="宋体" w:hint="eastAsia"/>
          <w:color w:val="auto"/>
          <w:kern w:val="0"/>
          <w:sz w:val="28"/>
          <w:szCs w:val="28"/>
          <w:lang w:eastAsia="zh-CN"/>
        </w:rPr>
        <w:t xml:space="preserve"> 年风电开发建设方案的通知（桂能新能〔201</w:t>
      </w:r>
      <w:r>
        <w:rPr>
          <w:rFonts w:ascii="宋体" w:eastAsia="宋体" w:cs="宋体" w:hAnsi="宋体" w:hint="eastAsia"/>
          <w:color w:val="auto"/>
          <w:kern w:val="0"/>
          <w:sz w:val="28"/>
          <w:szCs w:val="28"/>
          <w:lang w:val="en-US" w:eastAsia="zh-CN"/>
        </w:rPr>
        <w:t>8</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5</w:t>
      </w:r>
      <w:r>
        <w:rPr>
          <w:rFonts w:ascii="宋体" w:eastAsia="宋体" w:cs="宋体" w:hAnsi="宋体" w:hint="eastAsia"/>
          <w:color w:val="auto"/>
          <w:kern w:val="0"/>
          <w:sz w:val="28"/>
          <w:szCs w:val="28"/>
          <w:lang w:eastAsia="zh-CN"/>
        </w:rPr>
        <w:t>号）已把钦北区百浪岭风电场一期</w:t>
      </w:r>
      <w:r>
        <w:rPr>
          <w:rFonts w:ascii="宋体" w:eastAsia="宋体" w:cs="宋体" w:hAnsi="宋体" w:hint="eastAsia"/>
          <w:color w:val="auto"/>
          <w:kern w:val="0"/>
          <w:sz w:val="28"/>
          <w:szCs w:val="28"/>
        </w:rPr>
        <w:t>工程项目</w:t>
      </w:r>
      <w:r>
        <w:rPr>
          <w:rFonts w:ascii="宋体" w:eastAsia="宋体" w:cs="宋体" w:hAnsi="宋体" w:hint="eastAsia"/>
          <w:color w:val="auto"/>
          <w:kern w:val="0"/>
          <w:sz w:val="28"/>
          <w:szCs w:val="28"/>
          <w:lang w:eastAsia="zh-CN"/>
        </w:rPr>
        <w:t>列入其中，规划装机容量</w:t>
      </w:r>
      <w:r>
        <w:rPr>
          <w:rFonts w:ascii="宋体" w:eastAsia="宋体" w:cs="宋体" w:hAnsi="宋体" w:hint="eastAsia"/>
          <w:color w:val="auto"/>
          <w:kern w:val="0"/>
          <w:sz w:val="28"/>
          <w:szCs w:val="28"/>
          <w:lang w:val="en-US" w:eastAsia="zh-CN"/>
        </w:rPr>
        <w:t>50MW。并将该项目纳入</w:t>
      </w:r>
      <w:r>
        <w:rPr>
          <w:rFonts w:cs="宋体" w:hint="eastAsia"/>
          <w:color w:val="auto"/>
          <w:kern w:val="0"/>
          <w:sz w:val="28"/>
          <w:szCs w:val="28"/>
          <w:lang w:eastAsia="zh-CN"/>
        </w:rPr>
        <w:t>钦州市人民政府办公室关于印发的钦州市2023年重大项目建设实施方案的通知</w:t>
      </w:r>
      <w:r>
        <w:rPr>
          <w:rFonts w:ascii="宋体" w:eastAsia="宋体" w:cs="宋体" w:hAnsi="宋体" w:hint="eastAsia"/>
          <w:color w:val="auto"/>
          <w:kern w:val="0"/>
          <w:sz w:val="28"/>
          <w:szCs w:val="28"/>
          <w:lang w:eastAsia="zh-CN"/>
        </w:rPr>
        <w:t>（</w:t>
      </w:r>
      <w:r>
        <w:rPr>
          <w:rFonts w:cs="宋体" w:hint="eastAsia"/>
          <w:color w:val="auto"/>
          <w:kern w:val="0"/>
          <w:sz w:val="28"/>
          <w:szCs w:val="28"/>
          <w:lang w:eastAsia="zh-CN"/>
        </w:rPr>
        <w:t>钦政办</w:t>
      </w:r>
      <w:r>
        <w:rPr>
          <w:rFonts w:ascii="宋体" w:eastAsia="宋体" w:cs="宋体" w:hAnsi="宋体" w:hint="eastAsia"/>
          <w:color w:val="auto"/>
          <w:kern w:val="0"/>
          <w:sz w:val="28"/>
          <w:szCs w:val="28"/>
          <w:lang w:eastAsia="zh-CN"/>
        </w:rPr>
        <w:t>〔20</w:t>
      </w:r>
      <w:r>
        <w:rPr>
          <w:rFonts w:cs="宋体" w:hint="eastAsia"/>
          <w:color w:val="auto"/>
          <w:kern w:val="0"/>
          <w:sz w:val="28"/>
          <w:szCs w:val="28"/>
          <w:lang w:val="en-US" w:eastAsia="zh-CN"/>
        </w:rPr>
        <w:t>23</w:t>
      </w:r>
      <w:r>
        <w:rPr>
          <w:rFonts w:ascii="宋体" w:eastAsia="宋体" w:cs="宋体" w:hAnsi="宋体" w:hint="eastAsia"/>
          <w:color w:val="auto"/>
          <w:kern w:val="0"/>
          <w:sz w:val="28"/>
          <w:szCs w:val="28"/>
          <w:lang w:eastAsia="zh-CN"/>
        </w:rPr>
        <w:t>〕</w:t>
      </w:r>
      <w:r>
        <w:rPr>
          <w:rFonts w:cs="宋体" w:hint="eastAsia"/>
          <w:color w:val="auto"/>
          <w:kern w:val="0"/>
          <w:sz w:val="28"/>
          <w:szCs w:val="28"/>
          <w:lang w:val="en-US" w:eastAsia="zh-CN"/>
        </w:rPr>
        <w:t>10</w:t>
      </w:r>
      <w:r>
        <w:rPr>
          <w:rFonts w:ascii="宋体" w:eastAsia="宋体" w:cs="宋体" w:hAnsi="宋体" w:hint="eastAsia"/>
          <w:color w:val="auto"/>
          <w:kern w:val="0"/>
          <w:sz w:val="28"/>
          <w:szCs w:val="28"/>
          <w:lang w:eastAsia="zh-CN"/>
        </w:rPr>
        <w:t>号）进行分期建设。为了</w:t>
      </w:r>
      <w:r>
        <w:rPr>
          <w:rFonts w:ascii="宋体" w:eastAsia="宋体" w:cs="宋体" w:hAnsi="宋体" w:hint="eastAsia"/>
          <w:color w:val="auto"/>
          <w:kern w:val="0"/>
          <w:sz w:val="28"/>
          <w:szCs w:val="28"/>
        </w:rPr>
        <w:t>加快自治区风能资源的开发</w:t>
      </w:r>
      <w:r>
        <w:rPr>
          <w:rFonts w:ascii="宋体" w:eastAsia="宋体" w:cs="宋体" w:hAnsi="宋体" w:hint="eastAsia"/>
          <w:color w:val="auto"/>
          <w:kern w:val="0"/>
          <w:sz w:val="28"/>
          <w:szCs w:val="28"/>
          <w:lang w:eastAsia="zh-CN"/>
        </w:rPr>
        <w:t>，高效地促进钦州市的风电事业发展，编制钦北区百浪岭风电场一期</w:t>
      </w:r>
      <w:r>
        <w:rPr>
          <w:rFonts w:ascii="宋体" w:eastAsia="宋体" w:cs="宋体" w:hAnsi="宋体" w:hint="eastAsia"/>
          <w:color w:val="auto"/>
          <w:kern w:val="0"/>
          <w:sz w:val="28"/>
          <w:szCs w:val="28"/>
        </w:rPr>
        <w:t>项目</w:t>
      </w:r>
      <w:r>
        <w:rPr>
          <w:rFonts w:ascii="宋体" w:eastAsia="宋体" w:cs="宋体" w:hAnsi="宋体" w:hint="eastAsia"/>
          <w:color w:val="auto"/>
          <w:kern w:val="0"/>
          <w:sz w:val="28"/>
          <w:szCs w:val="28"/>
          <w:lang w:eastAsia="zh-CN"/>
        </w:rPr>
        <w:t>独立地块控制性详细规划是十分必要的</w:t>
      </w:r>
      <w:r>
        <w:rPr>
          <w:rFonts w:ascii="宋体" w:eastAsia="宋体" w:cs="宋体" w:hAnsi="宋体" w:hint="eastAsia"/>
          <w:color w:val="auto"/>
          <w:kern w:val="0"/>
          <w:sz w:val="28"/>
          <w:szCs w:val="28"/>
        </w:rPr>
        <w:t>。</w:t>
      </w:r>
    </w:p>
    <w:p>
      <w:pPr>
        <w:pStyle w:val="1"/>
        <w:numPr>
          <w:ilvl w:val="0"/>
          <w:numId w:val="0"/>
        </w:numPr>
        <w:spacing w:before="260" w:line="360" w:lineRule="auto"/>
        <w:ind w:left="420"/>
        <w:jc w:val="center"/>
        <w:rPr>
          <w:rFonts w:ascii="宋体" w:eastAsia="宋体" w:cs="宋体" w:hAnsi="宋体"/>
          <w:bCs/>
          <w:color w:val="auto"/>
          <w:sz w:val="32"/>
          <w:szCs w:val="32"/>
        </w:rPr>
      </w:pPr>
      <w:bookmarkStart w:id="31" w:name="_Toc17889"/>
      <w:r>
        <w:rPr>
          <w:rFonts w:ascii="宋体" w:eastAsia="宋体" w:cs="宋体" w:hAnsi="宋体" w:hint="eastAsia"/>
          <w:bCs/>
          <w:color w:val="auto"/>
          <w:sz w:val="32"/>
          <w:szCs w:val="32"/>
          <w:lang w:eastAsia="zh-CN"/>
        </w:rPr>
        <w:t>第二章</w:t>
      </w:r>
      <w:r>
        <w:rPr>
          <w:rFonts w:ascii="宋体" w:eastAsia="宋体" w:cs="宋体" w:hAnsi="宋体" w:hint="eastAsia"/>
          <w:bCs/>
          <w:color w:val="auto"/>
          <w:sz w:val="32"/>
          <w:szCs w:val="32"/>
          <w:lang w:val="en-US" w:eastAsia="zh-CN"/>
        </w:rPr>
        <w:t xml:space="preserve"> </w:t>
      </w:r>
      <w:r>
        <w:rPr>
          <w:rFonts w:ascii="宋体" w:eastAsia="宋体" w:cs="宋体" w:hAnsi="宋体" w:hint="eastAsia"/>
          <w:bCs/>
          <w:color w:val="auto"/>
          <w:sz w:val="32"/>
          <w:szCs w:val="32"/>
          <w:lang w:eastAsia="zh-CN"/>
        </w:rPr>
        <w:t>现状</w:t>
      </w:r>
      <w:r>
        <w:rPr>
          <w:rFonts w:ascii="宋体" w:eastAsia="宋体" w:cs="宋体" w:hAnsi="宋体" w:hint="eastAsia"/>
          <w:bCs/>
          <w:color w:val="auto"/>
          <w:sz w:val="32"/>
          <w:szCs w:val="32"/>
        </w:rPr>
        <w:t>概况</w:t>
      </w:r>
      <w:bookmarkEnd w:id="6"/>
      <w:bookmarkEnd w:id="7"/>
      <w:bookmarkEnd w:id="8"/>
      <w:bookmarkEnd w:id="31"/>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32" w:name="_Toc12110"/>
      <w:bookmarkStart w:id="33" w:name="_Toc238"/>
      <w:bookmarkStart w:id="34" w:name="_Toc1465"/>
      <w:bookmarkStart w:id="35" w:name="_Toc29987"/>
      <w:r>
        <w:rPr>
          <w:rFonts w:ascii="宋体" w:eastAsia="宋体" w:cs="宋体" w:hAnsi="宋体" w:hint="eastAsia"/>
          <w:bCs/>
          <w:color w:val="auto"/>
          <w:sz w:val="32"/>
          <w:szCs w:val="32"/>
          <w:lang w:val="en-US" w:eastAsia="zh-CN"/>
        </w:rPr>
        <w:t>2.1</w:t>
      </w:r>
      <w:bookmarkEnd w:id="32"/>
      <w:bookmarkEnd w:id="33"/>
      <w:bookmarkEnd w:id="34"/>
      <w:r>
        <w:rPr>
          <w:rFonts w:ascii="宋体" w:eastAsia="宋体" w:cs="宋体" w:hAnsi="宋体" w:hint="eastAsia"/>
          <w:bCs/>
          <w:color w:val="auto"/>
          <w:sz w:val="32"/>
          <w:szCs w:val="32"/>
          <w:lang w:val="en-US" w:eastAsia="zh-CN"/>
        </w:rPr>
        <w:t>区位情况</w:t>
      </w:r>
      <w:bookmarkEnd w:id="35"/>
    </w:p>
    <w:p>
      <w:pPr>
        <w:ind w:left="0" w:firstLineChars="200" w:firstLine="560"/>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钦北区百浪岭风电场一期项目规划建设的</w:t>
      </w:r>
      <w:r>
        <w:rPr>
          <w:rFonts w:ascii="宋体" w:eastAsia="宋体" w:cs="宋体" w:hAnsi="宋体" w:hint="eastAsia"/>
          <w:color w:val="auto"/>
          <w:kern w:val="0"/>
          <w:sz w:val="28"/>
          <w:szCs w:val="28"/>
          <w:lang w:val="en-US" w:eastAsia="zh-CN"/>
        </w:rPr>
        <w:t>17组</w:t>
      </w:r>
      <w:r>
        <w:rPr>
          <w:rFonts w:ascii="宋体" w:eastAsia="宋体" w:cs="宋体" w:hAnsi="宋体" w:hint="eastAsia"/>
          <w:color w:val="auto"/>
          <w:kern w:val="0"/>
          <w:sz w:val="28"/>
          <w:szCs w:val="28"/>
          <w:lang w:eastAsia="zh-CN"/>
        </w:rPr>
        <w:t>风电机组地块零星分布于钦州市钦北区大寺镇、大直镇交界处一带的山脊或山包区域，其中升压站位于风电场内中部，</w:t>
      </w:r>
      <w:r>
        <w:rPr>
          <w:rFonts w:ascii="宋体" w:eastAsia="宋体" w:cs="宋体" w:hAnsi="宋体" w:hint="eastAsia"/>
          <w:color w:val="auto"/>
          <w:kern w:val="0"/>
          <w:sz w:val="28"/>
          <w:szCs w:val="28"/>
        </w:rPr>
        <w:t>是整个风电场的控制中心</w:t>
      </w:r>
      <w:r>
        <w:rPr>
          <w:rFonts w:ascii="宋体" w:eastAsia="宋体" w:cs="宋体" w:hAnsi="宋体" w:hint="eastAsia"/>
          <w:color w:val="auto"/>
          <w:kern w:val="0"/>
          <w:sz w:val="28"/>
          <w:szCs w:val="28"/>
          <w:lang w:eastAsia="zh-CN"/>
        </w:rPr>
        <w:t>。</w:t>
      </w:r>
    </w:p>
    <w:p>
      <w:pPr>
        <w:pStyle w:val="17"/>
        <w:spacing w:line="420" w:lineRule="auto"/>
        <w:ind w:firstLine="479"/>
        <w:rPr>
          <w:rFonts w:hint="eastAsia"/>
          <w:color w:val="auto"/>
          <w:kern w:val="0"/>
          <w:sz w:val="28"/>
          <w:szCs w:val="28"/>
          <w:lang w:val="en-US" w:eastAsia="zh-CN"/>
        </w:rPr>
      </w:pPr>
      <w:r>
        <w:rPr>
          <w:rFonts w:hint="eastAsia"/>
          <w:color w:val="auto"/>
          <w:kern w:val="0"/>
          <w:sz w:val="28"/>
          <w:szCs w:val="28"/>
          <w:lang w:val="en-US" w:eastAsia="zh-CN"/>
        </w:rPr>
        <w:t>本项目规划用地</w:t>
      </w:r>
      <w:r>
        <w:rPr>
          <w:rFonts w:ascii="宋体" w:eastAsia="宋体" w:cs="宋体" w:hAnsi="宋体" w:hint="eastAsia"/>
          <w:color w:val="auto"/>
          <w:kern w:val="0"/>
          <w:sz w:val="28"/>
          <w:szCs w:val="28"/>
          <w:lang w:eastAsia="zh-CN"/>
        </w:rPr>
        <w:t>场址涉及</w:t>
      </w:r>
      <w:r>
        <w:rPr>
          <w:rFonts w:cs="宋体" w:hint="eastAsia"/>
          <w:color w:val="auto"/>
          <w:kern w:val="0"/>
          <w:sz w:val="28"/>
          <w:szCs w:val="28"/>
          <w:lang w:eastAsia="zh-CN"/>
        </w:rPr>
        <w:t>的区域</w:t>
      </w:r>
      <w:r>
        <w:rPr>
          <w:rFonts w:ascii="宋体" w:eastAsia="宋体" w:cs="宋体" w:hAnsi="宋体" w:hint="eastAsia"/>
          <w:color w:val="auto"/>
          <w:kern w:val="0"/>
          <w:sz w:val="28"/>
          <w:szCs w:val="28"/>
          <w:lang w:eastAsia="zh-CN"/>
        </w:rPr>
        <w:t>范围</w:t>
      </w:r>
      <w:r>
        <w:rPr>
          <w:rFonts w:cs="宋体" w:hint="eastAsia"/>
          <w:color w:val="auto"/>
          <w:kern w:val="0"/>
          <w:sz w:val="28"/>
          <w:szCs w:val="28"/>
          <w:lang w:eastAsia="zh-CN"/>
        </w:rPr>
        <w:t>：</w:t>
      </w:r>
      <w:r>
        <w:rPr>
          <w:rFonts w:ascii="宋体" w:eastAsia="宋体" w:cs="宋体" w:hAnsi="宋体" w:hint="eastAsia"/>
          <w:color w:val="auto"/>
          <w:kern w:val="0"/>
          <w:sz w:val="28"/>
          <w:szCs w:val="28"/>
        </w:rPr>
        <w:t>东西</w:t>
      </w:r>
      <w:r>
        <w:rPr>
          <w:rFonts w:ascii="宋体" w:eastAsia="宋体" w:cs="宋体" w:hAnsi="宋体" w:hint="eastAsia"/>
          <w:color w:val="auto"/>
          <w:kern w:val="0"/>
          <w:sz w:val="28"/>
          <w:szCs w:val="28"/>
          <w:lang w:eastAsia="zh-CN"/>
        </w:rPr>
        <w:t>跨度</w:t>
      </w:r>
      <w:r>
        <w:rPr>
          <w:rFonts w:ascii="宋体" w:eastAsia="宋体" w:cs="宋体" w:hAnsi="宋体" w:hint="eastAsia"/>
          <w:color w:val="auto"/>
          <w:kern w:val="0"/>
          <w:sz w:val="28"/>
          <w:szCs w:val="28"/>
        </w:rPr>
        <w:t>约</w:t>
      </w:r>
      <w:r>
        <w:rPr>
          <w:rFonts w:ascii="宋体" w:eastAsia="宋体" w:cs="宋体" w:hAnsi="宋体" w:hint="eastAsia"/>
          <w:color w:val="auto"/>
          <w:kern w:val="0"/>
          <w:sz w:val="28"/>
          <w:szCs w:val="28"/>
          <w:lang w:val="en-US" w:eastAsia="zh-CN"/>
        </w:rPr>
        <w:t>5.5</w:t>
      </w:r>
      <w:r>
        <w:rPr>
          <w:rFonts w:ascii="宋体" w:eastAsia="宋体" w:cs="宋体" w:hAnsi="宋体" w:hint="eastAsia"/>
          <w:color w:val="auto"/>
          <w:kern w:val="0"/>
          <w:sz w:val="28"/>
          <w:szCs w:val="28"/>
        </w:rPr>
        <w:t>km</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南北</w:t>
      </w:r>
      <w:r>
        <w:rPr>
          <w:rFonts w:ascii="宋体" w:eastAsia="宋体" w:cs="宋体" w:hAnsi="宋体" w:hint="eastAsia"/>
          <w:color w:val="auto"/>
          <w:kern w:val="0"/>
          <w:sz w:val="28"/>
          <w:szCs w:val="28"/>
          <w:lang w:eastAsia="zh-CN"/>
        </w:rPr>
        <w:t>跨度</w:t>
      </w:r>
      <w:r>
        <w:rPr>
          <w:rFonts w:ascii="宋体" w:eastAsia="宋体" w:cs="宋体" w:hAnsi="宋体" w:hint="eastAsia"/>
          <w:color w:val="auto"/>
          <w:kern w:val="0"/>
          <w:sz w:val="28"/>
          <w:szCs w:val="28"/>
        </w:rPr>
        <w:t>约</w:t>
      </w:r>
      <w:r>
        <w:rPr>
          <w:rFonts w:ascii="宋体" w:eastAsia="宋体" w:cs="宋体" w:hAnsi="宋体" w:hint="eastAsia"/>
          <w:color w:val="auto"/>
          <w:kern w:val="0"/>
          <w:sz w:val="28"/>
          <w:szCs w:val="28"/>
          <w:lang w:val="en-US" w:eastAsia="zh-CN"/>
        </w:rPr>
        <w:t>6</w:t>
      </w:r>
      <w:r>
        <w:rPr>
          <w:rFonts w:ascii="宋体" w:eastAsia="宋体" w:cs="宋体" w:hAnsi="宋体" w:hint="eastAsia"/>
          <w:color w:val="auto"/>
          <w:kern w:val="0"/>
          <w:sz w:val="28"/>
          <w:szCs w:val="28"/>
        </w:rPr>
        <w:t>km</w:t>
      </w:r>
      <w:r>
        <w:rPr>
          <w:rFonts w:ascii="宋体" w:eastAsia="宋体" w:cs="宋体" w:hAnsi="宋体" w:hint="eastAsia"/>
          <w:color w:val="auto"/>
          <w:kern w:val="0"/>
          <w:sz w:val="28"/>
          <w:szCs w:val="28"/>
          <w:lang w:eastAsia="zh-CN"/>
        </w:rPr>
        <w:t>。</w:t>
      </w:r>
      <w:r>
        <w:rPr>
          <w:rFonts w:hint="eastAsia"/>
          <w:color w:val="auto"/>
          <w:kern w:val="0"/>
          <w:sz w:val="28"/>
          <w:szCs w:val="28"/>
          <w:lang w:val="en-US"/>
        </w:rPr>
        <w:t>项目区距</w:t>
      </w:r>
      <w:r>
        <w:rPr>
          <w:rFonts w:hint="eastAsia"/>
          <w:color w:val="auto"/>
          <w:kern w:val="0"/>
          <w:sz w:val="28"/>
          <w:szCs w:val="28"/>
          <w:lang w:val="en-US" w:eastAsia="zh-CN"/>
        </w:rPr>
        <w:t>S51</w:t>
      </w:r>
      <w:r>
        <w:rPr>
          <w:rFonts w:hint="eastAsia"/>
          <w:color w:val="auto"/>
          <w:kern w:val="0"/>
          <w:sz w:val="28"/>
          <w:szCs w:val="28"/>
          <w:lang w:val="en-US"/>
        </w:rPr>
        <w:t>5</w:t>
      </w:r>
      <w:r>
        <w:rPr>
          <w:rFonts w:hint="eastAsia"/>
          <w:color w:val="auto"/>
          <w:kern w:val="0"/>
          <w:sz w:val="28"/>
          <w:szCs w:val="28"/>
          <w:lang w:val="en-US" w:eastAsia="zh-CN"/>
        </w:rPr>
        <w:t>省</w:t>
      </w:r>
      <w:r>
        <w:rPr>
          <w:rFonts w:hint="eastAsia"/>
          <w:color w:val="auto"/>
          <w:kern w:val="0"/>
          <w:sz w:val="28"/>
          <w:szCs w:val="28"/>
          <w:lang w:val="en-US"/>
        </w:rPr>
        <w:t>道约</w:t>
      </w:r>
      <w:r>
        <w:rPr>
          <w:rFonts w:hint="eastAsia"/>
          <w:color w:val="auto"/>
          <w:kern w:val="0"/>
          <w:sz w:val="28"/>
          <w:szCs w:val="28"/>
          <w:lang w:val="en-US" w:eastAsia="zh-CN"/>
        </w:rPr>
        <w:t>1.5公里</w:t>
      </w:r>
      <w:r>
        <w:rPr>
          <w:rFonts w:hint="eastAsia"/>
          <w:color w:val="auto"/>
          <w:kern w:val="0"/>
          <w:sz w:val="28"/>
          <w:szCs w:val="28"/>
          <w:lang w:val="en-US"/>
        </w:rPr>
        <w:t>，</w:t>
      </w:r>
      <w:r>
        <w:rPr>
          <w:rFonts w:hint="eastAsia"/>
          <w:color w:val="auto"/>
          <w:kern w:val="0"/>
          <w:sz w:val="28"/>
          <w:szCs w:val="28"/>
          <w:lang w:val="en-US" w:eastAsia="zh-CN"/>
        </w:rPr>
        <w:t>场区中心</w:t>
      </w:r>
      <w:r>
        <w:rPr>
          <w:rFonts w:hint="eastAsia"/>
          <w:color w:val="auto"/>
          <w:kern w:val="0"/>
          <w:sz w:val="28"/>
          <w:szCs w:val="28"/>
          <w:lang w:val="en-US"/>
        </w:rPr>
        <w:t>距离大</w:t>
      </w:r>
      <w:r>
        <w:rPr>
          <w:rFonts w:hint="eastAsia"/>
          <w:color w:val="auto"/>
          <w:kern w:val="0"/>
          <w:sz w:val="28"/>
          <w:szCs w:val="28"/>
          <w:lang w:val="en-US" w:eastAsia="zh-CN"/>
        </w:rPr>
        <w:t>寺</w:t>
      </w:r>
      <w:r>
        <w:rPr>
          <w:rFonts w:hint="eastAsia"/>
          <w:color w:val="auto"/>
          <w:kern w:val="0"/>
          <w:sz w:val="28"/>
          <w:szCs w:val="28"/>
          <w:lang w:val="en-US"/>
        </w:rPr>
        <w:t>镇</w:t>
      </w:r>
      <w:r>
        <w:rPr>
          <w:rFonts w:hint="eastAsia"/>
          <w:color w:val="auto"/>
          <w:kern w:val="0"/>
          <w:sz w:val="28"/>
          <w:szCs w:val="28"/>
          <w:lang w:val="en-US" w:eastAsia="zh-CN"/>
        </w:rPr>
        <w:t>直线距离</w:t>
      </w:r>
      <w:r>
        <w:rPr>
          <w:rFonts w:hint="eastAsia"/>
          <w:color w:val="auto"/>
          <w:kern w:val="0"/>
          <w:sz w:val="28"/>
          <w:szCs w:val="28"/>
          <w:lang w:val="en-US"/>
        </w:rPr>
        <w:t>约</w:t>
      </w:r>
      <w:r>
        <w:rPr>
          <w:rFonts w:hint="eastAsia"/>
          <w:color w:val="auto"/>
          <w:kern w:val="0"/>
          <w:sz w:val="28"/>
          <w:szCs w:val="28"/>
          <w:lang w:val="en-US" w:eastAsia="zh-CN"/>
        </w:rPr>
        <w:t>7</w:t>
      </w:r>
      <w:r>
        <w:rPr>
          <w:rFonts w:hint="eastAsia"/>
          <w:color w:val="auto"/>
          <w:kern w:val="0"/>
          <w:sz w:val="28"/>
          <w:szCs w:val="28"/>
          <w:lang w:val="en-US"/>
        </w:rPr>
        <w:t xml:space="preserve"> 公里，距</w:t>
      </w:r>
      <w:r>
        <w:rPr>
          <w:rFonts w:hint="eastAsia"/>
          <w:color w:val="auto"/>
          <w:kern w:val="0"/>
          <w:sz w:val="28"/>
          <w:szCs w:val="28"/>
          <w:lang w:val="en-US" w:eastAsia="zh-CN"/>
        </w:rPr>
        <w:t>大直</w:t>
      </w:r>
      <w:r>
        <w:rPr>
          <w:rFonts w:hint="eastAsia"/>
          <w:color w:val="auto"/>
          <w:kern w:val="0"/>
          <w:sz w:val="28"/>
          <w:szCs w:val="28"/>
          <w:lang w:val="en-US"/>
        </w:rPr>
        <w:t>镇</w:t>
      </w:r>
      <w:r>
        <w:rPr>
          <w:rFonts w:hint="eastAsia"/>
          <w:color w:val="auto"/>
          <w:kern w:val="0"/>
          <w:sz w:val="28"/>
          <w:szCs w:val="28"/>
          <w:lang w:val="en-US" w:eastAsia="zh-CN"/>
        </w:rPr>
        <w:t>直线距离</w:t>
      </w:r>
      <w:r>
        <w:rPr>
          <w:rFonts w:hint="eastAsia"/>
          <w:color w:val="auto"/>
          <w:kern w:val="0"/>
          <w:sz w:val="28"/>
          <w:szCs w:val="28"/>
          <w:lang w:val="en-US"/>
        </w:rPr>
        <w:t>约</w:t>
      </w:r>
      <w:r>
        <w:rPr>
          <w:rFonts w:hint="eastAsia"/>
          <w:color w:val="auto"/>
          <w:kern w:val="0"/>
          <w:sz w:val="28"/>
          <w:szCs w:val="28"/>
          <w:lang w:val="en-US" w:eastAsia="zh-CN"/>
        </w:rPr>
        <w:t>8</w:t>
      </w:r>
      <w:r>
        <w:rPr>
          <w:rFonts w:hint="eastAsia"/>
          <w:color w:val="auto"/>
          <w:kern w:val="0"/>
          <w:sz w:val="28"/>
          <w:szCs w:val="28"/>
          <w:lang w:val="en-US"/>
        </w:rPr>
        <w:t>公里</w:t>
      </w:r>
      <w:r>
        <w:rPr>
          <w:rFonts w:hint="eastAsia"/>
          <w:color w:val="auto"/>
          <w:kern w:val="0"/>
          <w:sz w:val="28"/>
          <w:szCs w:val="28"/>
          <w:lang w:val="en-US" w:eastAsia="zh-CN"/>
        </w:rPr>
        <w:t>，至钦州市公路里程约39km，</w:t>
      </w:r>
      <w:r>
        <w:rPr>
          <w:rFonts w:hint="eastAsia"/>
          <w:color w:val="auto"/>
          <w:kern w:val="0"/>
          <w:sz w:val="28"/>
          <w:szCs w:val="28"/>
          <w:lang w:val="en-US"/>
        </w:rPr>
        <w:t>地块区位</w:t>
      </w:r>
      <w:r>
        <w:rPr>
          <w:rFonts w:hint="eastAsia"/>
          <w:color w:val="auto"/>
          <w:kern w:val="0"/>
          <w:sz w:val="28"/>
          <w:szCs w:val="28"/>
          <w:lang w:val="en-US" w:eastAsia="zh-CN"/>
        </w:rPr>
        <w:t>和</w:t>
      </w:r>
      <w:r>
        <w:rPr>
          <w:rFonts w:hint="eastAsia"/>
          <w:color w:val="auto"/>
          <w:kern w:val="0"/>
          <w:sz w:val="28"/>
          <w:szCs w:val="28"/>
          <w:lang w:val="en-US"/>
        </w:rPr>
        <w:t>交通条件较好</w:t>
      </w:r>
      <w:r>
        <w:rPr>
          <w:rFonts w:hint="eastAsia"/>
          <w:color w:val="auto"/>
          <w:kern w:val="0"/>
          <w:sz w:val="28"/>
          <w:szCs w:val="28"/>
          <w:lang w:val="en-US" w:eastAsia="zh-CN"/>
        </w:rPr>
        <w:t>。</w:t>
      </w:r>
    </w:p>
    <w:p>
      <w:pPr>
        <w:pStyle w:val="17"/>
        <w:spacing w:line="420" w:lineRule="auto"/>
        <w:ind w:firstLine="0"/>
        <w:jc w:val="both"/>
        <w:rPr>
          <w:rFonts w:ascii="宋体" w:eastAsia="宋体" w:cs="宋体" w:hAnsi="宋体" w:hint="eastAsia"/>
          <w:color w:val="auto"/>
          <w:kern w:val="0"/>
          <w:sz w:val="24"/>
          <w:lang w:eastAsia="zh-CN"/>
        </w:rPr>
      </w:pPr>
      <w:r>
        <w:rPr>
          <w:rFonts w:ascii="宋体" w:eastAsia="宋体" w:cs="宋体" w:hAnsi="宋体" w:hint="eastAsia"/>
          <w:color w:val="auto"/>
          <w:kern w:val="0"/>
          <w:sz w:val="24"/>
          <w:lang w:eastAsia="zh-CN"/>
        </w:rPr>
        <w:drawing>
          <wp:inline distT="0" distB="0" distL="114300" distR="114300">
            <wp:extent cx="5728970" cy="6156960"/>
            <wp:effectExtent l="0" t="0" r="40" b="1"/>
            <wp:docPr id="16" name="图片 1" descr="百浪岭区位"/>
            <wp:cNvGraphicFramePr>
              <a:graphicFrameLocks noChangeAspect="1"/>
            </wp:cNvGraphicFramePr>
            <a:graphic>
              <a:graphicData uri="http://schemas.openxmlformats.org/drawingml/2006/picture">
                <pic:pic>
                  <pic:nvPicPr>
                    <pic:cNvPr id="18" name="图片 1 18"/>
                    <pic:cNvPicPr/>
                  </pic:nvPicPr>
                  <pic:blipFill>
                    <a:blip r:embed="rId8"/>
                    <a:stretch>
                      <a:fillRect/>
                    </a:stretch>
                  </pic:blipFill>
                  <pic:spPr>
                    <a:xfrm rot="0">
                      <a:off x="0" y="0"/>
                      <a:ext cx="5728970" cy="6156960"/>
                    </a:xfrm>
                    <a:prstGeom prst="rect"/>
                    <a:noFill/>
                    <a:ln w="9525" cmpd="sng" cap="flat">
                      <a:noFill/>
                      <a:prstDash val="solid"/>
                      <a:miter/>
                    </a:ln>
                  </pic:spPr>
                </pic:pic>
              </a:graphicData>
            </a:graphic>
          </wp:inline>
        </w:drawing>
      </w:r>
    </w:p>
    <w:p>
      <w:pPr>
        <w:pStyle w:val="17"/>
        <w:autoSpaceDE w:val="0"/>
        <w:autoSpaceDN w:val="0"/>
        <w:spacing w:before="4" w:line="360" w:lineRule="auto"/>
        <w:ind w:right="351"/>
        <w:jc w:val="center"/>
        <w:rPr>
          <w:rFonts w:hint="eastAsia"/>
          <w:b/>
          <w:bCs/>
          <w:color w:val="auto"/>
          <w:lang w:val="en-US" w:eastAsia="zh-CN"/>
        </w:rPr>
      </w:pPr>
      <w:r>
        <w:rPr>
          <w:rFonts w:hint="eastAsia"/>
          <w:b/>
          <w:bCs/>
          <w:color w:val="auto"/>
          <w:lang w:val="en-US" w:eastAsia="zh-CN"/>
        </w:rPr>
        <w:t>本项目与钦北区各镇村的</w:t>
      </w:r>
      <w:r>
        <w:rPr>
          <w:rFonts w:hint="eastAsia"/>
          <w:b/>
          <w:bCs/>
          <w:color w:val="auto"/>
          <w:lang w:val="en-US"/>
        </w:rPr>
        <w:t>区位</w:t>
      </w:r>
      <w:r>
        <w:rPr>
          <w:rFonts w:hint="eastAsia"/>
          <w:b/>
          <w:bCs/>
          <w:color w:val="auto"/>
          <w:lang w:val="en-US" w:eastAsia="zh-CN"/>
        </w:rPr>
        <w:t>关系</w:t>
      </w:r>
    </w:p>
    <w:p>
      <w:pPr>
        <w:rPr>
          <w:rFonts w:hint="eastAsia"/>
          <w:lang w:val="en-US"/>
        </w:rPr>
      </w:pP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36" w:name="_Toc775"/>
      <w:r>
        <w:rPr>
          <w:rFonts w:ascii="宋体" w:eastAsia="宋体" w:cs="宋体" w:hAnsi="宋体" w:hint="eastAsia"/>
          <w:bCs/>
          <w:color w:val="auto"/>
          <w:sz w:val="32"/>
          <w:szCs w:val="32"/>
          <w:lang w:val="en-US" w:eastAsia="zh-CN"/>
        </w:rPr>
        <w:t>2.2现状概况</w:t>
      </w:r>
      <w:bookmarkEnd w:id="36"/>
    </w:p>
    <w:p>
      <w:pPr>
        <w:pStyle w:val="17"/>
        <w:spacing w:line="420" w:lineRule="auto"/>
        <w:ind w:firstLineChars="200" w:firstLine="560"/>
        <w:rPr>
          <w:color w:val="auto"/>
          <w:kern w:val="0"/>
          <w:sz w:val="28"/>
          <w:szCs w:val="28"/>
          <w:lang w:val="en-US"/>
        </w:rPr>
      </w:pPr>
      <w:r>
        <w:rPr>
          <w:rFonts w:hint="eastAsia"/>
          <w:b/>
          <w:bCs/>
          <w:color w:val="auto"/>
          <w:sz w:val="28"/>
          <w:szCs w:val="28"/>
          <w:lang w:val="en-US"/>
        </w:rPr>
        <w:t>2</w:t>
      </w:r>
      <w:r>
        <w:rPr>
          <w:rFonts w:hint="eastAsia"/>
          <w:b/>
          <w:bCs/>
          <w:color w:val="auto"/>
          <w:sz w:val="28"/>
          <w:szCs w:val="28"/>
        </w:rPr>
        <w:t>.</w:t>
      </w:r>
      <w:r>
        <w:rPr>
          <w:rFonts w:hint="eastAsia"/>
          <w:b/>
          <w:bCs/>
          <w:color w:val="auto"/>
          <w:sz w:val="28"/>
          <w:szCs w:val="28"/>
          <w:lang w:val="en-US" w:eastAsia="zh-CN"/>
        </w:rPr>
        <w:t>2.1</w:t>
      </w:r>
      <w:r>
        <w:rPr>
          <w:rFonts w:hint="eastAsia"/>
          <w:b/>
          <w:bCs/>
          <w:color w:val="auto"/>
          <w:sz w:val="28"/>
          <w:szCs w:val="28"/>
          <w:lang w:eastAsia="zh-CN"/>
        </w:rPr>
        <w:t>地形</w:t>
      </w:r>
      <w:r>
        <w:rPr>
          <w:rFonts w:hint="eastAsia"/>
          <w:b/>
          <w:bCs/>
          <w:color w:val="auto"/>
          <w:sz w:val="28"/>
          <w:szCs w:val="28"/>
          <w:lang w:val="en-US"/>
        </w:rPr>
        <w:t>地貌</w:t>
      </w:r>
    </w:p>
    <w:p>
      <w:pPr>
        <w:pStyle w:val="17"/>
        <w:spacing w:line="420" w:lineRule="auto"/>
        <w:ind w:firstLine="479"/>
        <w:rPr>
          <w:rFonts w:hint="eastAsia"/>
          <w:color w:val="auto"/>
          <w:kern w:val="0"/>
          <w:sz w:val="28"/>
          <w:szCs w:val="28"/>
          <w:lang w:val="en-US"/>
        </w:rPr>
      </w:pPr>
      <w:r>
        <w:rPr>
          <w:rFonts w:hint="eastAsia"/>
          <w:color w:val="auto"/>
          <w:kern w:val="0"/>
          <w:sz w:val="28"/>
          <w:szCs w:val="28"/>
          <w:lang w:val="en-US"/>
        </w:rPr>
        <w:t xml:space="preserve">钦州市位于南华准地台的南端，地质构造复杂，地层发育较全，出露地层以下古生界志留系最为发育；岩浆岩以酸性侵入岩为主，主要有花岗岩和流纹岩；褶皱、断裂构造发育，并具明显的分带性，存在发生中等以上地震的条件。 </w:t>
      </w:r>
    </w:p>
    <w:p>
      <w:pPr>
        <w:pStyle w:val="17"/>
        <w:spacing w:line="420" w:lineRule="auto"/>
        <w:ind w:firstLine="479"/>
        <w:rPr>
          <w:rFonts w:hint="eastAsia"/>
          <w:color w:val="auto"/>
          <w:kern w:val="0"/>
          <w:sz w:val="28"/>
          <w:szCs w:val="28"/>
          <w:lang w:val="en-US"/>
        </w:rPr>
      </w:pPr>
      <w:r>
        <w:rPr>
          <w:rFonts w:hint="eastAsia"/>
          <w:color w:val="auto"/>
          <w:kern w:val="0"/>
          <w:sz w:val="28"/>
          <w:szCs w:val="28"/>
          <w:lang w:val="en-US"/>
        </w:rPr>
        <w:t>钦州市全境地势为西北及东北部高，自北向南倾斜，南部地势显著下降。钦州市山地(海拔500m以上)10.08km</w:t>
      </w:r>
      <w:r>
        <w:rPr>
          <w:rFonts w:hint="eastAsia"/>
          <w:color w:val="auto"/>
          <w:kern w:val="0"/>
          <w:sz w:val="28"/>
          <w:szCs w:val="28"/>
          <w:vertAlign w:val="superscript"/>
          <w:lang w:val="en-US"/>
        </w:rPr>
        <w:t>2</w:t>
      </w:r>
      <w:r>
        <w:rPr>
          <w:rFonts w:hint="eastAsia"/>
          <w:color w:val="auto"/>
          <w:kern w:val="0"/>
          <w:sz w:val="28"/>
          <w:szCs w:val="28"/>
          <w:lang w:val="en-US"/>
        </w:rPr>
        <w:t>，占0.22%；中高丘陵(海拔100~500m) 686.83km</w:t>
      </w:r>
      <w:r>
        <w:rPr>
          <w:rFonts w:hint="eastAsia"/>
          <w:color w:val="auto"/>
          <w:kern w:val="0"/>
          <w:sz w:val="28"/>
          <w:szCs w:val="28"/>
          <w:vertAlign w:val="superscript"/>
          <w:lang w:val="en-US"/>
        </w:rPr>
        <w:t>2</w:t>
      </w:r>
      <w:r>
        <w:rPr>
          <w:rFonts w:hint="eastAsia"/>
          <w:color w:val="auto"/>
          <w:kern w:val="0"/>
          <w:sz w:val="28"/>
          <w:szCs w:val="28"/>
          <w:lang w:val="en-US"/>
        </w:rPr>
        <w:t>，占14.75%；低丘(100m以下)2835.52km</w:t>
      </w:r>
      <w:r>
        <w:rPr>
          <w:rFonts w:hint="eastAsia"/>
          <w:color w:val="auto"/>
          <w:kern w:val="0"/>
          <w:sz w:val="28"/>
          <w:szCs w:val="28"/>
          <w:vertAlign w:val="superscript"/>
          <w:lang w:val="en-US"/>
        </w:rPr>
        <w:t>2</w:t>
      </w:r>
      <w:r>
        <w:rPr>
          <w:rFonts w:hint="eastAsia"/>
          <w:color w:val="auto"/>
          <w:kern w:val="0"/>
          <w:sz w:val="28"/>
          <w:szCs w:val="28"/>
          <w:lang w:val="en-US"/>
        </w:rPr>
        <w:t>，占60.89%；台地、阶地441.99km</w:t>
      </w:r>
      <w:r>
        <w:rPr>
          <w:rFonts w:hint="eastAsia"/>
          <w:color w:val="auto"/>
          <w:kern w:val="0"/>
          <w:sz w:val="28"/>
          <w:szCs w:val="28"/>
          <w:vertAlign w:val="superscript"/>
          <w:lang w:val="en-US"/>
        </w:rPr>
        <w:t>2</w:t>
      </w:r>
      <w:r>
        <w:rPr>
          <w:rFonts w:hint="eastAsia"/>
          <w:color w:val="auto"/>
          <w:kern w:val="0"/>
          <w:sz w:val="28"/>
          <w:szCs w:val="28"/>
          <w:lang w:val="en-US"/>
        </w:rPr>
        <w:t>，占9.49%；平原(0~10m)473.3km</w:t>
      </w:r>
      <w:r>
        <w:rPr>
          <w:rFonts w:hint="eastAsia"/>
          <w:color w:val="auto"/>
          <w:kern w:val="0"/>
          <w:sz w:val="28"/>
          <w:szCs w:val="28"/>
          <w:vertAlign w:val="superscript"/>
          <w:lang w:val="en-US"/>
        </w:rPr>
        <w:t>2</w:t>
      </w:r>
      <w:r>
        <w:rPr>
          <w:rFonts w:hint="eastAsia"/>
          <w:color w:val="auto"/>
          <w:kern w:val="0"/>
          <w:sz w:val="28"/>
          <w:szCs w:val="28"/>
          <w:lang w:val="en-US"/>
        </w:rPr>
        <w:t>，占10.16%；水域(河流、水库等) 108.53km</w:t>
      </w:r>
      <w:r>
        <w:rPr>
          <w:rFonts w:hint="eastAsia"/>
          <w:color w:val="auto"/>
          <w:kern w:val="0"/>
          <w:sz w:val="28"/>
          <w:szCs w:val="28"/>
          <w:vertAlign w:val="superscript"/>
          <w:lang w:val="en-US"/>
        </w:rPr>
        <w:t>2</w:t>
      </w:r>
      <w:r>
        <w:rPr>
          <w:rFonts w:hint="eastAsia"/>
          <w:color w:val="auto"/>
          <w:kern w:val="0"/>
          <w:sz w:val="28"/>
          <w:szCs w:val="28"/>
          <w:lang w:val="en-US"/>
        </w:rPr>
        <w:t>，占2.33%；其他100.78km</w:t>
      </w:r>
      <w:r>
        <w:rPr>
          <w:rFonts w:hint="eastAsia"/>
          <w:color w:val="auto"/>
          <w:kern w:val="0"/>
          <w:sz w:val="28"/>
          <w:szCs w:val="28"/>
          <w:vertAlign w:val="superscript"/>
          <w:lang w:val="en-US"/>
        </w:rPr>
        <w:t>2</w:t>
      </w:r>
      <w:r>
        <w:rPr>
          <w:rFonts w:hint="eastAsia"/>
          <w:color w:val="auto"/>
          <w:kern w:val="0"/>
          <w:sz w:val="28"/>
          <w:szCs w:val="28"/>
          <w:lang w:val="en-US"/>
        </w:rPr>
        <w:t xml:space="preserve">，占2.16%。 </w:t>
      </w:r>
    </w:p>
    <w:p>
      <w:pPr>
        <w:pStyle w:val="17"/>
        <w:spacing w:line="420" w:lineRule="auto"/>
        <w:ind w:firstLine="479"/>
        <w:rPr>
          <w:color w:val="auto"/>
          <w:lang w:val="en-US"/>
        </w:rPr>
      </w:pPr>
      <w:r>
        <w:rPr>
          <w:rFonts w:hint="eastAsia"/>
          <w:color w:val="auto"/>
          <w:kern w:val="0"/>
          <w:sz w:val="28"/>
          <w:szCs w:val="28"/>
          <w:lang w:val="en-US"/>
        </w:rPr>
        <w:t>百浪岭风电场位于广西壮族自治区钦州市钦北区</w:t>
      </w:r>
      <w:r>
        <w:rPr>
          <w:rFonts w:hint="eastAsia"/>
          <w:color w:val="auto"/>
          <w:kern w:val="0"/>
          <w:sz w:val="28"/>
          <w:szCs w:val="28"/>
          <w:lang w:val="en-US" w:eastAsia="zh-CN"/>
        </w:rPr>
        <w:t>西</w:t>
      </w:r>
      <w:r>
        <w:rPr>
          <w:rFonts w:hint="eastAsia"/>
          <w:color w:val="auto"/>
          <w:kern w:val="0"/>
          <w:sz w:val="28"/>
          <w:szCs w:val="28"/>
          <w:lang w:val="en-US"/>
        </w:rPr>
        <w:t>部</w:t>
      </w:r>
      <w:r>
        <w:rPr>
          <w:rFonts w:hint="eastAsia"/>
          <w:color w:val="auto"/>
          <w:kern w:val="0"/>
          <w:sz w:val="28"/>
          <w:szCs w:val="28"/>
          <w:lang w:val="en-US" w:eastAsia="zh-CN"/>
        </w:rPr>
        <w:t>，一期项目</w:t>
      </w:r>
      <w:r>
        <w:rPr>
          <w:color w:val="auto"/>
          <w:kern w:val="0"/>
          <w:sz w:val="28"/>
          <w:szCs w:val="28"/>
          <w:lang w:val="en-US"/>
        </w:rPr>
        <w:t>位于</w:t>
      </w:r>
      <w:r>
        <w:rPr>
          <w:rFonts w:hint="eastAsia"/>
          <w:color w:val="auto"/>
          <w:kern w:val="0"/>
          <w:sz w:val="28"/>
          <w:szCs w:val="28"/>
          <w:lang w:val="en-US" w:eastAsia="zh-CN"/>
        </w:rPr>
        <w:t>大寺</w:t>
      </w:r>
      <w:r>
        <w:rPr>
          <w:color w:val="auto"/>
          <w:kern w:val="0"/>
          <w:sz w:val="28"/>
          <w:szCs w:val="28"/>
          <w:lang w:val="en-US"/>
        </w:rPr>
        <w:t>镇与</w:t>
      </w:r>
      <w:r>
        <w:rPr>
          <w:rFonts w:hint="eastAsia"/>
          <w:color w:val="auto"/>
          <w:kern w:val="0"/>
          <w:sz w:val="28"/>
          <w:szCs w:val="28"/>
          <w:lang w:val="en-US" w:eastAsia="zh-CN"/>
        </w:rPr>
        <w:t>大直</w:t>
      </w:r>
      <w:r>
        <w:rPr>
          <w:color w:val="auto"/>
          <w:kern w:val="0"/>
          <w:sz w:val="28"/>
          <w:szCs w:val="28"/>
          <w:lang w:val="en-US"/>
        </w:rPr>
        <w:t>镇交界一带的山脊或山包区域</w:t>
      </w:r>
      <w:r>
        <w:rPr>
          <w:rFonts w:hint="eastAsia"/>
          <w:color w:val="auto"/>
          <w:kern w:val="0"/>
          <w:sz w:val="28"/>
          <w:szCs w:val="28"/>
          <w:lang w:val="en-US"/>
        </w:rPr>
        <w:t>。地貌类型属丘陵地区，山顶(脊)呈近东西向展布。山坡地形坡度一般为10°～25°，局部可达35°～50°。山脊顶部或台地地面高程为100m～400m，谷底高程10m～80m，相对高差最高可达数百米。坡顶主要为浅层杂草及灌木丛与乔木林，半山腰及山坡为灌木丛与乔木林，植被覆盖率较高。坡脚主要为耕地、水田及村庄。</w:t>
      </w:r>
    </w:p>
    <w:p>
      <w:pPr>
        <w:pStyle w:val="17"/>
        <w:spacing w:line="420" w:lineRule="auto"/>
        <w:ind w:firstLineChars="200" w:firstLine="560"/>
        <w:rPr>
          <w:color w:val="auto"/>
          <w:kern w:val="0"/>
          <w:sz w:val="28"/>
          <w:szCs w:val="28"/>
          <w:lang w:val="en-US"/>
        </w:rPr>
      </w:pPr>
      <w:r>
        <w:rPr>
          <w:rFonts w:hint="eastAsia"/>
          <w:b/>
          <w:bCs/>
          <w:color w:val="auto"/>
          <w:sz w:val="28"/>
          <w:szCs w:val="28"/>
          <w:lang w:val="en-US" w:eastAsia="zh-CN"/>
        </w:rPr>
        <w:t>2.2.2</w:t>
      </w:r>
      <w:r>
        <w:rPr>
          <w:rFonts w:hint="eastAsia"/>
          <w:b/>
          <w:bCs/>
          <w:color w:val="auto"/>
          <w:sz w:val="28"/>
          <w:szCs w:val="28"/>
          <w:lang w:val="en-US"/>
        </w:rPr>
        <w:t>气候</w:t>
      </w:r>
    </w:p>
    <w:p>
      <w:pPr>
        <w:pStyle w:val="17"/>
        <w:spacing w:line="420" w:lineRule="auto"/>
        <w:ind w:firstLine="479"/>
        <w:rPr>
          <w:color w:val="auto"/>
          <w:kern w:val="0"/>
          <w:sz w:val="28"/>
          <w:szCs w:val="28"/>
          <w:lang w:val="en-US"/>
        </w:rPr>
      </w:pPr>
      <w:r>
        <w:rPr>
          <w:rFonts w:hint="eastAsia"/>
          <w:color w:val="auto"/>
          <w:kern w:val="0"/>
          <w:sz w:val="28"/>
          <w:szCs w:val="28"/>
          <w:lang w:val="en-US"/>
        </w:rPr>
        <w:t>钦州市钦北区位于广西南部沿海、钦州市区西北部，属海洋性的热带季风气候，年平均温度22摄氏度，年平均日照1801小时，无霜期345天，年降雨量2000多毫米。气候温和，热量丰富，日照充足，雨量充沛。</w:t>
      </w:r>
    </w:p>
    <w:p>
      <w:pPr>
        <w:pStyle w:val="17"/>
        <w:spacing w:line="420" w:lineRule="auto"/>
        <w:ind w:firstLineChars="200" w:firstLine="560"/>
        <w:rPr>
          <w:color w:val="auto"/>
          <w:kern w:val="0"/>
          <w:sz w:val="28"/>
          <w:szCs w:val="28"/>
          <w:lang w:val="en-US"/>
        </w:rPr>
      </w:pPr>
      <w:r>
        <w:rPr>
          <w:rFonts w:hint="eastAsia"/>
          <w:b/>
          <w:bCs/>
          <w:color w:val="auto"/>
          <w:sz w:val="28"/>
          <w:szCs w:val="28"/>
          <w:lang w:val="en-US" w:eastAsia="zh-CN"/>
        </w:rPr>
        <w:t>2.2.3</w:t>
      </w:r>
      <w:r>
        <w:rPr>
          <w:rFonts w:hint="eastAsia"/>
          <w:b/>
          <w:bCs/>
          <w:color w:val="auto"/>
          <w:sz w:val="28"/>
          <w:szCs w:val="28"/>
        </w:rPr>
        <w:t>地质</w:t>
      </w:r>
    </w:p>
    <w:p>
      <w:pPr>
        <w:pStyle w:val="17"/>
        <w:spacing w:line="420" w:lineRule="auto"/>
        <w:ind w:firstLine="479"/>
        <w:rPr>
          <w:rFonts w:hint="eastAsia"/>
          <w:color w:val="auto"/>
          <w:kern w:val="0"/>
          <w:sz w:val="28"/>
          <w:szCs w:val="28"/>
          <w:lang w:val="en-US"/>
        </w:rPr>
      </w:pPr>
      <w:r>
        <w:rPr>
          <w:rFonts w:hint="eastAsia"/>
          <w:color w:val="auto"/>
          <w:kern w:val="0"/>
          <w:sz w:val="28"/>
          <w:szCs w:val="28"/>
          <w:lang w:val="en-US"/>
        </w:rPr>
        <w:t>依据《中国地震动参数区划图》(GB18306-2015)，拟建工程区在Ⅱ类条件下基本地震动峰值加速度为0.</w:t>
      </w:r>
      <w:r>
        <w:rPr>
          <w:rFonts w:hint="eastAsia"/>
          <w:color w:val="auto"/>
          <w:kern w:val="0"/>
          <w:sz w:val="28"/>
          <w:szCs w:val="28"/>
          <w:lang w:val="en-US" w:eastAsia="zh-CN"/>
        </w:rPr>
        <w:t>1</w:t>
      </w:r>
      <w:r>
        <w:rPr>
          <w:rFonts w:hint="eastAsia"/>
          <w:color w:val="auto"/>
          <w:kern w:val="0"/>
          <w:sz w:val="28"/>
          <w:szCs w:val="28"/>
          <w:lang w:val="en-US"/>
        </w:rPr>
        <w:t>g，地震动反应谱特征周期为0.35s，对应的地震基本烈度为</w:t>
      </w:r>
      <w:r>
        <w:rPr>
          <w:rFonts w:ascii="宋体" w:eastAsia="宋体" w:cs="宋体" w:hAnsi="宋体" w:hint="eastAsia"/>
          <w:color w:val="auto"/>
          <w:kern w:val="0"/>
          <w:sz w:val="28"/>
          <w:szCs w:val="28"/>
        </w:rPr>
        <w:t>Ⅶ</w:t>
      </w:r>
      <w:r>
        <w:rPr>
          <w:rFonts w:hint="eastAsia"/>
          <w:color w:val="auto"/>
          <w:kern w:val="0"/>
          <w:sz w:val="28"/>
          <w:szCs w:val="28"/>
          <w:lang w:val="en-US"/>
        </w:rPr>
        <w:t xml:space="preserve">度。工程内及其周边无区域性活动性断裂分布，根据《水电水利工程区域构造稳定性勘察技术规程》DL/T5335-2006表8.2.2中要求，区域构造稳定性好。 </w:t>
      </w:r>
    </w:p>
    <w:p>
      <w:pPr>
        <w:pStyle w:val="17"/>
        <w:spacing w:line="420" w:lineRule="auto"/>
        <w:ind w:firstLine="479"/>
        <w:rPr>
          <w:rFonts w:hint="eastAsia"/>
          <w:color w:val="auto"/>
          <w:kern w:val="0"/>
          <w:sz w:val="28"/>
          <w:szCs w:val="28"/>
          <w:lang w:val="en-US"/>
        </w:rPr>
      </w:pPr>
      <w:r>
        <w:rPr>
          <w:rFonts w:hint="eastAsia"/>
          <w:color w:val="auto"/>
          <w:kern w:val="0"/>
          <w:sz w:val="28"/>
          <w:szCs w:val="28"/>
          <w:lang w:val="en-US"/>
        </w:rPr>
        <w:t>《建筑抗震设计规范》(GB50011-2010)中表4.1.6要求，工程建筑场地类别为II类；覆盖层厚度一般小于5m，按照《建筑抗震设计规范》(GB50011-2010)表4.1.3土的类型划分，本工程地基土类型为中硬土～坚硬土；按照表4.1.1中要求，属对建筑抗震有利地段；按照附录A要求，设计地震分组为第一组。</w:t>
      </w:r>
    </w:p>
    <w:p>
      <w:pPr>
        <w:pStyle w:val="17"/>
        <w:spacing w:line="420" w:lineRule="auto"/>
        <w:ind w:firstLine="479"/>
        <w:rPr>
          <w:color w:val="auto"/>
          <w:kern w:val="0"/>
          <w:sz w:val="28"/>
          <w:szCs w:val="28"/>
          <w:lang w:val="en-US"/>
        </w:rPr>
      </w:pPr>
      <w:r>
        <w:rPr>
          <w:rFonts w:hint="eastAsia"/>
          <w:color w:val="auto"/>
          <w:kern w:val="0"/>
          <w:sz w:val="28"/>
          <w:szCs w:val="28"/>
          <w:lang w:val="en-US"/>
        </w:rPr>
        <w:t>综上所述，区内无区域性活动断裂经过，其周边地质构造较发育，区域地壳相对稳定。</w:t>
      </w:r>
    </w:p>
    <w:p>
      <w:pPr>
        <w:pStyle w:val="17"/>
        <w:spacing w:line="420" w:lineRule="auto"/>
        <w:ind w:firstLineChars="200" w:firstLine="560"/>
        <w:rPr>
          <w:color w:val="auto"/>
          <w:kern w:val="0"/>
          <w:sz w:val="28"/>
          <w:szCs w:val="28"/>
          <w:lang w:val="en-US"/>
        </w:rPr>
      </w:pPr>
      <w:r>
        <w:rPr>
          <w:rFonts w:hint="eastAsia"/>
          <w:b/>
          <w:bCs/>
          <w:color w:val="auto"/>
          <w:sz w:val="28"/>
          <w:szCs w:val="28"/>
          <w:lang w:val="en-US" w:eastAsia="zh-CN"/>
        </w:rPr>
        <w:t>2.2.4</w:t>
      </w:r>
      <w:r>
        <w:rPr>
          <w:rFonts w:hint="eastAsia"/>
          <w:b/>
          <w:bCs/>
          <w:color w:val="auto"/>
          <w:sz w:val="28"/>
          <w:szCs w:val="28"/>
          <w:lang w:val="en-US"/>
        </w:rPr>
        <w:t>区域风资源</w:t>
      </w:r>
    </w:p>
    <w:p>
      <w:pPr>
        <w:pStyle w:val="17"/>
        <w:spacing w:line="420" w:lineRule="auto"/>
        <w:ind w:firstLine="479"/>
        <w:rPr>
          <w:color w:val="auto"/>
          <w:kern w:val="0"/>
          <w:sz w:val="28"/>
          <w:szCs w:val="28"/>
          <w:lang w:val="en-US"/>
        </w:rPr>
      </w:pPr>
      <w:r>
        <w:rPr>
          <w:color w:val="auto"/>
          <w:kern w:val="0"/>
          <w:sz w:val="28"/>
          <w:szCs w:val="28"/>
          <w:lang w:val="en-US"/>
        </w:rPr>
        <w:t>广西壮族自治区风资源分布较为分散，多集中于海拔较高的丘陵、山脉地区；北海、钦州、防城港属临海地区，受海陆风影响，近海平原风资源亦具备较好开发价值。广西壮族自治区不同区域不同尺度下资源存在较大局地差异，需经过长期测风进一步明确。风速的年变化均以冬春季较大，秋季次之，夏季相对较小，冬夏风向有明显的季节转换，主导风向根据区域不同有所差异。钦北区风能资源分布图见下图</w:t>
      </w:r>
      <w:r>
        <w:rPr>
          <w:rFonts w:hint="eastAsia"/>
          <w:color w:val="auto"/>
          <w:kern w:val="0"/>
          <w:sz w:val="28"/>
          <w:szCs w:val="28"/>
          <w:lang w:val="en-US"/>
        </w:rPr>
        <w:t>：</w:t>
      </w:r>
    </w:p>
    <w:p>
      <w:pPr>
        <w:pStyle w:val="17"/>
        <w:spacing w:line="420" w:lineRule="auto"/>
        <w:ind w:firstLine="0"/>
        <w:rPr>
          <w:color w:val="auto"/>
        </w:rPr>
      </w:pPr>
      <w:r>
        <w:rPr>
          <w:color w:val="auto"/>
          <w:lang w:val="en-US" w:bidi="ar-SA"/>
        </w:rPr>
        <w:drawing>
          <wp:inline distT="0" distB="0" distL="114300" distR="114300">
            <wp:extent cx="5576570" cy="3881120"/>
            <wp:effectExtent l="0" t="0" r="42" b="28"/>
            <wp:docPr id="19" name="图片 1"/>
            <wp:cNvGraphicFramePr>
              <a:graphicFrameLocks noChangeAspect="1"/>
            </wp:cNvGraphicFramePr>
            <a:graphic>
              <a:graphicData uri="http://schemas.openxmlformats.org/drawingml/2006/picture">
                <pic:pic>
                  <pic:nvPicPr>
                    <pic:cNvPr id="21" name="图片 1 21"/>
                    <pic:cNvPicPr/>
                  </pic:nvPicPr>
                  <pic:blipFill>
                    <a:blip r:embed="rId9"/>
                    <a:stretch>
                      <a:fillRect/>
                    </a:stretch>
                  </pic:blipFill>
                  <pic:spPr>
                    <a:xfrm rot="0">
                      <a:off x="0" y="0"/>
                      <a:ext cx="5576570" cy="3881120"/>
                    </a:xfrm>
                    <a:prstGeom prst="rect"/>
                    <a:noFill/>
                    <a:ln w="9525" cmpd="sng" cap="flat">
                      <a:noFill/>
                      <a:prstDash val="solid"/>
                      <a:round/>
                    </a:ln>
                  </pic:spPr>
                </pic:pic>
              </a:graphicData>
            </a:graphic>
          </wp:inline>
        </w:drawing>
      </w:r>
    </w:p>
    <w:p>
      <w:pPr>
        <w:pStyle w:val="17"/>
        <w:spacing w:line="420" w:lineRule="auto"/>
        <w:ind w:firstLine="0"/>
        <w:jc w:val="center"/>
        <w:rPr>
          <w:color w:val="auto"/>
          <w:lang w:val="en-US"/>
        </w:rPr>
      </w:pPr>
      <w:r>
        <w:rPr>
          <w:color w:val="auto"/>
          <w:lang w:val="en-US"/>
        </w:rPr>
        <w:t>钦州市钦北区风能资源分布图</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37" w:name="_Toc4497"/>
      <w:r>
        <w:rPr>
          <w:rFonts w:ascii="宋体" w:eastAsia="宋体" w:cs="宋体" w:hAnsi="宋体" w:hint="eastAsia"/>
          <w:bCs/>
          <w:color w:val="auto"/>
          <w:sz w:val="32"/>
          <w:szCs w:val="32"/>
          <w:lang w:val="en-US" w:eastAsia="zh-CN"/>
        </w:rPr>
        <w:t>2.3土地利用现状</w:t>
      </w:r>
      <w:bookmarkEnd w:id="37"/>
    </w:p>
    <w:p>
      <w:pPr>
        <w:widowControl/>
        <w:spacing w:before="4" w:line="360" w:lineRule="auto"/>
        <w:ind w:left="118" w:right="351" w:firstLineChars="200" w:firstLine="560"/>
        <w:jc w:val="left"/>
        <w:rPr>
          <w:rFonts w:eastAsia="宋体" w:hint="eastAsia"/>
          <w:color w:val="auto"/>
          <w:kern w:val="0"/>
          <w:sz w:val="28"/>
          <w:szCs w:val="28"/>
          <w:lang w:val="en-US" w:eastAsia="zh-CN"/>
        </w:rPr>
      </w:pPr>
      <w:r>
        <w:rPr>
          <w:rFonts w:ascii="宋体" w:eastAsia="宋体" w:cs="宋体" w:hAnsi="宋体" w:hint="eastAsia"/>
          <w:color w:val="auto"/>
          <w:kern w:val="0"/>
          <w:sz w:val="28"/>
          <w:szCs w:val="28"/>
          <w:lang w:eastAsia="zh-CN"/>
        </w:rPr>
        <w:t>钦北区百浪岭风电场一期</w:t>
      </w:r>
      <w:r>
        <w:rPr>
          <w:rFonts w:hint="eastAsia"/>
          <w:color w:val="auto"/>
          <w:kern w:val="0"/>
          <w:sz w:val="28"/>
          <w:szCs w:val="28"/>
          <w:lang w:val="en-US" w:eastAsia="zh-CN"/>
        </w:rPr>
        <w:t>项目独立地块控制性详细规划总用地面积共8642.3693平方米。共规划18个地块，即17个风电机组（风机+箱变）地块和1个升压站地块，根据第三次全国国土调查2023年度国土变更调查成果数据，本项目土地利用现状主要涉及的地类有工业用地、公用设施用地、林地（乔木林地、灌木林地、其他林地）、农村道路等，不涉及占用耕地。土地利用现状总体情况统计如下表，</w:t>
      </w:r>
      <w:r>
        <w:rPr>
          <w:rFonts w:eastAsia="宋体" w:hint="eastAsia"/>
          <w:color w:val="auto"/>
          <w:kern w:val="0"/>
          <w:sz w:val="28"/>
          <w:szCs w:val="28"/>
          <w:lang w:val="en-US" w:eastAsia="zh-CN"/>
        </w:rPr>
        <w:t>各地块现状土地具体使用情况数据详见土地使用现状图。</w:t>
      </w:r>
    </w:p>
    <w:p>
      <w:pPr>
        <w:widowControl/>
        <w:spacing w:before="4" w:line="360" w:lineRule="auto"/>
        <w:ind w:left="118" w:right="351" w:firstLineChars="200" w:firstLine="560"/>
        <w:jc w:val="left"/>
        <w:rPr>
          <w:rFonts w:eastAsia="宋体" w:hint="eastAsia"/>
          <w:color w:val="auto"/>
          <w:kern w:val="0"/>
          <w:sz w:val="28"/>
          <w:szCs w:val="28"/>
          <w:lang w:val="en-US" w:eastAsia="zh-CN"/>
        </w:rPr>
      </w:pPr>
    </w:p>
    <w:p>
      <w:pPr>
        <w:widowControl/>
        <w:spacing w:before="4" w:line="360" w:lineRule="auto"/>
        <w:ind w:left="118" w:right="351" w:firstLineChars="200" w:firstLine="560"/>
        <w:jc w:val="left"/>
        <w:rPr>
          <w:rFonts w:eastAsia="宋体"/>
          <w:color w:val="auto"/>
          <w:kern w:val="0"/>
          <w:sz w:val="28"/>
          <w:szCs w:val="28"/>
          <w:lang w:val="en-US" w:eastAsia="zh-CN"/>
        </w:rPr>
      </w:pPr>
    </w:p>
    <w:p>
      <w:pPr>
        <w:widowControl/>
        <w:spacing w:before="4" w:line="360" w:lineRule="auto"/>
        <w:ind w:right="351"/>
        <w:jc w:val="center"/>
        <w:rPr>
          <w:rFonts w:hint="eastAsia"/>
          <w:color w:val="auto"/>
          <w:kern w:val="0"/>
          <w:sz w:val="28"/>
          <w:szCs w:val="28"/>
          <w:lang w:val="en-US" w:eastAsia="zh-CN"/>
        </w:rPr>
      </w:pPr>
      <w:r>
        <w:rPr>
          <w:rFonts w:hint="eastAsia"/>
          <w:color w:val="auto"/>
          <w:kern w:val="0"/>
          <w:sz w:val="28"/>
          <w:szCs w:val="28"/>
          <w:lang w:val="en-US" w:eastAsia="zh-CN"/>
        </w:rPr>
        <w:t>项目土地利用现状总体情况表（基于“三调”）</w:t>
      </w:r>
    </w:p>
    <w:tbl>
      <w:tblPr>
        <w:jc w:val="left"/>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2317"/>
        <w:gridCol w:w="2757"/>
        <w:gridCol w:w="2095"/>
      </w:tblGrid>
      <w:tr>
        <w:tc>
          <w:tcPr>
            <w:tcW w:w="231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rFonts w:hint="eastAsia"/>
                <w:color w:val="auto"/>
                <w:kern w:val="0"/>
                <w:sz w:val="28"/>
                <w:szCs w:val="28"/>
                <w:vertAlign w:val="baseline"/>
                <w:lang w:val="en-US" w:eastAsia="zh-CN"/>
              </w:rPr>
            </w:pPr>
            <w:r>
              <w:rPr>
                <w:rFonts w:hint="eastAsia"/>
                <w:color w:val="auto"/>
                <w:kern w:val="0"/>
                <w:sz w:val="28"/>
                <w:szCs w:val="28"/>
                <w:vertAlign w:val="baseline"/>
                <w:lang w:val="en-US" w:eastAsia="zh-CN"/>
              </w:rPr>
              <w:t>地类编码</w:t>
            </w:r>
          </w:p>
        </w:tc>
        <w:tc>
          <w:tcPr>
            <w:tcW w:w="275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rFonts w:hint="eastAsia"/>
                <w:color w:val="auto"/>
                <w:kern w:val="0"/>
                <w:sz w:val="28"/>
                <w:szCs w:val="28"/>
                <w:vertAlign w:val="baseline"/>
                <w:lang w:val="en-US" w:eastAsia="zh-CN"/>
              </w:rPr>
            </w:pPr>
            <w:r>
              <w:rPr>
                <w:rFonts w:hint="eastAsia"/>
                <w:color w:val="auto"/>
                <w:kern w:val="0"/>
                <w:sz w:val="28"/>
                <w:szCs w:val="28"/>
                <w:vertAlign w:val="baseline"/>
                <w:lang w:val="en-US" w:eastAsia="zh-CN"/>
              </w:rPr>
              <w:t>地类名称</w:t>
            </w:r>
          </w:p>
        </w:tc>
        <w:tc>
          <w:tcPr>
            <w:tcW w:w="2095"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面积（㎡）</w:t>
            </w:r>
          </w:p>
        </w:tc>
      </w:tr>
      <w:tr>
        <w:tc>
          <w:tcPr>
            <w:tcW w:w="231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0601</w:t>
            </w:r>
          </w:p>
        </w:tc>
        <w:tc>
          <w:tcPr>
            <w:tcW w:w="275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rFonts w:hint="eastAsia"/>
                <w:color w:val="auto"/>
                <w:kern w:val="0"/>
                <w:sz w:val="28"/>
                <w:szCs w:val="28"/>
                <w:vertAlign w:val="baseline"/>
                <w:lang w:val="en-US" w:eastAsia="zh-CN"/>
              </w:rPr>
            </w:pPr>
            <w:r>
              <w:rPr>
                <w:rFonts w:hint="eastAsia"/>
                <w:color w:val="auto"/>
                <w:kern w:val="0"/>
                <w:sz w:val="28"/>
                <w:szCs w:val="28"/>
                <w:lang w:val="en-US" w:eastAsia="zh-CN"/>
              </w:rPr>
              <w:t>工业用地</w:t>
            </w:r>
          </w:p>
        </w:tc>
        <w:tc>
          <w:tcPr>
            <w:tcW w:w="2095"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2570.5719</w:t>
            </w:r>
          </w:p>
        </w:tc>
      </w:tr>
      <w:tr>
        <w:tc>
          <w:tcPr>
            <w:tcW w:w="231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0809</w:t>
            </w:r>
          </w:p>
        </w:tc>
        <w:tc>
          <w:tcPr>
            <w:tcW w:w="275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rFonts w:hint="eastAsia"/>
                <w:color w:val="auto"/>
                <w:kern w:val="0"/>
                <w:sz w:val="28"/>
                <w:szCs w:val="28"/>
                <w:vertAlign w:val="baseline"/>
                <w:lang w:val="en-US" w:eastAsia="zh-CN"/>
              </w:rPr>
            </w:pPr>
            <w:r>
              <w:rPr>
                <w:rFonts w:hint="eastAsia"/>
                <w:color w:val="auto"/>
                <w:kern w:val="0"/>
                <w:sz w:val="28"/>
                <w:szCs w:val="28"/>
                <w:lang w:val="en-US" w:eastAsia="zh-CN"/>
              </w:rPr>
              <w:t>公用设施用地</w:t>
            </w:r>
          </w:p>
        </w:tc>
        <w:tc>
          <w:tcPr>
            <w:tcW w:w="2095"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3232.1431</w:t>
            </w:r>
          </w:p>
        </w:tc>
      </w:tr>
      <w:tr>
        <w:tc>
          <w:tcPr>
            <w:tcW w:w="231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0301</w:t>
            </w:r>
          </w:p>
        </w:tc>
        <w:tc>
          <w:tcPr>
            <w:tcW w:w="275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rFonts w:hint="eastAsia"/>
                <w:color w:val="auto"/>
                <w:kern w:val="0"/>
                <w:sz w:val="28"/>
                <w:szCs w:val="28"/>
                <w:vertAlign w:val="baseline"/>
                <w:lang w:val="en-US" w:eastAsia="zh-CN"/>
              </w:rPr>
            </w:pPr>
            <w:r>
              <w:rPr>
                <w:rFonts w:hint="eastAsia"/>
                <w:color w:val="auto"/>
                <w:kern w:val="0"/>
                <w:sz w:val="28"/>
                <w:szCs w:val="28"/>
                <w:lang w:val="en-US" w:eastAsia="zh-CN"/>
              </w:rPr>
              <w:t>乔木林地</w:t>
            </w:r>
          </w:p>
        </w:tc>
        <w:tc>
          <w:tcPr>
            <w:tcW w:w="2095"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2227.424</w:t>
            </w:r>
          </w:p>
        </w:tc>
      </w:tr>
      <w:tr>
        <w:tc>
          <w:tcPr>
            <w:tcW w:w="231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0305</w:t>
            </w:r>
          </w:p>
        </w:tc>
        <w:tc>
          <w:tcPr>
            <w:tcW w:w="275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rFonts w:hint="eastAsia"/>
                <w:color w:val="auto"/>
                <w:kern w:val="0"/>
                <w:sz w:val="28"/>
                <w:szCs w:val="28"/>
                <w:vertAlign w:val="baseline"/>
                <w:lang w:val="en-US" w:eastAsia="zh-CN"/>
              </w:rPr>
            </w:pPr>
            <w:r>
              <w:rPr>
                <w:rFonts w:hint="eastAsia"/>
                <w:color w:val="auto"/>
                <w:kern w:val="0"/>
                <w:sz w:val="28"/>
                <w:szCs w:val="28"/>
                <w:lang w:val="en-US" w:eastAsia="zh-CN"/>
              </w:rPr>
              <w:t>灌木林地</w:t>
            </w:r>
          </w:p>
        </w:tc>
        <w:tc>
          <w:tcPr>
            <w:tcW w:w="2095"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96.969</w:t>
            </w:r>
          </w:p>
        </w:tc>
      </w:tr>
      <w:tr>
        <w:tc>
          <w:tcPr>
            <w:tcW w:w="231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0307</w:t>
            </w:r>
          </w:p>
        </w:tc>
        <w:tc>
          <w:tcPr>
            <w:tcW w:w="275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rFonts w:hint="eastAsia"/>
                <w:color w:val="auto"/>
                <w:kern w:val="0"/>
                <w:sz w:val="28"/>
                <w:szCs w:val="28"/>
                <w:lang w:val="en-US" w:eastAsia="zh-CN"/>
              </w:rPr>
            </w:pPr>
            <w:r>
              <w:rPr>
                <w:rFonts w:hint="eastAsia"/>
                <w:color w:val="auto"/>
                <w:kern w:val="0"/>
                <w:sz w:val="28"/>
                <w:szCs w:val="28"/>
                <w:lang w:val="en-US" w:eastAsia="zh-CN"/>
              </w:rPr>
              <w:t>其他林地</w:t>
            </w:r>
          </w:p>
        </w:tc>
        <w:tc>
          <w:tcPr>
            <w:tcW w:w="2095"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rFonts w:hint="eastAsia"/>
                <w:color w:val="auto"/>
                <w:kern w:val="0"/>
                <w:sz w:val="28"/>
                <w:szCs w:val="28"/>
                <w:vertAlign w:val="baseline"/>
                <w:lang w:val="en-US" w:eastAsia="zh-CN"/>
              </w:rPr>
            </w:pPr>
            <w:r>
              <w:rPr>
                <w:rFonts w:hint="eastAsia"/>
                <w:color w:val="auto"/>
                <w:kern w:val="0"/>
                <w:sz w:val="28"/>
                <w:szCs w:val="28"/>
                <w:vertAlign w:val="baseline"/>
                <w:lang w:val="en-US" w:eastAsia="zh-CN"/>
              </w:rPr>
              <w:t>400.7328</w:t>
            </w:r>
          </w:p>
        </w:tc>
      </w:tr>
      <w:tr>
        <w:tc>
          <w:tcPr>
            <w:tcW w:w="231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1006</w:t>
            </w:r>
          </w:p>
        </w:tc>
        <w:tc>
          <w:tcPr>
            <w:tcW w:w="275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rFonts w:hint="eastAsia"/>
                <w:color w:val="auto"/>
                <w:kern w:val="0"/>
                <w:sz w:val="28"/>
                <w:szCs w:val="28"/>
                <w:vertAlign w:val="baseline"/>
                <w:lang w:val="en-US" w:eastAsia="zh-CN"/>
              </w:rPr>
            </w:pPr>
            <w:r>
              <w:rPr>
                <w:rFonts w:hint="eastAsia"/>
                <w:color w:val="auto"/>
                <w:kern w:val="0"/>
                <w:sz w:val="28"/>
                <w:szCs w:val="28"/>
                <w:lang w:val="en-US" w:eastAsia="zh-CN"/>
              </w:rPr>
              <w:t>农村道路</w:t>
            </w:r>
          </w:p>
        </w:tc>
        <w:tc>
          <w:tcPr>
            <w:tcW w:w="2095"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114.5285</w:t>
            </w:r>
          </w:p>
        </w:tc>
      </w:tr>
      <w:tr>
        <w:tc>
          <w:tcPr>
            <w:tcW w:w="231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rFonts w:hint="eastAsia"/>
                <w:b/>
                <w:bCs/>
                <w:color w:val="auto"/>
                <w:kern w:val="0"/>
                <w:sz w:val="28"/>
                <w:szCs w:val="28"/>
                <w:vertAlign w:val="baseline"/>
                <w:lang w:val="en-US" w:eastAsia="zh-CN"/>
              </w:rPr>
            </w:pPr>
            <w:r>
              <w:rPr>
                <w:rFonts w:hint="eastAsia"/>
                <w:b/>
                <w:bCs/>
                <w:color w:val="auto"/>
                <w:kern w:val="0"/>
                <w:sz w:val="28"/>
                <w:szCs w:val="28"/>
                <w:vertAlign w:val="baseline"/>
                <w:lang w:val="en-US" w:eastAsia="zh-CN"/>
              </w:rPr>
              <w:t>合计</w:t>
            </w:r>
          </w:p>
        </w:tc>
        <w:tc>
          <w:tcPr>
            <w:tcW w:w="275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rFonts w:hint="eastAsia"/>
                <w:b/>
                <w:bCs/>
                <w:color w:val="auto"/>
                <w:kern w:val="0"/>
                <w:sz w:val="28"/>
                <w:szCs w:val="28"/>
                <w:lang w:val="en-US" w:eastAsia="zh-CN"/>
              </w:rPr>
            </w:pPr>
          </w:p>
        </w:tc>
        <w:tc>
          <w:tcPr>
            <w:tcW w:w="2095"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b/>
                <w:bCs/>
                <w:color w:val="auto"/>
                <w:kern w:val="0"/>
                <w:sz w:val="28"/>
                <w:szCs w:val="28"/>
                <w:vertAlign w:val="baseline"/>
                <w:lang w:val="en-US" w:eastAsia="zh-CN"/>
              </w:rPr>
            </w:pPr>
            <w:r>
              <w:rPr>
                <w:rFonts w:hint="eastAsia"/>
                <w:b/>
                <w:bCs/>
                <w:color w:val="auto"/>
                <w:kern w:val="0"/>
                <w:sz w:val="28"/>
                <w:szCs w:val="28"/>
                <w:vertAlign w:val="baseline"/>
                <w:lang w:val="en-US" w:eastAsia="zh-CN"/>
              </w:rPr>
              <w:t>8642.3693</w:t>
            </w:r>
          </w:p>
        </w:tc>
      </w:tr>
    </w:tbl>
    <w:p>
      <w:pPr>
        <w:widowControl/>
        <w:spacing w:line="360" w:lineRule="auto"/>
        <w:ind w:left="840"/>
        <w:jc w:val="center"/>
        <w:rPr>
          <w:rFonts w:ascii="黑体" w:eastAsia="黑体" w:hAnsi="黑体" w:hint="eastAsia"/>
          <w:color w:val="auto"/>
          <w:sz w:val="24"/>
          <w:szCs w:val="24"/>
          <w:lang w:eastAsia="zh-CN"/>
        </w:rPr>
      </w:pPr>
    </w:p>
    <w:p>
      <w:pPr>
        <w:widowControl/>
        <w:spacing w:line="360" w:lineRule="auto"/>
        <w:ind w:left="840"/>
        <w:jc w:val="center"/>
        <w:rPr>
          <w:rFonts w:ascii="黑体" w:eastAsia="黑体" w:hAnsi="黑体" w:hint="eastAsia"/>
          <w:color w:val="auto"/>
          <w:sz w:val="24"/>
          <w:szCs w:val="24"/>
          <w:lang w:eastAsia="zh-CN"/>
        </w:rPr>
      </w:pPr>
      <w:r>
        <w:rPr>
          <w:rFonts w:ascii="黑体" w:eastAsia="黑体" w:hAnsi="黑体" w:hint="eastAsia"/>
          <w:color w:val="auto"/>
          <w:sz w:val="24"/>
          <w:szCs w:val="24"/>
          <w:lang w:eastAsia="zh-CN"/>
        </w:rPr>
        <w:t>用地用海分类</w:t>
      </w:r>
      <w:r>
        <w:rPr>
          <w:rFonts w:ascii="黑体" w:eastAsia="黑体" w:hAnsi="黑体" w:hint="eastAsia"/>
          <w:color w:val="auto"/>
          <w:sz w:val="24"/>
          <w:szCs w:val="24"/>
          <w:lang w:val="en-US" w:eastAsia="zh-CN"/>
        </w:rPr>
        <w:t>第三次全国国土调查</w:t>
      </w:r>
      <w:r>
        <w:rPr>
          <w:rFonts w:ascii="黑体" w:eastAsia="黑体" w:hAnsi="黑体" w:hint="eastAsia"/>
          <w:color w:val="auto"/>
          <w:sz w:val="24"/>
          <w:szCs w:val="24"/>
        </w:rPr>
        <w:t>工作分类</w:t>
      </w:r>
      <w:r>
        <w:rPr>
          <w:rFonts w:ascii="黑体" w:eastAsia="黑体" w:hAnsi="黑体" w:hint="eastAsia"/>
          <w:color w:val="auto"/>
          <w:sz w:val="24"/>
          <w:szCs w:val="24"/>
          <w:lang w:eastAsia="zh-CN"/>
        </w:rPr>
        <w:t>对应情况</w:t>
      </w:r>
    </w:p>
    <w:tbl>
      <w:tblPr>
        <w:jc w:val="center"/>
        <w:tblW w:w="9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60"/>
        <w:gridCol w:w="1072"/>
        <w:gridCol w:w="709"/>
        <w:gridCol w:w="1417"/>
        <w:gridCol w:w="1808"/>
        <w:gridCol w:w="1900"/>
        <w:gridCol w:w="1429"/>
      </w:tblGrid>
      <w:tr>
        <w:trPr>
          <w:cantSplit/>
          <w:trHeight w:val="581"/>
          <w:tblHeader/>
        </w:trPr>
        <w:tc>
          <w:tcPr>
            <w:tcW w:w="3958" w:type="dxa"/>
            <w:gridSpan w:val="4"/>
            <w:shd w:val="clear" w:color="auto" w:fill="D9D9D9"/>
            <w:noWrap/>
            <w:vAlign w:val="center"/>
          </w:tcPr>
          <w:p>
            <w:pPr>
              <w:jc w:val="center"/>
              <w:rPr>
                <w:rFonts w:ascii="黑体" w:eastAsia="黑体" w:hAnsi="黑体"/>
                <w:b/>
                <w:color w:val="auto"/>
                <w:sz w:val="20"/>
                <w:szCs w:val="20"/>
              </w:rPr>
            </w:pPr>
            <w:r>
              <w:rPr>
                <w:rFonts w:ascii="黑体" w:eastAsia="黑体" w:hAnsi="黑体" w:hint="eastAsia"/>
                <w:b/>
                <w:color w:val="auto"/>
                <w:sz w:val="20"/>
                <w:szCs w:val="20"/>
                <w:lang w:eastAsia="zh-CN"/>
              </w:rPr>
              <w:t>第三次全国国土调查</w:t>
            </w:r>
            <w:r>
              <w:rPr>
                <w:rFonts w:ascii="黑体" w:eastAsia="黑体" w:hAnsi="黑体" w:hint="eastAsia"/>
                <w:b/>
                <w:color w:val="auto"/>
                <w:sz w:val="20"/>
                <w:szCs w:val="20"/>
              </w:rPr>
              <w:t>工作</w:t>
            </w:r>
            <w:r>
              <w:rPr>
                <w:rFonts w:ascii="黑体" w:eastAsia="黑体" w:hAnsi="黑体"/>
                <w:b/>
                <w:color w:val="auto"/>
                <w:sz w:val="20"/>
                <w:szCs w:val="20"/>
              </w:rPr>
              <w:t>分类</w:t>
            </w:r>
          </w:p>
        </w:tc>
        <w:tc>
          <w:tcPr>
            <w:tcW w:w="5137" w:type="dxa"/>
            <w:gridSpan w:val="3"/>
            <w:noWrap/>
            <w:vAlign w:val="center"/>
          </w:tcPr>
          <w:p>
            <w:pPr>
              <w:jc w:val="center"/>
              <w:rPr>
                <w:rFonts w:ascii="黑体" w:eastAsia="黑体" w:hAnsi="黑体"/>
                <w:b/>
                <w:color w:val="auto"/>
                <w:sz w:val="20"/>
                <w:szCs w:val="20"/>
              </w:rPr>
            </w:pPr>
            <w:r>
              <w:rPr>
                <w:rFonts w:ascii="黑体" w:eastAsia="黑体" w:hAnsi="黑体" w:hint="eastAsia"/>
                <w:b/>
                <w:color w:val="auto"/>
                <w:sz w:val="20"/>
                <w:szCs w:val="20"/>
              </w:rPr>
              <w:t>国土空间调查、规划、用途管制用地用海分类</w:t>
            </w:r>
          </w:p>
        </w:tc>
      </w:tr>
      <w:tr>
        <w:trPr>
          <w:cantSplit/>
          <w:trHeight w:val="396"/>
          <w:tblHeader/>
        </w:trPr>
        <w:tc>
          <w:tcPr>
            <w:tcW w:w="1832"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pPr>
              <w:jc w:val="center"/>
              <w:rPr>
                <w:rFonts w:ascii="宋体" w:hAnsi="宋体"/>
                <w:b/>
                <w:color w:val="auto"/>
                <w:sz w:val="20"/>
                <w:szCs w:val="20"/>
              </w:rPr>
            </w:pPr>
            <w:r>
              <w:rPr>
                <w:rFonts w:ascii="宋体" w:hAnsi="宋体" w:hint="eastAsia"/>
                <w:b/>
                <w:color w:val="auto"/>
                <w:sz w:val="20"/>
                <w:szCs w:val="20"/>
              </w:rPr>
              <w:t>一级类</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pPr>
              <w:jc w:val="center"/>
              <w:rPr>
                <w:rFonts w:ascii="宋体" w:hAnsi="宋体"/>
                <w:b/>
                <w:color w:val="auto"/>
                <w:sz w:val="20"/>
                <w:szCs w:val="20"/>
              </w:rPr>
            </w:pPr>
            <w:r>
              <w:rPr>
                <w:rFonts w:ascii="宋体" w:hAnsi="宋体" w:hint="eastAsia"/>
                <w:b/>
                <w:color w:val="auto"/>
                <w:sz w:val="20"/>
                <w:szCs w:val="20"/>
              </w:rPr>
              <w:t>二级类</w:t>
            </w:r>
          </w:p>
        </w:tc>
        <w:tc>
          <w:tcPr>
            <w:tcW w:w="1808" w:type="dxa"/>
            <w:tcBorders>
              <w:top w:val="single" w:sz="4" w:space="0" w:color="auto"/>
              <w:left w:val="single" w:sz="4" w:space="0" w:color="auto"/>
              <w:bottom w:val="single" w:sz="4" w:space="0" w:color="auto"/>
              <w:right w:val="single" w:sz="4" w:space="0" w:color="auto"/>
            </w:tcBorders>
            <w:noWrap/>
            <w:vAlign w:val="center"/>
          </w:tcPr>
          <w:p>
            <w:pPr>
              <w:jc w:val="center"/>
              <w:rPr>
                <w:rFonts w:ascii="宋体" w:hAnsi="宋体"/>
                <w:b/>
                <w:color w:val="auto"/>
                <w:sz w:val="20"/>
                <w:szCs w:val="20"/>
              </w:rPr>
            </w:pPr>
            <w:r>
              <w:rPr>
                <w:rFonts w:ascii="宋体" w:hAnsi="宋体" w:hint="eastAsia"/>
                <w:b/>
                <w:color w:val="auto"/>
                <w:sz w:val="20"/>
                <w:szCs w:val="20"/>
              </w:rPr>
              <w:t>三级类</w:t>
            </w:r>
          </w:p>
        </w:tc>
        <w:tc>
          <w:tcPr>
            <w:tcW w:w="1900" w:type="dxa"/>
            <w:tcBorders>
              <w:top w:val="single" w:sz="4" w:space="0" w:color="auto"/>
              <w:left w:val="single" w:sz="4" w:space="0" w:color="auto"/>
              <w:bottom w:val="single" w:sz="4" w:space="0" w:color="auto"/>
              <w:right w:val="single" w:sz="4" w:space="0" w:color="auto"/>
            </w:tcBorders>
            <w:noWrap/>
            <w:vAlign w:val="center"/>
          </w:tcPr>
          <w:p>
            <w:pPr>
              <w:jc w:val="center"/>
              <w:rPr>
                <w:rFonts w:ascii="宋体" w:hAnsi="宋体"/>
                <w:b/>
                <w:color w:val="auto"/>
                <w:sz w:val="20"/>
                <w:szCs w:val="20"/>
              </w:rPr>
            </w:pPr>
            <w:r>
              <w:rPr>
                <w:rFonts w:ascii="宋体" w:hAnsi="宋体" w:hint="eastAsia"/>
                <w:b/>
                <w:color w:val="auto"/>
                <w:sz w:val="20"/>
                <w:szCs w:val="20"/>
              </w:rPr>
              <w:t>二级类</w:t>
            </w:r>
          </w:p>
        </w:tc>
        <w:tc>
          <w:tcPr>
            <w:tcW w:w="1429" w:type="dxa"/>
            <w:tcBorders>
              <w:top w:val="single" w:sz="4" w:space="0" w:color="auto"/>
              <w:left w:val="single" w:sz="4" w:space="0" w:color="auto"/>
              <w:bottom w:val="single" w:sz="4" w:space="0" w:color="auto"/>
              <w:right w:val="single" w:sz="4" w:space="0" w:color="auto"/>
            </w:tcBorders>
            <w:noWrap/>
            <w:vAlign w:val="center"/>
          </w:tcPr>
          <w:p>
            <w:pPr>
              <w:jc w:val="center"/>
              <w:rPr>
                <w:rFonts w:ascii="宋体" w:hAnsi="宋体"/>
                <w:b/>
                <w:color w:val="auto"/>
                <w:sz w:val="20"/>
                <w:szCs w:val="20"/>
              </w:rPr>
            </w:pPr>
            <w:r>
              <w:rPr>
                <w:rFonts w:ascii="宋体" w:hAnsi="宋体" w:hint="eastAsia"/>
                <w:b/>
                <w:color w:val="auto"/>
                <w:sz w:val="20"/>
                <w:szCs w:val="20"/>
              </w:rPr>
              <w:t>一级类</w:t>
            </w:r>
          </w:p>
        </w:tc>
      </w:tr>
      <w:tr>
        <w:trPr>
          <w:cantSplit/>
          <w:trHeight w:val="351"/>
        </w:trPr>
        <w:tc>
          <w:tcPr>
            <w:tcW w:w="760"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pPr>
              <w:jc w:val="center"/>
              <w:rPr>
                <w:rFonts w:ascii="Times New Roman" w:eastAsia="宋体" w:cs="Times New Roman" w:hAnsi="Times New Roman"/>
                <w:b/>
                <w:color w:val="auto"/>
                <w:sz w:val="20"/>
                <w:szCs w:val="20"/>
                <w:lang w:val="en-US" w:eastAsia="zh-CN"/>
              </w:rPr>
            </w:pPr>
            <w:r>
              <w:rPr>
                <w:rFonts w:ascii="Times New Roman" w:cs="Times New Roman" w:hAnsi="Times New Roman" w:hint="eastAsia"/>
                <w:b/>
                <w:color w:val="auto"/>
                <w:sz w:val="20"/>
                <w:szCs w:val="20"/>
                <w:lang w:val="en-US" w:eastAsia="zh-CN"/>
              </w:rPr>
              <w:t>08</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pPr>
              <w:jc w:val="center"/>
              <w:rPr>
                <w:rFonts w:ascii="Times New Roman" w:cs="Times New Roman" w:hAnsi="Times New Roman"/>
                <w:b/>
                <w:color w:val="auto"/>
                <w:sz w:val="20"/>
                <w:szCs w:val="20"/>
              </w:rPr>
            </w:pPr>
            <w:r>
              <w:rPr>
                <w:rFonts w:ascii="Times New Roman" w:cs="Times New Roman" w:hAnsi="Times New Roman"/>
                <w:b/>
                <w:color w:val="auto"/>
                <w:sz w:val="20"/>
                <w:szCs w:val="20"/>
              </w:rPr>
              <w:t>公共管</w:t>
            </w:r>
          </w:p>
          <w:p>
            <w:pPr>
              <w:jc w:val="center"/>
              <w:rPr>
                <w:rFonts w:ascii="Times New Roman" w:cs="Times New Roman" w:hAnsi="Times New Roman"/>
                <w:b/>
                <w:color w:val="auto"/>
                <w:sz w:val="20"/>
                <w:szCs w:val="20"/>
              </w:rPr>
            </w:pPr>
            <w:r>
              <w:rPr>
                <w:rFonts w:ascii="Times New Roman" w:cs="Times New Roman" w:hAnsi="Times New Roman"/>
                <w:b/>
                <w:color w:val="auto"/>
                <w:sz w:val="20"/>
                <w:szCs w:val="20"/>
              </w:rPr>
              <w:t>理与公</w:t>
            </w:r>
          </w:p>
          <w:p>
            <w:pPr>
              <w:jc w:val="center"/>
              <w:rPr>
                <w:rFonts w:ascii="Times New Roman" w:cs="Times New Roman" w:hAnsi="Times New Roman"/>
                <w:b/>
                <w:color w:val="auto"/>
                <w:sz w:val="20"/>
                <w:szCs w:val="20"/>
              </w:rPr>
            </w:pPr>
            <w:r>
              <w:rPr>
                <w:rFonts w:ascii="Times New Roman" w:cs="Times New Roman" w:hAnsi="Times New Roman"/>
                <w:b/>
                <w:color w:val="auto"/>
                <w:sz w:val="20"/>
                <w:szCs w:val="20"/>
              </w:rPr>
              <w:t>共服务</w:t>
            </w:r>
          </w:p>
          <w:p>
            <w:pPr>
              <w:jc w:val="center"/>
              <w:rPr>
                <w:rFonts w:ascii="Times New Roman" w:cs="Times New Roman" w:hAnsi="Times New Roman"/>
                <w:b/>
                <w:color w:val="auto"/>
                <w:sz w:val="20"/>
                <w:szCs w:val="20"/>
                <w:u w:val="single"/>
              </w:rPr>
            </w:pPr>
            <w:r>
              <w:rPr>
                <w:rFonts w:ascii="Times New Roman" w:cs="Times New Roman" w:hAnsi="Times New Roman"/>
                <w:b/>
                <w:color w:val="auto"/>
                <w:sz w:val="20"/>
                <w:szCs w:val="20"/>
              </w:rPr>
              <w:t>用  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pPr>
              <w:jc w:val="center"/>
              <w:rPr>
                <w:rFonts w:ascii="Times New Roman" w:cs="Times New Roman" w:hAnsi="Times New Roman"/>
                <w:color w:val="auto"/>
                <w:sz w:val="20"/>
                <w:szCs w:val="20"/>
              </w:rPr>
            </w:pPr>
            <w:r>
              <w:rPr>
                <w:rFonts w:ascii="Times New Roman" w:cs="Times New Roman" w:hAnsi="Times New Roman"/>
                <w:color w:val="auto"/>
                <w:sz w:val="20"/>
                <w:szCs w:val="20"/>
              </w:rPr>
              <w:t>0809</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pPr>
              <w:rPr>
                <w:rFonts w:ascii="Times New Roman" w:cs="Times New Roman" w:hAnsi="Times New Roman"/>
                <w:color w:val="auto"/>
                <w:sz w:val="20"/>
                <w:szCs w:val="20"/>
              </w:rPr>
            </w:pPr>
            <w:r>
              <w:rPr>
                <w:rFonts w:ascii="Times New Roman" w:cs="Times New Roman" w:hAnsi="Times New Roman"/>
                <w:color w:val="auto"/>
                <w:sz w:val="20"/>
                <w:szCs w:val="20"/>
              </w:rPr>
              <w:t>公用设施用地</w:t>
            </w:r>
          </w:p>
        </w:tc>
        <w:tc>
          <w:tcPr>
            <w:tcW w:w="1808"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b/>
                <w:color w:val="auto"/>
                <w:sz w:val="20"/>
                <w:szCs w:val="20"/>
              </w:rPr>
            </w:pPr>
            <w:r>
              <w:rPr>
                <w:rFonts w:ascii="Times New Roman" w:cs="Times New Roman" w:hAnsi="Times New Roman"/>
                <w:b/>
                <w:color w:val="auto"/>
                <w:sz w:val="20"/>
                <w:szCs w:val="20"/>
              </w:rPr>
              <w:t>——</w:t>
            </w:r>
          </w:p>
        </w:tc>
        <w:tc>
          <w:tcPr>
            <w:tcW w:w="1900"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color w:val="auto"/>
                <w:sz w:val="20"/>
                <w:szCs w:val="20"/>
              </w:rPr>
            </w:pPr>
            <w:r>
              <w:rPr>
                <w:rFonts w:ascii="Times New Roman" w:cs="Times New Roman" w:hAnsi="Times New Roman"/>
                <w:color w:val="auto"/>
                <w:sz w:val="20"/>
                <w:szCs w:val="20"/>
              </w:rPr>
              <w:t>1301供水用地</w:t>
            </w:r>
          </w:p>
        </w:tc>
        <w:tc>
          <w:tcPr>
            <w:tcW w:w="1429" w:type="dxa"/>
            <w:vMerge w:val="restart"/>
            <w:tcBorders>
              <w:top w:val="single" w:sz="4" w:space="0" w:color="auto"/>
              <w:left w:val="single" w:sz="4" w:space="0" w:color="auto"/>
              <w:bottom w:val="single" w:sz="4" w:space="0" w:color="auto"/>
              <w:right w:val="single" w:sz="4" w:space="0" w:color="auto"/>
            </w:tcBorders>
            <w:noWrap/>
            <w:vAlign w:val="center"/>
          </w:tcPr>
          <w:p>
            <w:pPr>
              <w:jc w:val="left"/>
              <w:rPr>
                <w:rFonts w:ascii="Times New Roman" w:cs="Times New Roman" w:hAnsi="Times New Roman"/>
                <w:color w:val="auto"/>
                <w:sz w:val="20"/>
                <w:szCs w:val="20"/>
              </w:rPr>
            </w:pPr>
            <w:r>
              <w:rPr>
                <w:rFonts w:ascii="Times New Roman" w:cs="Times New Roman" w:hAnsi="Times New Roman"/>
                <w:b/>
                <w:color w:val="auto"/>
                <w:sz w:val="20"/>
                <w:szCs w:val="20"/>
              </w:rPr>
              <w:t>13公用设施用地</w:t>
            </w:r>
          </w:p>
        </w:tc>
      </w:tr>
      <w:tr>
        <w:trPr>
          <w:cantSplit/>
          <w:trHeight w:val="285"/>
        </w:trPr>
        <w:tc>
          <w:tcPr>
            <w:tcW w:w="760"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072"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709"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417"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808"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b/>
                <w:color w:val="auto"/>
                <w:sz w:val="20"/>
                <w:szCs w:val="20"/>
              </w:rPr>
            </w:pPr>
            <w:r>
              <w:rPr>
                <w:rFonts w:ascii="Times New Roman" w:cs="Times New Roman" w:hAnsi="Times New Roman"/>
                <w:b/>
                <w:color w:val="auto"/>
                <w:kern w:val="0"/>
                <w:sz w:val="20"/>
                <w:szCs w:val="20"/>
              </w:rPr>
              <w:t>——</w:t>
            </w:r>
          </w:p>
        </w:tc>
        <w:tc>
          <w:tcPr>
            <w:tcW w:w="1900"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color w:val="auto"/>
                <w:sz w:val="20"/>
                <w:szCs w:val="20"/>
              </w:rPr>
            </w:pPr>
            <w:r>
              <w:rPr>
                <w:rFonts w:ascii="Times New Roman" w:cs="Times New Roman" w:hAnsi="Times New Roman"/>
                <w:color w:val="auto"/>
                <w:sz w:val="20"/>
                <w:szCs w:val="20"/>
              </w:rPr>
              <w:t>1302排水用地</w:t>
            </w:r>
          </w:p>
        </w:tc>
        <w:tc>
          <w:tcPr>
            <w:tcW w:w="1429" w:type="dxa"/>
            <w:vMerge/>
            <w:tcBorders>
              <w:top w:val="single" w:sz="4" w:space="0" w:color="auto"/>
              <w:left w:val="single" w:sz="4" w:space="0" w:color="auto"/>
              <w:bottom w:val="single" w:sz="4" w:space="0" w:color="auto"/>
              <w:right w:val="single" w:sz="4" w:space="0" w:color="auto"/>
            </w:tcBorders>
            <w:noWrap/>
            <w:vAlign w:val="center"/>
          </w:tcPr>
          <w:p/>
        </w:tc>
      </w:tr>
      <w:tr>
        <w:trPr>
          <w:cantSplit/>
          <w:trHeight w:val="233"/>
        </w:trPr>
        <w:tc>
          <w:tcPr>
            <w:tcW w:w="760"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072"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709"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417"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808"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b/>
                <w:color w:val="auto"/>
                <w:sz w:val="20"/>
                <w:szCs w:val="20"/>
              </w:rPr>
            </w:pPr>
            <w:r>
              <w:rPr>
                <w:rFonts w:ascii="Times New Roman" w:cs="Times New Roman" w:hAnsi="Times New Roman"/>
                <w:b/>
                <w:color w:val="auto"/>
                <w:kern w:val="0"/>
                <w:sz w:val="20"/>
                <w:szCs w:val="20"/>
              </w:rPr>
              <w:t>——</w:t>
            </w:r>
          </w:p>
        </w:tc>
        <w:tc>
          <w:tcPr>
            <w:tcW w:w="1900"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color w:val="auto"/>
                <w:sz w:val="20"/>
                <w:szCs w:val="20"/>
              </w:rPr>
            </w:pPr>
            <w:r>
              <w:rPr>
                <w:rFonts w:ascii="Times New Roman" w:cs="Times New Roman" w:hAnsi="Times New Roman"/>
                <w:color w:val="auto"/>
                <w:sz w:val="20"/>
                <w:szCs w:val="20"/>
              </w:rPr>
              <w:t>1303供电用地</w:t>
            </w:r>
          </w:p>
        </w:tc>
        <w:tc>
          <w:tcPr>
            <w:tcW w:w="1429" w:type="dxa"/>
            <w:vMerge/>
            <w:tcBorders>
              <w:top w:val="single" w:sz="4" w:space="0" w:color="auto"/>
              <w:left w:val="single" w:sz="4" w:space="0" w:color="auto"/>
              <w:bottom w:val="single" w:sz="4" w:space="0" w:color="auto"/>
              <w:right w:val="single" w:sz="4" w:space="0" w:color="auto"/>
            </w:tcBorders>
            <w:noWrap/>
            <w:vAlign w:val="center"/>
          </w:tcPr>
          <w:p/>
        </w:tc>
      </w:tr>
      <w:tr>
        <w:trPr>
          <w:cantSplit/>
          <w:trHeight w:val="209"/>
        </w:trPr>
        <w:tc>
          <w:tcPr>
            <w:tcW w:w="760"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072"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709"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417"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808"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b/>
                <w:color w:val="auto"/>
                <w:sz w:val="20"/>
                <w:szCs w:val="20"/>
              </w:rPr>
            </w:pPr>
            <w:r>
              <w:rPr>
                <w:rFonts w:ascii="Times New Roman" w:cs="Times New Roman" w:hAnsi="Times New Roman"/>
                <w:b/>
                <w:color w:val="auto"/>
                <w:sz w:val="20"/>
                <w:szCs w:val="20"/>
              </w:rPr>
              <w:t>——</w:t>
            </w:r>
          </w:p>
        </w:tc>
        <w:tc>
          <w:tcPr>
            <w:tcW w:w="1900"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color w:val="auto"/>
                <w:sz w:val="20"/>
                <w:szCs w:val="20"/>
              </w:rPr>
            </w:pPr>
            <w:r>
              <w:rPr>
                <w:rFonts w:ascii="Times New Roman" w:cs="Times New Roman" w:hAnsi="Times New Roman"/>
                <w:color w:val="auto"/>
                <w:sz w:val="20"/>
                <w:szCs w:val="20"/>
              </w:rPr>
              <w:t>1304供燃气用地</w:t>
            </w:r>
          </w:p>
        </w:tc>
        <w:tc>
          <w:tcPr>
            <w:tcW w:w="1429" w:type="dxa"/>
            <w:vMerge/>
            <w:tcBorders>
              <w:top w:val="single" w:sz="4" w:space="0" w:color="auto"/>
              <w:left w:val="single" w:sz="4" w:space="0" w:color="auto"/>
              <w:bottom w:val="single" w:sz="4" w:space="0" w:color="auto"/>
              <w:right w:val="single" w:sz="4" w:space="0" w:color="auto"/>
            </w:tcBorders>
            <w:noWrap/>
            <w:vAlign w:val="center"/>
          </w:tcPr>
          <w:p/>
        </w:tc>
      </w:tr>
      <w:tr>
        <w:trPr>
          <w:cantSplit/>
          <w:trHeight w:val="171"/>
        </w:trPr>
        <w:tc>
          <w:tcPr>
            <w:tcW w:w="760"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072"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709"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417"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808"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b/>
                <w:color w:val="auto"/>
                <w:sz w:val="20"/>
                <w:szCs w:val="20"/>
              </w:rPr>
            </w:pPr>
            <w:r>
              <w:rPr>
                <w:rFonts w:ascii="Times New Roman" w:cs="Times New Roman" w:hAnsi="Times New Roman"/>
                <w:b/>
                <w:color w:val="auto"/>
                <w:sz w:val="20"/>
                <w:szCs w:val="20"/>
              </w:rPr>
              <w:t>——</w:t>
            </w:r>
          </w:p>
        </w:tc>
        <w:tc>
          <w:tcPr>
            <w:tcW w:w="1900"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color w:val="auto"/>
                <w:sz w:val="20"/>
                <w:szCs w:val="20"/>
              </w:rPr>
            </w:pPr>
            <w:r>
              <w:rPr>
                <w:rFonts w:ascii="Times New Roman" w:cs="Times New Roman" w:hAnsi="Times New Roman"/>
                <w:color w:val="auto"/>
                <w:sz w:val="20"/>
                <w:szCs w:val="20"/>
              </w:rPr>
              <w:t>1305供热用地</w:t>
            </w:r>
          </w:p>
        </w:tc>
        <w:tc>
          <w:tcPr>
            <w:tcW w:w="1429" w:type="dxa"/>
            <w:vMerge/>
            <w:tcBorders>
              <w:top w:val="single" w:sz="4" w:space="0" w:color="auto"/>
              <w:left w:val="single" w:sz="4" w:space="0" w:color="auto"/>
              <w:bottom w:val="single" w:sz="4" w:space="0" w:color="auto"/>
              <w:right w:val="single" w:sz="4" w:space="0" w:color="auto"/>
            </w:tcBorders>
            <w:noWrap/>
            <w:vAlign w:val="center"/>
          </w:tcPr>
          <w:p/>
        </w:tc>
      </w:tr>
      <w:tr>
        <w:trPr>
          <w:cantSplit/>
          <w:trHeight w:val="261"/>
        </w:trPr>
        <w:tc>
          <w:tcPr>
            <w:tcW w:w="760"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072"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709"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417"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808"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b/>
                <w:color w:val="auto"/>
                <w:sz w:val="20"/>
                <w:szCs w:val="20"/>
              </w:rPr>
            </w:pPr>
            <w:r>
              <w:rPr>
                <w:rFonts w:ascii="Times New Roman" w:cs="Times New Roman" w:hAnsi="Times New Roman"/>
                <w:b/>
                <w:color w:val="auto"/>
                <w:kern w:val="0"/>
                <w:sz w:val="20"/>
                <w:szCs w:val="20"/>
              </w:rPr>
              <w:t>——</w:t>
            </w:r>
          </w:p>
        </w:tc>
        <w:tc>
          <w:tcPr>
            <w:tcW w:w="1900"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color w:val="auto"/>
                <w:sz w:val="20"/>
                <w:szCs w:val="20"/>
              </w:rPr>
            </w:pPr>
            <w:r>
              <w:rPr>
                <w:rFonts w:ascii="Times New Roman" w:cs="Times New Roman" w:hAnsi="Times New Roman"/>
                <w:color w:val="auto"/>
                <w:sz w:val="20"/>
                <w:szCs w:val="20"/>
              </w:rPr>
              <w:t>1306通信用地</w:t>
            </w:r>
          </w:p>
        </w:tc>
        <w:tc>
          <w:tcPr>
            <w:tcW w:w="1429" w:type="dxa"/>
            <w:vMerge/>
            <w:tcBorders>
              <w:top w:val="single" w:sz="4" w:space="0" w:color="auto"/>
              <w:left w:val="single" w:sz="4" w:space="0" w:color="auto"/>
              <w:bottom w:val="single" w:sz="4" w:space="0" w:color="auto"/>
              <w:right w:val="single" w:sz="4" w:space="0" w:color="auto"/>
            </w:tcBorders>
            <w:noWrap/>
            <w:vAlign w:val="center"/>
          </w:tcPr>
          <w:p/>
        </w:tc>
      </w:tr>
      <w:tr>
        <w:trPr>
          <w:cantSplit/>
          <w:trHeight w:val="261"/>
        </w:trPr>
        <w:tc>
          <w:tcPr>
            <w:tcW w:w="760"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072"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709"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417"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808"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b/>
                <w:color w:val="auto"/>
                <w:kern w:val="0"/>
                <w:sz w:val="20"/>
                <w:szCs w:val="20"/>
              </w:rPr>
            </w:pPr>
          </w:p>
        </w:tc>
        <w:tc>
          <w:tcPr>
            <w:tcW w:w="1900"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color w:val="auto"/>
                <w:sz w:val="20"/>
                <w:szCs w:val="20"/>
              </w:rPr>
            </w:pPr>
            <w:r>
              <w:rPr>
                <w:rFonts w:ascii="Times New Roman" w:cs="Times New Roman" w:hAnsi="Times New Roman"/>
                <w:color w:val="auto"/>
                <w:sz w:val="20"/>
                <w:szCs w:val="20"/>
              </w:rPr>
              <w:t>1307邮政用地</w:t>
            </w:r>
          </w:p>
        </w:tc>
        <w:tc>
          <w:tcPr>
            <w:tcW w:w="1429" w:type="dxa"/>
            <w:vMerge/>
            <w:tcBorders>
              <w:top w:val="single" w:sz="4" w:space="0" w:color="auto"/>
              <w:left w:val="single" w:sz="4" w:space="0" w:color="auto"/>
              <w:bottom w:val="single" w:sz="4" w:space="0" w:color="auto"/>
              <w:right w:val="single" w:sz="4" w:space="0" w:color="auto"/>
            </w:tcBorders>
            <w:noWrap/>
            <w:vAlign w:val="center"/>
          </w:tcPr>
          <w:p/>
        </w:tc>
      </w:tr>
      <w:tr>
        <w:trPr>
          <w:cantSplit/>
          <w:trHeight w:val="186"/>
        </w:trPr>
        <w:tc>
          <w:tcPr>
            <w:tcW w:w="760"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072"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709"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417"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808"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b/>
                <w:color w:val="auto"/>
                <w:sz w:val="20"/>
                <w:szCs w:val="20"/>
              </w:rPr>
            </w:pPr>
            <w:r>
              <w:rPr>
                <w:rFonts w:ascii="Times New Roman" w:cs="Times New Roman" w:hAnsi="Times New Roman"/>
                <w:b/>
                <w:color w:val="auto"/>
                <w:kern w:val="0"/>
                <w:sz w:val="20"/>
                <w:szCs w:val="20"/>
              </w:rPr>
              <w:t>——</w:t>
            </w:r>
          </w:p>
        </w:tc>
        <w:tc>
          <w:tcPr>
            <w:tcW w:w="1900"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color w:val="auto"/>
                <w:sz w:val="20"/>
                <w:szCs w:val="20"/>
              </w:rPr>
            </w:pPr>
            <w:r>
              <w:rPr>
                <w:rFonts w:ascii="Times New Roman" w:cs="Times New Roman" w:hAnsi="Times New Roman"/>
                <w:color w:val="auto"/>
                <w:sz w:val="20"/>
                <w:szCs w:val="20"/>
              </w:rPr>
              <w:t>1308广播电视设施用地</w:t>
            </w:r>
          </w:p>
        </w:tc>
        <w:tc>
          <w:tcPr>
            <w:tcW w:w="1429" w:type="dxa"/>
            <w:vMerge/>
            <w:tcBorders>
              <w:top w:val="single" w:sz="4" w:space="0" w:color="auto"/>
              <w:left w:val="single" w:sz="4" w:space="0" w:color="auto"/>
              <w:bottom w:val="single" w:sz="4" w:space="0" w:color="auto"/>
              <w:right w:val="single" w:sz="4" w:space="0" w:color="auto"/>
            </w:tcBorders>
            <w:noWrap/>
            <w:vAlign w:val="center"/>
          </w:tcPr>
          <w:p/>
        </w:tc>
      </w:tr>
      <w:tr>
        <w:trPr>
          <w:cantSplit/>
          <w:trHeight w:val="186"/>
        </w:trPr>
        <w:tc>
          <w:tcPr>
            <w:tcW w:w="760"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072"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709"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417"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808"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b/>
                <w:color w:val="auto"/>
                <w:sz w:val="20"/>
                <w:szCs w:val="20"/>
              </w:rPr>
            </w:pPr>
            <w:r>
              <w:rPr>
                <w:rFonts w:ascii="Times New Roman" w:cs="Times New Roman" w:hAnsi="Times New Roman"/>
                <w:b/>
                <w:color w:val="auto"/>
                <w:sz w:val="20"/>
                <w:szCs w:val="20"/>
              </w:rPr>
              <w:t>——</w:t>
            </w:r>
          </w:p>
        </w:tc>
        <w:tc>
          <w:tcPr>
            <w:tcW w:w="1900"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color w:val="auto"/>
                <w:sz w:val="20"/>
                <w:szCs w:val="20"/>
              </w:rPr>
            </w:pPr>
            <w:r>
              <w:rPr>
                <w:rFonts w:ascii="Times New Roman" w:cs="Times New Roman" w:hAnsi="Times New Roman"/>
                <w:color w:val="auto"/>
                <w:sz w:val="20"/>
                <w:szCs w:val="20"/>
              </w:rPr>
              <w:t>1309环卫用地</w:t>
            </w:r>
          </w:p>
        </w:tc>
        <w:tc>
          <w:tcPr>
            <w:tcW w:w="1429" w:type="dxa"/>
            <w:vMerge/>
            <w:tcBorders>
              <w:top w:val="single" w:sz="4" w:space="0" w:color="auto"/>
              <w:left w:val="single" w:sz="4" w:space="0" w:color="auto"/>
              <w:bottom w:val="single" w:sz="4" w:space="0" w:color="auto"/>
              <w:right w:val="single" w:sz="4" w:space="0" w:color="auto"/>
            </w:tcBorders>
            <w:noWrap/>
            <w:vAlign w:val="center"/>
          </w:tcPr>
          <w:p/>
        </w:tc>
      </w:tr>
      <w:tr>
        <w:trPr>
          <w:cantSplit/>
          <w:trHeight w:val="161"/>
        </w:trPr>
        <w:tc>
          <w:tcPr>
            <w:tcW w:w="760"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072"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709"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417"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808"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b/>
                <w:color w:val="auto"/>
                <w:sz w:val="20"/>
                <w:szCs w:val="20"/>
              </w:rPr>
            </w:pPr>
            <w:r>
              <w:rPr>
                <w:rFonts w:ascii="Times New Roman" w:cs="Times New Roman" w:hAnsi="Times New Roman"/>
                <w:b/>
                <w:color w:val="auto"/>
                <w:sz w:val="20"/>
                <w:szCs w:val="20"/>
              </w:rPr>
              <w:t>——</w:t>
            </w:r>
          </w:p>
        </w:tc>
        <w:tc>
          <w:tcPr>
            <w:tcW w:w="1900"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color w:val="auto"/>
                <w:sz w:val="20"/>
                <w:szCs w:val="20"/>
              </w:rPr>
            </w:pPr>
            <w:r>
              <w:rPr>
                <w:rFonts w:ascii="Times New Roman" w:cs="Times New Roman" w:hAnsi="Times New Roman"/>
                <w:color w:val="auto"/>
                <w:sz w:val="20"/>
                <w:szCs w:val="20"/>
              </w:rPr>
              <w:t>1310消防用地</w:t>
            </w:r>
          </w:p>
        </w:tc>
        <w:tc>
          <w:tcPr>
            <w:tcW w:w="1429" w:type="dxa"/>
            <w:vMerge/>
            <w:tcBorders>
              <w:top w:val="single" w:sz="4" w:space="0" w:color="auto"/>
              <w:left w:val="single" w:sz="4" w:space="0" w:color="auto"/>
              <w:bottom w:val="single" w:sz="4" w:space="0" w:color="auto"/>
              <w:right w:val="single" w:sz="4" w:space="0" w:color="auto"/>
            </w:tcBorders>
            <w:noWrap/>
            <w:vAlign w:val="center"/>
          </w:tcPr>
          <w:p/>
        </w:tc>
      </w:tr>
      <w:tr>
        <w:trPr>
          <w:cantSplit/>
          <w:trHeight w:val="49"/>
        </w:trPr>
        <w:tc>
          <w:tcPr>
            <w:tcW w:w="760"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072"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709"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417"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808"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b/>
                <w:color w:val="auto"/>
                <w:sz w:val="20"/>
                <w:szCs w:val="20"/>
              </w:rPr>
            </w:pPr>
            <w:r>
              <w:rPr>
                <w:rFonts w:ascii="Times New Roman" w:cs="Times New Roman" w:hAnsi="Times New Roman"/>
                <w:b/>
                <w:color w:val="auto"/>
                <w:sz w:val="20"/>
                <w:szCs w:val="20"/>
              </w:rPr>
              <w:t>——</w:t>
            </w:r>
          </w:p>
        </w:tc>
        <w:tc>
          <w:tcPr>
            <w:tcW w:w="1900"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color w:val="auto"/>
                <w:sz w:val="20"/>
                <w:szCs w:val="20"/>
              </w:rPr>
            </w:pPr>
            <w:r>
              <w:rPr>
                <w:rFonts w:ascii="Times New Roman" w:cs="Times New Roman" w:hAnsi="Times New Roman"/>
                <w:color w:val="auto"/>
                <w:sz w:val="20"/>
                <w:szCs w:val="20"/>
              </w:rPr>
              <w:t>131</w:t>
            </w:r>
            <w:r>
              <w:rPr>
                <w:rFonts w:ascii="Times New Roman" w:cs="Times New Roman" w:hAnsi="Times New Roman"/>
                <w:color w:val="auto"/>
                <w:sz w:val="20"/>
                <w:szCs w:val="20"/>
                <w:lang w:val="en-US" w:eastAsia="zh-CN"/>
              </w:rPr>
              <w:t>2</w:t>
            </w:r>
            <w:r>
              <w:rPr>
                <w:rFonts w:ascii="Times New Roman" w:cs="Times New Roman" w:hAnsi="Times New Roman"/>
                <w:color w:val="auto"/>
                <w:sz w:val="20"/>
                <w:szCs w:val="20"/>
              </w:rPr>
              <w:t>其他公用设施用地</w:t>
            </w:r>
          </w:p>
        </w:tc>
        <w:tc>
          <w:tcPr>
            <w:tcW w:w="1429" w:type="dxa"/>
            <w:vMerge/>
            <w:tcBorders>
              <w:top w:val="single" w:sz="4" w:space="0" w:color="auto"/>
              <w:left w:val="single" w:sz="4" w:space="0" w:color="auto"/>
              <w:bottom w:val="single" w:sz="4" w:space="0" w:color="auto"/>
              <w:right w:val="single" w:sz="4" w:space="0" w:color="auto"/>
            </w:tcBorders>
            <w:noWrap/>
            <w:vAlign w:val="center"/>
          </w:tcPr>
          <w:p/>
        </w:tc>
      </w:tr>
    </w:tbl>
    <w:p>
      <w:pPr>
        <w:rPr>
          <w:rFonts w:ascii="宋体" w:eastAsia="宋体" w:cs="宋体" w:hAnsi="宋体" w:hint="eastAsia"/>
          <w:color w:val="auto"/>
          <w:kern w:val="0"/>
          <w:sz w:val="28"/>
          <w:szCs w:val="28"/>
          <w:lang w:eastAsia="zh-CN"/>
        </w:rPr>
      </w:pPr>
      <w:r>
        <w:rPr>
          <w:rFonts w:eastAsia="宋体" w:hint="eastAsia"/>
          <w:color w:val="auto"/>
          <w:lang w:eastAsia="zh-CN"/>
        </w:rPr>
        <w:t>注：在第三次全国国土调查工作分类中公用设施用地对应的用地分类代码为“</w:t>
      </w:r>
      <w:r>
        <w:rPr>
          <w:rFonts w:eastAsia="宋体" w:hint="eastAsia"/>
          <w:color w:val="auto"/>
          <w:lang w:val="en-US" w:eastAsia="zh-CN"/>
        </w:rPr>
        <w:t>0809</w:t>
      </w:r>
      <w:r>
        <w:rPr>
          <w:rFonts w:eastAsia="宋体" w:hint="eastAsia"/>
          <w:color w:val="auto"/>
          <w:lang w:eastAsia="zh-CN"/>
        </w:rPr>
        <w:t>”，在《国土空间调查、规划、用途管制用地用海分类指南》（</w:t>
      </w:r>
      <w:r>
        <w:rPr>
          <w:rFonts w:eastAsia="宋体" w:hint="eastAsia"/>
          <w:color w:val="auto"/>
          <w:lang w:val="en-US" w:eastAsia="zh-CN"/>
        </w:rPr>
        <w:t>2023版</w:t>
      </w:r>
      <w:r>
        <w:rPr>
          <w:rFonts w:eastAsia="宋体" w:hint="eastAsia"/>
          <w:color w:val="auto"/>
          <w:lang w:eastAsia="zh-CN"/>
        </w:rPr>
        <w:t>）中公用设施用地对应的二级类代码为“</w:t>
      </w:r>
      <w:r>
        <w:rPr>
          <w:rFonts w:eastAsia="宋体" w:hint="eastAsia"/>
          <w:color w:val="auto"/>
          <w:lang w:val="en-US" w:eastAsia="zh-CN"/>
        </w:rPr>
        <w:t>1303</w:t>
      </w:r>
      <w:r>
        <w:rPr>
          <w:rFonts w:eastAsia="宋体" w:hint="eastAsia"/>
          <w:color w:val="auto"/>
          <w:lang w:eastAsia="zh-CN"/>
        </w:rPr>
        <w:t>”供电用地。</w:t>
      </w:r>
    </w:p>
    <w:p>
      <w:pPr>
        <w:widowControl/>
        <w:spacing w:before="4" w:line="360" w:lineRule="auto"/>
        <w:ind w:right="351"/>
        <w:jc w:val="left"/>
        <w:rPr>
          <w:rFonts w:eastAsia="宋体" w:hint="eastAsia"/>
          <w:color w:val="auto"/>
          <w:kern w:val="0"/>
          <w:sz w:val="24"/>
          <w:szCs w:val="24"/>
          <w:lang w:val="en-US" w:eastAsia="zh-CN"/>
        </w:rPr>
      </w:pPr>
    </w:p>
    <w:p>
      <w:pPr>
        <w:rPr>
          <w:rFonts w:eastAsia="宋体" w:hint="eastAsia"/>
          <w:color w:val="auto"/>
          <w:lang w:val="en-US" w:eastAsia="zh-CN"/>
        </w:rPr>
      </w:pPr>
      <w:r>
        <w:rPr>
          <w:rFonts w:eastAsia="宋体" w:hint="eastAsia"/>
          <w:color w:val="auto"/>
          <w:lang w:val="en-US" w:eastAsia="zh-CN"/>
        </w:rPr>
        <w:drawing>
          <wp:inline distT="0" distB="0" distL="114300" distR="114300">
            <wp:extent cx="2718435" cy="3617595"/>
            <wp:effectExtent l="0" t="0" r="42" b="40"/>
            <wp:docPr id="22" name="图片 18" descr="58155728553127520201015 钦北区百浪岭一期风电场工程微观选址报告"/>
            <wp:cNvGraphicFramePr>
              <a:graphicFrameLocks noChangeAspect="1"/>
            </wp:cNvGraphicFramePr>
            <a:graphic>
              <a:graphicData uri="http://schemas.openxmlformats.org/drawingml/2006/picture">
                <pic:pic>
                  <pic:nvPicPr>
                    <pic:cNvPr id="24" name="图片 18 24"/>
                    <pic:cNvPicPr/>
                  </pic:nvPicPr>
                  <pic:blipFill>
                    <a:blip r:embed="rId10"/>
                    <a:stretch>
                      <a:fillRect/>
                    </a:stretch>
                  </pic:blipFill>
                  <pic:spPr>
                    <a:xfrm rot="0">
                      <a:off x="0" y="0"/>
                      <a:ext cx="2718435" cy="3617595"/>
                    </a:xfrm>
                    <a:prstGeom prst="rect"/>
                    <a:noFill/>
                    <a:ln w="9525" cmpd="sng" cap="flat">
                      <a:noFill/>
                      <a:prstDash val="solid"/>
                      <a:miter/>
                    </a:ln>
                  </pic:spPr>
                </pic:pic>
              </a:graphicData>
            </a:graphic>
          </wp:inline>
        </w:drawing>
      </w:r>
      <w:r>
        <w:rPr>
          <w:rFonts w:eastAsia="宋体" w:hint="eastAsia"/>
          <w:color w:val="auto"/>
          <w:lang w:val="en-US" w:eastAsia="zh-CN"/>
        </w:rPr>
        <w:drawing>
          <wp:inline distT="0" distB="0" distL="114300" distR="114300">
            <wp:extent cx="2510789" cy="3609340"/>
            <wp:effectExtent l="0" t="1" r="37" b="7"/>
            <wp:docPr id="25" name="图片 24" descr="58155728553127520201015 钦北区百浪岭一期风电场工程微观选址报告4"/>
            <wp:cNvGraphicFramePr>
              <a:graphicFrameLocks noChangeAspect="1"/>
            </wp:cNvGraphicFramePr>
            <a:graphic>
              <a:graphicData uri="http://schemas.openxmlformats.org/drawingml/2006/picture">
                <pic:pic>
                  <pic:nvPicPr>
                    <pic:cNvPr id="27" name="图片 24 27"/>
                    <pic:cNvPicPr/>
                  </pic:nvPicPr>
                  <pic:blipFill>
                    <a:blip r:embed="rId11"/>
                    <a:stretch>
                      <a:fillRect/>
                    </a:stretch>
                  </pic:blipFill>
                  <pic:spPr>
                    <a:xfrm rot="0">
                      <a:off x="0" y="0"/>
                      <a:ext cx="2510789" cy="3609340"/>
                    </a:xfrm>
                    <a:prstGeom prst="rect"/>
                    <a:noFill/>
                    <a:ln w="9525" cmpd="sng" cap="flat">
                      <a:noFill/>
                      <a:prstDash val="solid"/>
                      <a:miter/>
                    </a:ln>
                  </pic:spPr>
                </pic:pic>
              </a:graphicData>
            </a:graphic>
          </wp:inline>
        </w:drawing>
      </w:r>
    </w:p>
    <w:p>
      <w:pPr>
        <w:pStyle w:val="27"/>
        <w:rPr>
          <w:rFonts w:hint="eastAsia"/>
          <w:color w:val="auto"/>
          <w:lang w:val="en-US" w:eastAsia="zh-CN"/>
        </w:rPr>
      </w:pPr>
      <w:r>
        <w:rPr>
          <w:rFonts w:hint="eastAsia"/>
          <w:color w:val="auto"/>
          <w:lang w:val="en-US" w:eastAsia="zh-CN"/>
        </w:rPr>
        <w:drawing>
          <wp:inline distT="0" distB="0" distL="114300" distR="114300">
            <wp:extent cx="2609850" cy="3473448"/>
            <wp:effectExtent l="0" t="0" r="40" b="19"/>
            <wp:docPr id="28" name="图片 25" descr="58155728553127520201015 钦北区百浪岭一期风电场工程微观选址报告2"/>
            <wp:cNvGraphicFramePr>
              <a:graphicFrameLocks noChangeAspect="1"/>
            </wp:cNvGraphicFramePr>
            <a:graphic>
              <a:graphicData uri="http://schemas.openxmlformats.org/drawingml/2006/picture">
                <pic:pic>
                  <pic:nvPicPr>
                    <pic:cNvPr id="30" name="图片 25 30"/>
                    <pic:cNvPicPr/>
                  </pic:nvPicPr>
                  <pic:blipFill>
                    <a:blip r:embed="rId12"/>
                    <a:stretch>
                      <a:fillRect/>
                    </a:stretch>
                  </pic:blipFill>
                  <pic:spPr>
                    <a:xfrm rot="0">
                      <a:off x="0" y="0"/>
                      <a:ext cx="2609850" cy="3473448"/>
                    </a:xfrm>
                    <a:prstGeom prst="rect"/>
                    <a:noFill/>
                    <a:ln w="9525" cmpd="sng" cap="flat">
                      <a:noFill/>
                      <a:prstDash val="solid"/>
                      <a:miter/>
                    </a:ln>
                  </pic:spPr>
                </pic:pic>
              </a:graphicData>
            </a:graphic>
          </wp:inline>
        </w:drawing>
      </w:r>
      <w:r>
        <w:rPr>
          <w:rFonts w:hint="eastAsia"/>
          <w:color w:val="auto"/>
          <w:lang w:val="en-US" w:eastAsia="zh-CN"/>
        </w:rPr>
        <w:drawing>
          <wp:inline distT="0" distB="0" distL="114300" distR="114300">
            <wp:extent cx="2613025" cy="3475990"/>
            <wp:effectExtent l="0" t="0" r="23" b="10"/>
            <wp:docPr id="31" name="图片 27" descr="58155728553127520201015 钦北区百浪岭一期风电场工程微观选址报告3"/>
            <wp:cNvGraphicFramePr>
              <a:graphicFrameLocks noChangeAspect="1"/>
            </wp:cNvGraphicFramePr>
            <a:graphic>
              <a:graphicData uri="http://schemas.openxmlformats.org/drawingml/2006/picture">
                <pic:pic>
                  <pic:nvPicPr>
                    <pic:cNvPr id="33" name="图片 27 33"/>
                    <pic:cNvPicPr/>
                  </pic:nvPicPr>
                  <pic:blipFill>
                    <a:blip r:embed="rId13"/>
                    <a:stretch>
                      <a:fillRect/>
                    </a:stretch>
                  </pic:blipFill>
                  <pic:spPr>
                    <a:xfrm rot="0">
                      <a:off x="0" y="0"/>
                      <a:ext cx="2613025" cy="3475990"/>
                    </a:xfrm>
                    <a:prstGeom prst="rect"/>
                    <a:noFill/>
                    <a:ln w="9525" cmpd="sng" cap="flat">
                      <a:noFill/>
                      <a:prstDash val="solid"/>
                      <a:miter/>
                    </a:ln>
                  </pic:spPr>
                </pic:pic>
              </a:graphicData>
            </a:graphic>
          </wp:inline>
        </w:drawing>
      </w:r>
    </w:p>
    <w:p>
      <w:pPr>
        <w:rPr>
          <w:rFonts w:hint="eastAsia"/>
          <w:color w:val="auto"/>
          <w:lang w:val="en-US" w:eastAsia="zh-CN"/>
        </w:rPr>
      </w:pPr>
      <w:r>
        <w:rPr>
          <w:rFonts w:ascii="Times New Roman" w:hAnsi="Times New Roman"/>
          <w:color w:val="auto"/>
          <w:sz w:val="24"/>
          <w:szCs w:val="24"/>
          <w:u w:val="none"/>
        </w:rPr>
        <w:drawing>
          <wp:inline distT="0" distB="0" distL="114300" distR="114300">
            <wp:extent cx="2616835" cy="1964054"/>
            <wp:effectExtent l="0" t="0" r="23" b="29"/>
            <wp:docPr id="34" name="图片 1" descr="IMG_1053"/>
            <wp:cNvGraphicFramePr>
              <a:graphicFrameLocks noChangeAspect="1"/>
            </wp:cNvGraphicFramePr>
            <a:graphic>
              <a:graphicData uri="http://schemas.openxmlformats.org/drawingml/2006/picture">
                <pic:pic>
                  <pic:nvPicPr>
                    <pic:cNvPr id="36" name="图片 1 36"/>
                    <pic:cNvPicPr/>
                  </pic:nvPicPr>
                  <pic:blipFill>
                    <a:blip r:embed="rId14"/>
                    <a:stretch>
                      <a:fillRect/>
                    </a:stretch>
                  </pic:blipFill>
                  <pic:spPr>
                    <a:xfrm rot="0">
                      <a:off x="0" y="0"/>
                      <a:ext cx="2616835" cy="1964054"/>
                    </a:xfrm>
                    <a:prstGeom prst="rect"/>
                    <a:noFill/>
                    <a:ln w="9525" cmpd="sng" cap="flat">
                      <a:noFill/>
                      <a:prstDash val="solid"/>
                      <a:round/>
                    </a:ln>
                  </pic:spPr>
                </pic:pic>
              </a:graphicData>
            </a:graphic>
          </wp:inline>
        </w:drawing>
      </w:r>
      <w:r>
        <w:rPr>
          <w:rFonts w:ascii="Times New Roman" w:hAnsi="Times New Roman"/>
          <w:color w:val="auto"/>
          <w:sz w:val="24"/>
          <w:szCs w:val="24"/>
          <w:u w:val="none"/>
        </w:rPr>
        <w:drawing>
          <wp:inline distT="0" distB="0" distL="114300" distR="114300">
            <wp:extent cx="2621280" cy="1966595"/>
            <wp:effectExtent l="0" t="0" r="40" b="1"/>
            <wp:docPr id="37" name="图片 2" descr="IMG_1067"/>
            <wp:cNvGraphicFramePr>
              <a:graphicFrameLocks noChangeAspect="1"/>
            </wp:cNvGraphicFramePr>
            <a:graphic>
              <a:graphicData uri="http://schemas.openxmlformats.org/drawingml/2006/picture">
                <pic:pic>
                  <pic:nvPicPr>
                    <pic:cNvPr id="39" name="图片 2 39"/>
                    <pic:cNvPicPr/>
                  </pic:nvPicPr>
                  <pic:blipFill>
                    <a:blip r:embed="rId15"/>
                    <a:stretch>
                      <a:fillRect/>
                    </a:stretch>
                  </pic:blipFill>
                  <pic:spPr>
                    <a:xfrm rot="0">
                      <a:off x="0" y="0"/>
                      <a:ext cx="2621280" cy="1966595"/>
                    </a:xfrm>
                    <a:prstGeom prst="rect"/>
                    <a:noFill/>
                    <a:ln w="9525" cmpd="sng" cap="flat">
                      <a:noFill/>
                      <a:prstDash val="solid"/>
                      <a:round/>
                    </a:ln>
                  </pic:spPr>
                </pic:pic>
              </a:graphicData>
            </a:graphic>
          </wp:inline>
        </w:drawing>
      </w:r>
    </w:p>
    <w:p>
      <w:pPr>
        <w:pStyle w:val="17"/>
        <w:autoSpaceDE w:val="0"/>
        <w:autoSpaceDN w:val="0"/>
        <w:spacing w:before="4" w:line="360" w:lineRule="auto"/>
        <w:ind w:right="351"/>
        <w:jc w:val="center"/>
        <w:rPr>
          <w:rFonts w:ascii="宋体" w:eastAsia="宋体" w:cs="宋体" w:hAnsi="宋体"/>
          <w:color w:val="auto"/>
          <w:kern w:val="0"/>
          <w:sz w:val="24"/>
        </w:rPr>
      </w:pPr>
      <w:r>
        <w:rPr>
          <w:rFonts w:hint="eastAsia"/>
          <w:b/>
          <w:bCs/>
          <w:color w:val="auto"/>
          <w:lang w:val="en-US" w:eastAsia="zh-CN"/>
        </w:rPr>
        <w:t>百浪岭风电场一期场址现状及地形地貌</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38" w:name="_Toc23491"/>
      <w:r>
        <w:rPr>
          <w:rFonts w:ascii="宋体" w:eastAsia="宋体" w:cs="宋体" w:hAnsi="宋体" w:hint="eastAsia"/>
          <w:bCs/>
          <w:color w:val="auto"/>
          <w:sz w:val="32"/>
          <w:szCs w:val="32"/>
          <w:lang w:val="en-US" w:eastAsia="zh-CN"/>
        </w:rPr>
        <w:t>2.4周边区域情况</w:t>
      </w:r>
      <w:bookmarkEnd w:id="38"/>
    </w:p>
    <w:p>
      <w:pPr>
        <w:widowControl/>
        <w:spacing w:before="4" w:line="360" w:lineRule="auto"/>
        <w:ind w:left="118" w:right="351" w:firstLineChars="200" w:firstLine="560"/>
        <w:jc w:val="left"/>
        <w:rPr>
          <w:rFonts w:hint="eastAsia"/>
          <w:color w:val="auto"/>
          <w:kern w:val="0"/>
          <w:sz w:val="28"/>
          <w:szCs w:val="28"/>
          <w:lang w:val="en-US" w:eastAsia="zh-CN"/>
        </w:rPr>
      </w:pPr>
      <w:r>
        <w:rPr>
          <w:rFonts w:ascii="宋体" w:eastAsia="宋体" w:cs="宋体" w:hAnsi="宋体" w:hint="eastAsia"/>
          <w:color w:val="auto"/>
          <w:kern w:val="0"/>
          <w:sz w:val="28"/>
          <w:szCs w:val="28"/>
          <w:lang w:eastAsia="zh-CN"/>
        </w:rPr>
        <w:t>钦北区百浪岭风电场一期项目用地</w:t>
      </w:r>
      <w:r>
        <w:rPr>
          <w:rFonts w:ascii="宋体" w:eastAsia="宋体" w:cs="宋体" w:hAnsi="宋体" w:hint="eastAsia"/>
          <w:color w:val="auto"/>
          <w:kern w:val="0"/>
          <w:sz w:val="28"/>
          <w:szCs w:val="28"/>
        </w:rPr>
        <w:t>周边主要为</w:t>
      </w:r>
      <w:r>
        <w:rPr>
          <w:rFonts w:ascii="宋体" w:eastAsia="宋体" w:cs="宋体" w:hAnsi="宋体" w:hint="eastAsia"/>
          <w:color w:val="auto"/>
          <w:kern w:val="0"/>
          <w:sz w:val="28"/>
          <w:szCs w:val="28"/>
          <w:lang w:eastAsia="zh-CN"/>
        </w:rPr>
        <w:t>钦北区大寺镇四联村、屯强村、广琅村、新晓村村民委员会，大直镇富雄村、彭久村村民委员会的</w:t>
      </w:r>
      <w:r>
        <w:rPr>
          <w:rFonts w:ascii="宋体" w:eastAsia="宋体" w:cs="宋体" w:hAnsi="宋体" w:hint="eastAsia"/>
          <w:color w:val="auto"/>
          <w:kern w:val="0"/>
          <w:sz w:val="28"/>
          <w:szCs w:val="28"/>
        </w:rPr>
        <w:t>集体农用地。</w:t>
      </w:r>
      <w:r>
        <w:rPr>
          <w:rFonts w:ascii="宋体" w:eastAsia="宋体" w:cs="宋体" w:hAnsi="宋体" w:hint="eastAsia"/>
          <w:color w:val="auto"/>
          <w:kern w:val="0"/>
          <w:sz w:val="28"/>
          <w:szCs w:val="28"/>
          <w:lang w:eastAsia="zh-CN"/>
        </w:rPr>
        <w:t>本工程风电机组及升压站用地均基本规划布置于山脊或山包之上，</w:t>
      </w:r>
      <w:r>
        <w:rPr>
          <w:rFonts w:ascii="宋体" w:eastAsia="宋体" w:cs="宋体" w:hAnsi="宋体" w:hint="eastAsia"/>
          <w:color w:val="auto"/>
          <w:kern w:val="0"/>
          <w:sz w:val="28"/>
          <w:szCs w:val="28"/>
        </w:rPr>
        <w:t>山坡自然坡度</w:t>
      </w:r>
      <w:r>
        <w:rPr>
          <w:rFonts w:ascii="宋体" w:eastAsia="宋体" w:cs="宋体" w:hAnsi="宋体" w:hint="eastAsia"/>
          <w:color w:val="auto"/>
          <w:kern w:val="0"/>
          <w:sz w:val="28"/>
          <w:szCs w:val="28"/>
          <w:lang w:eastAsia="zh-CN"/>
        </w:rPr>
        <w:t>较平缓</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场址周边</w:t>
      </w:r>
      <w:r>
        <w:rPr>
          <w:rFonts w:ascii="宋体" w:eastAsia="宋体" w:cs="宋体" w:hAnsi="宋体" w:hint="eastAsia"/>
          <w:color w:val="auto"/>
          <w:kern w:val="0"/>
          <w:sz w:val="28"/>
          <w:szCs w:val="28"/>
        </w:rPr>
        <w:t>植被较发育，主要为</w:t>
      </w:r>
      <w:r>
        <w:rPr>
          <w:rFonts w:ascii="宋体" w:eastAsia="宋体" w:cs="宋体" w:hAnsi="宋体" w:hint="eastAsia"/>
          <w:color w:val="auto"/>
          <w:kern w:val="0"/>
          <w:sz w:val="28"/>
          <w:szCs w:val="28"/>
          <w:lang w:eastAsia="zh-CN"/>
        </w:rPr>
        <w:t>林地、草地等。风电场与外部交通连接的主要道路为在现有农村道路基础上扩宽的风电场施工检修道路</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本项目不涉及占用生态保护红线。场区无大的河流通过，地表小冲沟较发育，少量冲沟常年有水流，大部分为干沟。</w:t>
      </w:r>
      <w:r>
        <w:rPr>
          <w:rFonts w:ascii="宋体" w:eastAsia="宋体" w:cs="宋体" w:hAnsi="宋体" w:hint="eastAsia"/>
          <w:color w:val="auto"/>
          <w:kern w:val="0"/>
          <w:sz w:val="28"/>
          <w:szCs w:val="28"/>
          <w:lang w:val="en-US" w:eastAsia="zh-CN"/>
        </w:rPr>
        <w:t>电力、电信等基础设施已接至场区附近。</w:t>
      </w:r>
      <w:r>
        <w:rPr>
          <w:rFonts w:hint="eastAsia"/>
          <w:color w:val="auto"/>
          <w:sz w:val="28"/>
          <w:szCs w:val="28"/>
          <w:lang w:val="en-US" w:eastAsia="zh-CN"/>
        </w:rPr>
        <w:t>区域内无排污企业及电磁污染源分布，风电场场址区域大气、水、声质量现状均满足所在功能区环境质量标准，区域未发现军事雷达、导航台及</w:t>
      </w:r>
      <w:r>
        <w:rPr>
          <w:rFonts w:hint="eastAsia"/>
          <w:color w:val="auto"/>
          <w:kern w:val="0"/>
          <w:sz w:val="28"/>
          <w:szCs w:val="28"/>
          <w:lang w:val="en-US" w:eastAsia="zh-CN"/>
        </w:rPr>
        <w:t>其他大型专项设施</w:t>
      </w:r>
      <w:r>
        <w:rPr>
          <w:rFonts w:hint="eastAsia"/>
          <w:color w:val="auto"/>
          <w:sz w:val="28"/>
          <w:szCs w:val="28"/>
          <w:lang w:val="en-US" w:eastAsia="zh-CN"/>
        </w:rPr>
        <w:t>等，无明显的电磁污染源，无特殊环境问题</w:t>
      </w:r>
      <w:r>
        <w:rPr>
          <w:rFonts w:hint="eastAsia"/>
          <w:color w:val="auto"/>
          <w:kern w:val="0"/>
          <w:sz w:val="28"/>
          <w:szCs w:val="28"/>
          <w:lang w:val="en-US" w:eastAsia="zh-CN"/>
        </w:rPr>
        <w:t>，项目周边区域整体建设条件良好。</w:t>
      </w:r>
    </w:p>
    <w:p>
      <w:pPr>
        <w:pStyle w:val="17"/>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drawing>
          <wp:inline distT="0" distB="0" distL="114300" distR="114300">
            <wp:extent cx="5269230" cy="1988185"/>
            <wp:effectExtent l="0" t="1" r="15" b="32"/>
            <wp:docPr id="40" name="图片 19" descr="QQ20250526-224132"/>
            <wp:cNvGraphicFramePr>
              <a:graphicFrameLocks noChangeAspect="1"/>
            </wp:cNvGraphicFramePr>
            <a:graphic>
              <a:graphicData uri="http://schemas.openxmlformats.org/drawingml/2006/picture">
                <pic:pic>
                  <pic:nvPicPr>
                    <pic:cNvPr id="42" name="图片 19 42"/>
                    <pic:cNvPicPr/>
                  </pic:nvPicPr>
                  <pic:blipFill>
                    <a:blip r:embed="rId16"/>
                    <a:stretch>
                      <a:fillRect/>
                    </a:stretch>
                  </pic:blipFill>
                  <pic:spPr>
                    <a:xfrm rot="0">
                      <a:off x="0" y="0"/>
                      <a:ext cx="5269230" cy="1988185"/>
                    </a:xfrm>
                    <a:prstGeom prst="rect"/>
                    <a:noFill/>
                    <a:ln w="9525" cmpd="sng" cap="flat">
                      <a:noFill/>
                      <a:prstDash val="solid"/>
                      <a:miter/>
                    </a:ln>
                  </pic:spPr>
                </pic:pic>
              </a:graphicData>
            </a:graphic>
          </wp:inline>
        </w:drawing>
      </w:r>
    </w:p>
    <w:p>
      <w:pPr>
        <w:pStyle w:val="17"/>
        <w:autoSpaceDE w:val="0"/>
        <w:autoSpaceDN w:val="0"/>
        <w:spacing w:before="4" w:line="360" w:lineRule="auto"/>
        <w:ind w:right="351"/>
        <w:jc w:val="center"/>
        <w:rPr>
          <w:rFonts w:ascii="宋体" w:eastAsia="宋体" w:cs="宋体" w:hAnsi="宋体" w:hint="eastAsia"/>
          <w:color w:val="auto"/>
          <w:kern w:val="0"/>
          <w:sz w:val="28"/>
          <w:szCs w:val="28"/>
          <w:lang w:eastAsia="zh-CN"/>
        </w:rPr>
      </w:pPr>
      <w:r>
        <w:rPr>
          <w:rFonts w:hint="eastAsia"/>
          <w:b/>
          <w:bCs/>
          <w:color w:val="auto"/>
          <w:lang w:val="en-US" w:eastAsia="zh-CN"/>
        </w:rPr>
        <w:t>百浪岭风电场一期场址北面现状航拍图（1）</w:t>
      </w:r>
    </w:p>
    <w:p>
      <w:pPr>
        <w:pStyle w:val="17"/>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drawing>
          <wp:inline distT="0" distB="0" distL="114300" distR="114300">
            <wp:extent cx="5264785" cy="2461895"/>
            <wp:effectExtent l="0" t="0" r="17" b="6"/>
            <wp:docPr id="43" name="图片 16" descr="QQ20250526-224158"/>
            <wp:cNvGraphicFramePr>
              <a:graphicFrameLocks noChangeAspect="1"/>
            </wp:cNvGraphicFramePr>
            <a:graphic>
              <a:graphicData uri="http://schemas.openxmlformats.org/drawingml/2006/picture">
                <pic:pic>
                  <pic:nvPicPr>
                    <pic:cNvPr id="45" name="图片 16 45"/>
                    <pic:cNvPicPr/>
                  </pic:nvPicPr>
                  <pic:blipFill>
                    <a:blip r:embed="rId17"/>
                    <a:stretch>
                      <a:fillRect/>
                    </a:stretch>
                  </pic:blipFill>
                  <pic:spPr>
                    <a:xfrm rot="0">
                      <a:off x="0" y="0"/>
                      <a:ext cx="5264785" cy="2461895"/>
                    </a:xfrm>
                    <a:prstGeom prst="rect"/>
                    <a:noFill/>
                    <a:ln w="9525" cmpd="sng" cap="flat">
                      <a:noFill/>
                      <a:prstDash val="solid"/>
                      <a:miter/>
                    </a:ln>
                  </pic:spPr>
                </pic:pic>
              </a:graphicData>
            </a:graphic>
          </wp:inline>
        </w:drawing>
      </w:r>
    </w:p>
    <w:p>
      <w:pPr>
        <w:pStyle w:val="17"/>
        <w:autoSpaceDE w:val="0"/>
        <w:autoSpaceDN w:val="0"/>
        <w:spacing w:before="4" w:line="360" w:lineRule="auto"/>
        <w:ind w:right="351"/>
        <w:jc w:val="center"/>
        <w:rPr>
          <w:rFonts w:ascii="宋体" w:eastAsia="宋体" w:cs="宋体" w:hAnsi="宋体" w:hint="eastAsia"/>
          <w:color w:val="auto"/>
          <w:kern w:val="0"/>
          <w:sz w:val="28"/>
          <w:szCs w:val="28"/>
          <w:lang w:eastAsia="zh-CN"/>
        </w:rPr>
      </w:pPr>
      <w:r>
        <w:rPr>
          <w:rFonts w:hint="eastAsia"/>
          <w:b/>
          <w:bCs/>
          <w:color w:val="auto"/>
          <w:lang w:val="en-US" w:eastAsia="zh-CN"/>
        </w:rPr>
        <w:t>百浪岭风电场一期场址南面现状航拍图（2）</w:t>
      </w:r>
      <w:r>
        <w:rPr>
          <w:rFonts w:ascii="宋体" w:eastAsia="宋体" w:cs="宋体" w:hAnsi="宋体" w:hint="eastAsia"/>
          <w:color w:val="auto"/>
          <w:kern w:val="0"/>
          <w:sz w:val="28"/>
          <w:szCs w:val="28"/>
          <w:lang w:eastAsia="zh-CN"/>
        </w:rPr>
        <w:drawing>
          <wp:inline distT="0" distB="0" distL="114300" distR="114300">
            <wp:extent cx="5295265" cy="2983230"/>
            <wp:effectExtent l="0" t="0" r="17" b="46"/>
            <wp:docPr id="46" name="图片 14" descr="1-230RQ34U0115"/>
            <wp:cNvGraphicFramePr>
              <a:graphicFrameLocks noChangeAspect="1"/>
            </wp:cNvGraphicFramePr>
            <a:graphic>
              <a:graphicData uri="http://schemas.openxmlformats.org/drawingml/2006/picture">
                <pic:pic>
                  <pic:nvPicPr>
                    <pic:cNvPr id="48" name="图片 14 48"/>
                    <pic:cNvPicPr/>
                  </pic:nvPicPr>
                  <pic:blipFill>
                    <a:blip r:embed="rId18"/>
                    <a:stretch>
                      <a:fillRect/>
                    </a:stretch>
                  </pic:blipFill>
                  <pic:spPr>
                    <a:xfrm rot="0">
                      <a:off x="0" y="0"/>
                      <a:ext cx="5295265" cy="2983230"/>
                    </a:xfrm>
                    <a:prstGeom prst="rect"/>
                    <a:noFill/>
                    <a:ln w="9525" cmpd="sng" cap="flat">
                      <a:noFill/>
                      <a:prstDash val="solid"/>
                      <a:miter/>
                    </a:ln>
                  </pic:spPr>
                </pic:pic>
              </a:graphicData>
            </a:graphic>
          </wp:inline>
        </w:drawing>
      </w:r>
    </w:p>
    <w:p>
      <w:pPr>
        <w:widowControl/>
        <w:spacing w:before="4" w:line="360" w:lineRule="auto"/>
        <w:ind w:right="351"/>
        <w:jc w:val="center"/>
        <w:rPr>
          <w:rFonts w:hint="eastAsia"/>
          <w:color w:val="auto"/>
          <w:lang w:eastAsia="zh-CN"/>
        </w:rPr>
      </w:pPr>
      <w:r>
        <w:rPr>
          <w:rFonts w:hint="eastAsia"/>
          <w:b/>
          <w:bCs/>
          <w:color w:val="auto"/>
          <w:sz w:val="24"/>
          <w:lang w:eastAsia="zh-CN"/>
        </w:rPr>
        <w:t>现状风电场区周边区域情况</w:t>
      </w:r>
    </w:p>
    <w:p>
      <w:pPr>
        <w:pStyle w:val="1"/>
        <w:numPr>
          <w:ilvl w:val="0"/>
          <w:numId w:val="0"/>
        </w:numPr>
        <w:spacing w:before="260" w:line="360" w:lineRule="auto"/>
        <w:ind w:left="420" w:right="351"/>
        <w:jc w:val="center"/>
        <w:rPr>
          <w:rFonts w:ascii="宋体" w:eastAsia="宋体" w:cs="宋体" w:hAnsi="宋体" w:hint="eastAsia"/>
          <w:color w:val="auto"/>
          <w:sz w:val="30"/>
          <w:szCs w:val="30"/>
          <w:lang w:val="en-US" w:eastAsia="zh-CN"/>
        </w:rPr>
      </w:pPr>
      <w:bookmarkStart w:id="39" w:name="_Toc105"/>
      <w:r>
        <w:rPr>
          <w:rFonts w:ascii="宋体" w:eastAsia="宋体" w:cs="宋体" w:hAnsi="宋体" w:hint="eastAsia"/>
          <w:bCs/>
          <w:color w:val="auto"/>
          <w:sz w:val="32"/>
          <w:szCs w:val="32"/>
          <w:lang w:eastAsia="zh-CN"/>
        </w:rPr>
        <w:t>第三章</w:t>
      </w:r>
      <w:r>
        <w:rPr>
          <w:rFonts w:ascii="宋体" w:eastAsia="宋体" w:cs="宋体" w:hAnsi="宋体" w:hint="eastAsia"/>
          <w:bCs/>
          <w:color w:val="auto"/>
          <w:sz w:val="32"/>
          <w:szCs w:val="32"/>
          <w:lang w:val="en-US" w:eastAsia="zh-CN"/>
        </w:rPr>
        <w:t xml:space="preserve"> </w:t>
      </w:r>
      <w:r>
        <w:rPr>
          <w:rFonts w:ascii="宋体" w:eastAsia="宋体" w:cs="宋体" w:hAnsi="宋体" w:hint="eastAsia"/>
          <w:bCs/>
          <w:color w:val="auto"/>
          <w:sz w:val="32"/>
          <w:szCs w:val="32"/>
        </w:rPr>
        <w:t>用地布局规划</w:t>
      </w:r>
      <w:bookmarkEnd w:id="39"/>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40" w:name="_Toc6835"/>
      <w:r>
        <w:rPr>
          <w:rFonts w:ascii="宋体" w:eastAsia="宋体" w:cs="宋体" w:hAnsi="宋体" w:hint="eastAsia"/>
          <w:bCs/>
          <w:color w:val="auto"/>
          <w:sz w:val="32"/>
          <w:szCs w:val="32"/>
          <w:lang w:val="en-US" w:eastAsia="zh-CN"/>
        </w:rPr>
        <w:t>3.1规划依据</w:t>
      </w:r>
      <w:bookmarkEnd w:id="40"/>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电力工程项目建设用地指标(风电场)</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建标(2011)209号</w:t>
      </w:r>
      <w:r>
        <w:rPr>
          <w:rFonts w:ascii="宋体" w:eastAsia="宋体" w:cs="宋体" w:hAnsi="宋体" w:hint="eastAsia"/>
          <w:color w:val="auto"/>
          <w:kern w:val="0"/>
          <w:sz w:val="28"/>
          <w:szCs w:val="28"/>
          <w:lang w:eastAsia="zh-CN"/>
        </w:rPr>
        <w:t>；</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《风电场工程设计导则</w:t>
      </w:r>
      <w:r>
        <w:rPr>
          <w:rFonts w:ascii="宋体" w:eastAsia="宋体" w:cs="宋体" w:hAnsi="宋体" w:hint="eastAsia"/>
          <w:color w:val="auto"/>
          <w:kern w:val="0"/>
          <w:sz w:val="28"/>
          <w:szCs w:val="28"/>
          <w:lang w:eastAsia="zh-CN"/>
        </w:rPr>
        <w:t>（试行）</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《风</w:t>
      </w:r>
      <w:r>
        <w:rPr>
          <w:rFonts w:ascii="宋体" w:eastAsia="宋体" w:cs="宋体" w:hAnsi="宋体" w:hint="eastAsia"/>
          <w:color w:val="auto"/>
          <w:kern w:val="0"/>
          <w:sz w:val="28"/>
          <w:szCs w:val="28"/>
          <w:lang w:val="en-US" w:eastAsia="zh-CN"/>
        </w:rPr>
        <w:t>力发电场设计规范</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w:t>
      </w:r>
      <w:r>
        <w:rPr>
          <w:rFonts w:ascii="宋体" w:eastAsia="宋体" w:cs="宋体" w:hAnsi="宋体"/>
          <w:color w:val="auto"/>
          <w:kern w:val="0"/>
          <w:sz w:val="28"/>
          <w:szCs w:val="28"/>
        </w:rPr>
        <w:t>GB</w:t>
      </w:r>
      <w:r>
        <w:rPr>
          <w:rFonts w:ascii="宋体" w:eastAsia="宋体" w:cs="宋体" w:hAnsi="宋体" w:hint="eastAsia"/>
          <w:color w:val="auto"/>
          <w:kern w:val="0"/>
          <w:sz w:val="28"/>
          <w:szCs w:val="28"/>
          <w:lang w:eastAsia="zh-CN"/>
        </w:rPr>
        <w:t>5</w:t>
      </w:r>
      <w:r>
        <w:rPr>
          <w:rFonts w:ascii="宋体" w:eastAsia="宋体" w:cs="宋体" w:hAnsi="宋体" w:hint="eastAsia"/>
          <w:color w:val="auto"/>
          <w:kern w:val="0"/>
          <w:sz w:val="28"/>
          <w:szCs w:val="28"/>
          <w:lang w:val="en-US" w:eastAsia="zh-CN"/>
        </w:rPr>
        <w:t>1096</w:t>
      </w:r>
      <w:r>
        <w:rPr>
          <w:rFonts w:ascii="宋体" w:eastAsia="宋体" w:cs="宋体" w:hAnsi="宋体"/>
          <w:color w:val="auto"/>
          <w:kern w:val="0"/>
          <w:sz w:val="28"/>
          <w:szCs w:val="28"/>
        </w:rPr>
        <w:t>-201</w:t>
      </w:r>
      <w:r>
        <w:rPr>
          <w:rFonts w:ascii="宋体" w:eastAsia="宋体" w:cs="宋体" w:hAnsi="宋体" w:hint="eastAsia"/>
          <w:color w:val="auto"/>
          <w:kern w:val="0"/>
          <w:sz w:val="28"/>
          <w:szCs w:val="28"/>
          <w:lang w:val="en-US" w:eastAsia="zh-CN"/>
        </w:rPr>
        <w:t>5</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《建筑设计防火规范》（</w:t>
      </w:r>
      <w:r>
        <w:rPr>
          <w:rFonts w:ascii="宋体" w:eastAsia="宋体" w:cs="宋体" w:hAnsi="宋体"/>
          <w:color w:val="auto"/>
          <w:kern w:val="0"/>
          <w:sz w:val="28"/>
          <w:szCs w:val="28"/>
        </w:rPr>
        <w:t>GB50016-2014）（2018版）</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Times New Roman"/>
          <w:color w:val="auto"/>
          <w:kern w:val="0"/>
          <w:sz w:val="24"/>
          <w:szCs w:val="24"/>
        </w:rPr>
      </w:pPr>
      <w:r>
        <w:rPr>
          <w:rFonts w:ascii="宋体" w:eastAsia="宋体" w:cs="宋体" w:hAnsi="宋体" w:hint="eastAsia"/>
          <w:color w:val="auto"/>
          <w:kern w:val="0"/>
          <w:sz w:val="28"/>
          <w:szCs w:val="28"/>
        </w:rPr>
        <w:t>《建筑防火通用规范》</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GB55037-2022</w:t>
      </w:r>
      <w:r>
        <w:rPr>
          <w:rFonts w:ascii="宋体" w:eastAsia="宋体" w:cs="宋体" w:hAnsi="宋体" w:hint="eastAsia"/>
          <w:color w:val="auto"/>
          <w:kern w:val="0"/>
          <w:sz w:val="28"/>
          <w:szCs w:val="28"/>
          <w:lang w:eastAsia="zh-CN"/>
        </w:rPr>
        <w:t>）</w:t>
      </w:r>
      <w:r>
        <w:rPr>
          <w:rFonts w:ascii="宋体" w:eastAsia="宋体" w:cs="宋体" w:hAnsi="宋体"/>
          <w:color w:val="auto"/>
          <w:kern w:val="0"/>
          <w:sz w:val="28"/>
          <w:szCs w:val="28"/>
        </w:rPr>
        <w:t>；</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《钦州市城市规划技术标准与准则》（</w:t>
      </w:r>
      <w:r>
        <w:rPr>
          <w:rFonts w:ascii="宋体" w:eastAsia="宋体" w:cs="宋体" w:hAnsi="宋体"/>
          <w:color w:val="auto"/>
          <w:kern w:val="0"/>
          <w:sz w:val="28"/>
          <w:szCs w:val="28"/>
        </w:rPr>
        <w:t>2015</w:t>
      </w:r>
      <w:r>
        <w:rPr>
          <w:rFonts w:ascii="宋体" w:eastAsia="宋体" w:cs="宋体" w:hAnsi="宋体" w:hint="eastAsia"/>
          <w:color w:val="auto"/>
          <w:kern w:val="0"/>
          <w:sz w:val="28"/>
          <w:szCs w:val="28"/>
        </w:rPr>
        <w:t>年版）；</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《国土空间调查、规划、用途管制用地用海分类指南》</w:t>
      </w:r>
      <w:r>
        <w:rPr>
          <w:rFonts w:ascii="宋体" w:eastAsia="宋体" w:cs="宋体" w:hAnsi="宋体"/>
          <w:color w:val="auto"/>
          <w:kern w:val="0"/>
          <w:sz w:val="28"/>
          <w:szCs w:val="28"/>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《第三次全国国土调查技术规程》（TD/T 1055—2019）</w:t>
      </w:r>
      <w:r>
        <w:rPr>
          <w:rFonts w:ascii="宋体" w:eastAsia="宋体" w:cs="宋体" w:hAnsi="宋体"/>
          <w:color w:val="auto"/>
          <w:kern w:val="0"/>
          <w:sz w:val="28"/>
          <w:szCs w:val="28"/>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其他相关国家、自治区和钦州市的规划标准、规范</w:t>
      </w:r>
      <w:r>
        <w:rPr>
          <w:rFonts w:ascii="宋体" w:eastAsia="宋体" w:cs="宋体" w:hAnsi="宋体" w:hint="eastAsia"/>
          <w:color w:val="auto"/>
          <w:kern w:val="0"/>
          <w:sz w:val="28"/>
          <w:szCs w:val="28"/>
          <w:lang w:eastAsia="zh-CN"/>
        </w:rPr>
        <w:t>。</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41" w:name="_Toc15696"/>
      <w:r>
        <w:rPr>
          <w:rFonts w:ascii="宋体" w:eastAsia="宋体" w:cs="宋体" w:hAnsi="宋体" w:hint="eastAsia"/>
          <w:bCs/>
          <w:color w:val="auto"/>
          <w:sz w:val="32"/>
          <w:szCs w:val="32"/>
          <w:lang w:val="en-US" w:eastAsia="zh-CN"/>
        </w:rPr>
        <w:t>3.2规划原则</w:t>
      </w:r>
      <w:bookmarkEnd w:id="41"/>
    </w:p>
    <w:p>
      <w:pPr>
        <w:widowControl/>
        <w:spacing w:before="4" w:line="360" w:lineRule="auto"/>
        <w:ind w:left="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风电场工程项目建设应根据风电行业发展的需要，在综合考虑风能资源、场址、电力市场、接入系统和资金筹措能力等建设条件的同时，体现科学、合理和节约集约用地的原则</w:t>
      </w:r>
      <w:r>
        <w:rPr>
          <w:rFonts w:ascii="宋体" w:eastAsia="宋体" w:cs="宋体" w:hAnsi="宋体" w:hint="eastAsia"/>
          <w:color w:val="auto"/>
          <w:kern w:val="0"/>
          <w:sz w:val="28"/>
          <w:szCs w:val="28"/>
          <w:lang w:eastAsia="zh-CN"/>
        </w:rPr>
        <w:t>。</w:t>
      </w:r>
    </w:p>
    <w:p>
      <w:pPr>
        <w:widowControl/>
        <w:spacing w:before="4" w:line="360" w:lineRule="auto"/>
        <w:ind w:left="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lang w:eastAsia="zh-CN"/>
        </w:rPr>
        <w:t>）风电场工程项目建设用地应符合国家土地利用总体规划的要求，尽量使用荒地、未利用地，少占或不占耕地、林地，并尽量避开省级及以上政府部门依法批准的特殊保护区域。</w:t>
      </w:r>
    </w:p>
    <w:p>
      <w:pPr>
        <w:widowControl/>
        <w:spacing w:before="4" w:line="360" w:lineRule="auto"/>
        <w:ind w:left="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3</w:t>
      </w:r>
      <w:r>
        <w:rPr>
          <w:rFonts w:ascii="宋体" w:eastAsia="宋体" w:cs="宋体" w:hAnsi="宋体" w:hint="eastAsia"/>
          <w:color w:val="auto"/>
          <w:kern w:val="0"/>
          <w:sz w:val="28"/>
          <w:szCs w:val="28"/>
          <w:lang w:eastAsia="zh-CN"/>
        </w:rPr>
        <w:t>）风电机组布置应充分利用风能资源、地形、地质条件，合理布置，在满足安全运行、管理方便、技术先进和经济合理等条件下，少占土地。</w:t>
      </w:r>
    </w:p>
    <w:p>
      <w:pPr>
        <w:widowControl/>
        <w:spacing w:before="4" w:line="360" w:lineRule="auto"/>
        <w:ind w:left="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4</w:t>
      </w:r>
      <w:r>
        <w:rPr>
          <w:rFonts w:ascii="宋体" w:eastAsia="宋体" w:cs="宋体" w:hAnsi="宋体" w:hint="eastAsia"/>
          <w:color w:val="auto"/>
          <w:kern w:val="0"/>
          <w:sz w:val="28"/>
          <w:szCs w:val="28"/>
          <w:lang w:eastAsia="zh-CN"/>
        </w:rPr>
        <w:t>）风电场工程项目建设在技术经济合理的条件下，应优先采用单机容量大的风电机组，以达到减少占用土地的目的。</w:t>
      </w:r>
    </w:p>
    <w:p>
      <w:pPr>
        <w:widowControl/>
        <w:spacing w:before="4" w:line="360" w:lineRule="auto"/>
        <w:ind w:left="0" w:right="351" w:firstLineChars="200" w:firstLine="560"/>
        <w:jc w:val="left"/>
        <w:rPr>
          <w:rFonts w:hint="eastAsia"/>
          <w:color w:val="auto"/>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5</w:t>
      </w:r>
      <w:r>
        <w:rPr>
          <w:rFonts w:ascii="宋体" w:eastAsia="宋体" w:cs="宋体" w:hAnsi="宋体" w:hint="eastAsia"/>
          <w:color w:val="auto"/>
          <w:kern w:val="0"/>
          <w:sz w:val="28"/>
          <w:szCs w:val="28"/>
          <w:lang w:eastAsia="zh-CN"/>
        </w:rPr>
        <w:t>）分期建设的风电场工程项目建设用地，应统筹规划，分期征用。近期建设用地应合理集中，可适当预留远期建设发展所需升压变电站及运行管理中心用地，但应严格控制。</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42" w:name="_Toc8828"/>
      <w:r>
        <w:rPr>
          <w:rFonts w:ascii="宋体" w:eastAsia="宋体" w:cs="宋体" w:hAnsi="宋体" w:hint="eastAsia"/>
          <w:bCs/>
          <w:color w:val="auto"/>
          <w:sz w:val="32"/>
          <w:szCs w:val="32"/>
          <w:lang w:val="en-US" w:eastAsia="zh-CN"/>
        </w:rPr>
        <w:t>3.3土地利用规划</w:t>
      </w:r>
      <w:bookmarkEnd w:id="42"/>
    </w:p>
    <w:p>
      <w:pPr>
        <w:pStyle w:val="17"/>
        <w:widowControl/>
        <w:autoSpaceDE w:val="0"/>
        <w:autoSpaceDN w:val="0"/>
        <w:spacing w:before="4" w:line="420" w:lineRule="auto"/>
        <w:ind w:left="118" w:right="351" w:firstLineChars="200" w:firstLine="560"/>
        <w:jc w:val="left"/>
        <w:rPr>
          <w:rFonts w:ascii="宋体" w:eastAsia="宋体" w:cs="宋体" w:hAnsi="宋体" w:hint="eastAsia"/>
          <w:color w:val="auto"/>
          <w:kern w:val="0"/>
          <w:sz w:val="28"/>
          <w:szCs w:val="28"/>
          <w:lang w:eastAsia="zh-CN"/>
        </w:rPr>
      </w:pPr>
      <w:r>
        <w:rPr>
          <w:rFonts w:hint="eastAsia"/>
          <w:b/>
          <w:bCs/>
          <w:color w:val="auto"/>
          <w:sz w:val="28"/>
          <w:szCs w:val="28"/>
          <w:lang w:val="en-US" w:eastAsia="zh-CN"/>
        </w:rPr>
        <w:t>3.3.1 用地性质</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本规划为钦北区百浪岭风电场一期</w:t>
      </w:r>
      <w:r>
        <w:rPr>
          <w:rFonts w:ascii="宋体" w:eastAsia="宋体" w:cs="宋体" w:hAnsi="宋体" w:hint="eastAsia"/>
          <w:color w:val="auto"/>
          <w:kern w:val="0"/>
          <w:sz w:val="28"/>
          <w:szCs w:val="28"/>
        </w:rPr>
        <w:t>项目</w:t>
      </w:r>
      <w:r>
        <w:rPr>
          <w:rFonts w:ascii="宋体" w:eastAsia="宋体" w:cs="宋体" w:hAnsi="宋体" w:hint="eastAsia"/>
          <w:color w:val="auto"/>
          <w:kern w:val="0"/>
          <w:sz w:val="28"/>
          <w:szCs w:val="28"/>
          <w:lang w:eastAsia="zh-CN"/>
        </w:rPr>
        <w:t>独立地块控制性详细规划，项目用地位于钦北区大寺镇和大直镇行政交界区域，目前</w:t>
      </w:r>
      <w:r>
        <w:rPr>
          <w:rFonts w:ascii="宋体" w:eastAsia="宋体" w:cs="宋体" w:hAnsi="宋体" w:hint="eastAsia"/>
          <w:color w:val="auto"/>
          <w:kern w:val="0"/>
          <w:sz w:val="28"/>
          <w:szCs w:val="28"/>
        </w:rPr>
        <w:t>地块已纳入</w:t>
      </w:r>
      <w:r>
        <w:rPr>
          <w:rFonts w:ascii="宋体" w:eastAsia="宋体" w:cs="宋体" w:hAnsi="宋体" w:hint="eastAsia"/>
          <w:color w:val="auto"/>
          <w:kern w:val="0"/>
          <w:sz w:val="28"/>
          <w:szCs w:val="28"/>
          <w:lang w:eastAsia="zh-CN"/>
        </w:rPr>
        <w:t>钦州市</w:t>
      </w:r>
      <w:r>
        <w:rPr>
          <w:rFonts w:ascii="宋体" w:eastAsia="宋体" w:cs="宋体" w:hAnsi="宋体" w:hint="eastAsia"/>
          <w:color w:val="auto"/>
          <w:kern w:val="0"/>
          <w:sz w:val="28"/>
          <w:szCs w:val="28"/>
        </w:rPr>
        <w:t>国土空间总体规划</w:t>
      </w:r>
      <w:r>
        <w:rPr>
          <w:rFonts w:ascii="宋体" w:eastAsia="宋体" w:cs="宋体" w:hAnsi="宋体" w:hint="eastAsia"/>
          <w:color w:val="auto"/>
          <w:kern w:val="0"/>
          <w:sz w:val="28"/>
          <w:szCs w:val="28"/>
          <w:lang w:eastAsia="zh-CN"/>
        </w:rPr>
        <w:t>，规划地块用地性质为一级类“公用设施用地”（代码13）中的二级类——“供电用地”（代码1303）。</w:t>
      </w:r>
    </w:p>
    <w:p>
      <w:pPr>
        <w:widowControl/>
        <w:spacing w:before="4" w:line="360" w:lineRule="auto"/>
        <w:ind w:left="118" w:right="351" w:firstLineChars="200" w:firstLine="560"/>
        <w:jc w:val="left"/>
        <w:rPr>
          <w:rFonts w:ascii="宋体" w:eastAsia="宋体" w:cs="宋体" w:hAnsi="宋体" w:hint="eastAsia"/>
          <w:b/>
          <w:bCs/>
          <w:color w:val="auto"/>
          <w:kern w:val="2"/>
          <w:sz w:val="28"/>
          <w:szCs w:val="28"/>
          <w:lang w:val="en-US" w:eastAsia="zh-CN" w:bidi="zh-CN"/>
        </w:rPr>
      </w:pPr>
      <w:r>
        <w:rPr>
          <w:rFonts w:ascii="宋体" w:eastAsia="宋体" w:cs="宋体" w:hAnsi="宋体" w:hint="eastAsia"/>
          <w:b/>
          <w:bCs/>
          <w:color w:val="auto"/>
          <w:kern w:val="2"/>
          <w:sz w:val="28"/>
          <w:szCs w:val="28"/>
          <w:lang w:val="en-US" w:eastAsia="zh-CN" w:bidi="zh-CN"/>
        </w:rPr>
        <w:t>3.3.2 功能分区</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钦北区百浪岭风电场一期</w:t>
      </w:r>
      <w:r>
        <w:rPr>
          <w:rFonts w:ascii="宋体" w:eastAsia="宋体" w:cs="宋体" w:hAnsi="宋体" w:hint="eastAsia"/>
          <w:color w:val="auto"/>
          <w:kern w:val="0"/>
          <w:sz w:val="28"/>
          <w:szCs w:val="28"/>
        </w:rPr>
        <w:t>工程</w:t>
      </w:r>
      <w:r>
        <w:rPr>
          <w:rFonts w:ascii="宋体" w:eastAsia="宋体" w:cs="宋体" w:hAnsi="宋体" w:hint="eastAsia"/>
          <w:color w:val="auto"/>
          <w:kern w:val="0"/>
          <w:sz w:val="28"/>
          <w:szCs w:val="28"/>
          <w:lang w:eastAsia="zh-CN"/>
        </w:rPr>
        <w:t>整个项目场址涉及的区域范围：</w:t>
      </w:r>
      <w:r>
        <w:rPr>
          <w:rFonts w:ascii="宋体" w:eastAsia="宋体" w:cs="宋体" w:hAnsi="宋体" w:hint="eastAsia"/>
          <w:color w:val="auto"/>
          <w:kern w:val="0"/>
          <w:sz w:val="28"/>
          <w:szCs w:val="28"/>
        </w:rPr>
        <w:t>东西</w:t>
      </w:r>
      <w:r>
        <w:rPr>
          <w:rFonts w:ascii="宋体" w:eastAsia="宋体" w:cs="宋体" w:hAnsi="宋体" w:hint="eastAsia"/>
          <w:color w:val="auto"/>
          <w:kern w:val="0"/>
          <w:sz w:val="28"/>
          <w:szCs w:val="28"/>
          <w:lang w:eastAsia="zh-CN"/>
        </w:rPr>
        <w:t>跨度</w:t>
      </w:r>
      <w:r>
        <w:rPr>
          <w:rFonts w:ascii="宋体" w:eastAsia="宋体" w:cs="宋体" w:hAnsi="宋体" w:hint="eastAsia"/>
          <w:color w:val="auto"/>
          <w:kern w:val="0"/>
          <w:sz w:val="28"/>
          <w:szCs w:val="28"/>
        </w:rPr>
        <w:t>约</w:t>
      </w:r>
      <w:r>
        <w:rPr>
          <w:rFonts w:ascii="宋体" w:eastAsia="宋体" w:cs="宋体" w:hAnsi="宋体" w:hint="eastAsia"/>
          <w:color w:val="auto"/>
          <w:kern w:val="0"/>
          <w:sz w:val="28"/>
          <w:szCs w:val="28"/>
          <w:lang w:val="en-US" w:eastAsia="zh-CN"/>
        </w:rPr>
        <w:t>5.5</w:t>
      </w:r>
      <w:r>
        <w:rPr>
          <w:rFonts w:ascii="宋体" w:eastAsia="宋体" w:cs="宋体" w:hAnsi="宋体" w:hint="eastAsia"/>
          <w:color w:val="auto"/>
          <w:kern w:val="0"/>
          <w:sz w:val="28"/>
          <w:szCs w:val="28"/>
        </w:rPr>
        <w:t>km</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南北</w:t>
      </w:r>
      <w:r>
        <w:rPr>
          <w:rFonts w:ascii="宋体" w:eastAsia="宋体" w:cs="宋体" w:hAnsi="宋体" w:hint="eastAsia"/>
          <w:color w:val="auto"/>
          <w:kern w:val="0"/>
          <w:sz w:val="28"/>
          <w:szCs w:val="28"/>
          <w:lang w:eastAsia="zh-CN"/>
        </w:rPr>
        <w:t>跨度</w:t>
      </w:r>
      <w:r>
        <w:rPr>
          <w:rFonts w:ascii="宋体" w:eastAsia="宋体" w:cs="宋体" w:hAnsi="宋体" w:hint="eastAsia"/>
          <w:color w:val="auto"/>
          <w:kern w:val="0"/>
          <w:sz w:val="28"/>
          <w:szCs w:val="28"/>
        </w:rPr>
        <w:t>约</w:t>
      </w:r>
      <w:r>
        <w:rPr>
          <w:rFonts w:ascii="宋体" w:eastAsia="宋体" w:cs="宋体" w:hAnsi="宋体" w:hint="eastAsia"/>
          <w:color w:val="auto"/>
          <w:kern w:val="0"/>
          <w:sz w:val="28"/>
          <w:szCs w:val="28"/>
          <w:lang w:val="en-US" w:eastAsia="zh-CN"/>
        </w:rPr>
        <w:t>6</w:t>
      </w:r>
      <w:r>
        <w:rPr>
          <w:rFonts w:ascii="宋体" w:eastAsia="宋体" w:cs="宋体" w:hAnsi="宋体" w:hint="eastAsia"/>
          <w:color w:val="auto"/>
          <w:kern w:val="0"/>
          <w:sz w:val="28"/>
          <w:szCs w:val="28"/>
        </w:rPr>
        <w:t>km</w:t>
      </w:r>
      <w:r>
        <w:rPr>
          <w:rFonts w:ascii="宋体" w:eastAsia="宋体" w:cs="宋体" w:hAnsi="宋体" w:hint="eastAsia"/>
          <w:color w:val="auto"/>
          <w:kern w:val="0"/>
          <w:sz w:val="28"/>
          <w:szCs w:val="28"/>
          <w:lang w:eastAsia="zh-CN"/>
        </w:rPr>
        <w:t>。共规划安装1</w:t>
      </w:r>
      <w:r>
        <w:rPr>
          <w:rFonts w:ascii="宋体" w:eastAsia="宋体" w:cs="宋体" w:hAnsi="宋体" w:hint="eastAsia"/>
          <w:color w:val="auto"/>
          <w:kern w:val="0"/>
          <w:sz w:val="28"/>
          <w:szCs w:val="28"/>
          <w:lang w:val="en-US" w:eastAsia="zh-CN"/>
        </w:rPr>
        <w:t>7</w:t>
      </w:r>
      <w:r>
        <w:rPr>
          <w:rFonts w:ascii="宋体" w:eastAsia="宋体" w:cs="宋体" w:hAnsi="宋体" w:hint="eastAsia"/>
          <w:color w:val="auto"/>
          <w:kern w:val="0"/>
          <w:sz w:val="28"/>
          <w:szCs w:val="28"/>
          <w:lang w:eastAsia="zh-CN"/>
        </w:rPr>
        <w:t>组风电机组，并在场址范围内规划建设一座</w:t>
      </w:r>
      <w:r>
        <w:rPr>
          <w:rFonts w:ascii="宋体" w:eastAsia="宋体" w:cs="宋体" w:hAnsi="宋体" w:hint="eastAsia"/>
          <w:color w:val="auto"/>
          <w:kern w:val="0"/>
          <w:sz w:val="28"/>
          <w:szCs w:val="28"/>
          <w:lang w:val="en-US" w:eastAsia="zh-CN"/>
        </w:rPr>
        <w:t>110</w:t>
      </w:r>
      <w:r>
        <w:rPr>
          <w:rFonts w:ascii="宋体" w:eastAsia="宋体" w:cs="宋体" w:hAnsi="宋体" w:hint="eastAsia"/>
          <w:color w:val="auto"/>
          <w:kern w:val="0"/>
          <w:sz w:val="28"/>
          <w:szCs w:val="28"/>
          <w:lang w:eastAsia="zh-CN"/>
        </w:rPr>
        <w:t>kV升压站。风电场内由施工检修干道连接各零散地块，呈树枝状布局。本规划在用地现状实际地形的基础上，参照《</w:t>
      </w:r>
      <w:r>
        <w:rPr>
          <w:rFonts w:ascii="宋体" w:eastAsia="宋体" w:cs="宋体" w:hAnsi="宋体" w:hint="eastAsia"/>
          <w:color w:val="auto"/>
          <w:kern w:val="0"/>
          <w:sz w:val="28"/>
          <w:szCs w:val="28"/>
        </w:rPr>
        <w:t>电力工程项目建设用地指标(风电场)</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建标(2011)209号</w:t>
      </w:r>
      <w:r>
        <w:rPr>
          <w:rFonts w:ascii="宋体" w:eastAsia="宋体" w:cs="宋体" w:hAnsi="宋体" w:hint="eastAsia"/>
          <w:color w:val="auto"/>
          <w:kern w:val="0"/>
          <w:sz w:val="28"/>
          <w:szCs w:val="28"/>
          <w:lang w:eastAsia="zh-CN"/>
        </w:rPr>
        <w:t>和</w:t>
      </w:r>
      <w:r>
        <w:rPr>
          <w:rFonts w:ascii="宋体" w:eastAsia="宋体" w:cs="宋体" w:hAnsi="宋体" w:hint="eastAsia"/>
          <w:color w:val="auto"/>
          <w:kern w:val="0"/>
          <w:sz w:val="28"/>
          <w:szCs w:val="28"/>
        </w:rPr>
        <w:t>《风电场工程设计导则》</w:t>
      </w:r>
      <w:r>
        <w:rPr>
          <w:rFonts w:ascii="宋体" w:eastAsia="宋体" w:cs="宋体" w:hAnsi="宋体" w:hint="eastAsia"/>
          <w:color w:val="auto"/>
          <w:kern w:val="0"/>
          <w:sz w:val="28"/>
          <w:szCs w:val="28"/>
          <w:lang w:eastAsia="zh-CN"/>
        </w:rPr>
        <w:t>，对地块建设用地按规范进行规划布局及管控，合理的将风电场项目用地划分功能分区，主要分为变电生产区、运行管理中心区、场内道路交通区等功能分区。</w:t>
      </w:r>
    </w:p>
    <w:p>
      <w:pPr>
        <w:widowControl/>
        <w:spacing w:before="4" w:line="360" w:lineRule="auto"/>
        <w:ind w:left="118" w:right="351" w:firstLineChars="200" w:firstLine="560"/>
        <w:jc w:val="left"/>
        <w:rPr>
          <w:rFonts w:ascii="宋体" w:eastAsia="宋体" w:cs="宋体" w:hAnsi="宋体" w:hint="eastAsia"/>
          <w:b/>
          <w:bCs/>
          <w:color w:val="auto"/>
          <w:kern w:val="2"/>
          <w:sz w:val="28"/>
          <w:szCs w:val="28"/>
          <w:lang w:val="en-US" w:eastAsia="zh-CN" w:bidi="zh-CN"/>
        </w:rPr>
      </w:pPr>
      <w:r>
        <w:rPr>
          <w:rFonts w:ascii="宋体" w:eastAsia="宋体" w:cs="宋体" w:hAnsi="宋体" w:hint="eastAsia"/>
          <w:b/>
          <w:bCs/>
          <w:color w:val="auto"/>
          <w:kern w:val="2"/>
          <w:sz w:val="28"/>
          <w:szCs w:val="28"/>
          <w:lang w:val="en-US" w:eastAsia="zh-CN" w:bidi="zh-CN"/>
        </w:rPr>
        <w:t>3.3.3 用地布局</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val="en-US" w:eastAsia="zh-CN"/>
        </w:rPr>
        <w:t>（1）风电场</w:t>
      </w:r>
      <w:r>
        <w:rPr>
          <w:rFonts w:ascii="宋体" w:eastAsia="宋体" w:cs="宋体" w:hAnsi="宋体" w:hint="eastAsia"/>
          <w:color w:val="auto"/>
          <w:kern w:val="0"/>
          <w:sz w:val="28"/>
          <w:szCs w:val="28"/>
          <w:lang w:eastAsia="zh-CN"/>
        </w:rPr>
        <w:t>总体布局</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规划风力发电场总体布局主要由以下部分组成：</w:t>
      </w:r>
    </w:p>
    <w:p>
      <w:pPr>
        <w:widowControl/>
        <w:spacing w:before="4" w:line="360" w:lineRule="auto"/>
        <w:ind w:leftChars="200" w:left="420" w:right="351" w:firstLineChars="100" w:firstLine="28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lang w:eastAsia="zh-CN"/>
        </w:rPr>
        <w:t>风力发电机组的布置；</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lang w:eastAsia="zh-CN"/>
        </w:rPr>
        <w:t>风力发电机组变电单元（箱变）布置；</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val="en-US" w:eastAsia="zh-CN"/>
        </w:rPr>
        <w:t>3）</w:t>
      </w:r>
      <w:r>
        <w:rPr>
          <w:rFonts w:ascii="宋体" w:eastAsia="宋体" w:cs="宋体" w:hAnsi="宋体" w:hint="eastAsia"/>
          <w:color w:val="auto"/>
          <w:kern w:val="0"/>
          <w:sz w:val="28"/>
          <w:szCs w:val="28"/>
          <w:lang w:eastAsia="zh-CN"/>
        </w:rPr>
        <w:t>升压站建筑物及变电站设备布置；</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val="en-US" w:eastAsia="zh-CN"/>
        </w:rPr>
        <w:t>4）</w:t>
      </w:r>
      <w:r>
        <w:rPr>
          <w:rFonts w:ascii="宋体" w:eastAsia="宋体" w:cs="宋体" w:hAnsi="宋体" w:hint="eastAsia"/>
          <w:color w:val="auto"/>
          <w:kern w:val="0"/>
          <w:sz w:val="28"/>
          <w:szCs w:val="28"/>
          <w:lang w:eastAsia="zh-CN"/>
        </w:rPr>
        <w:t>场区集电线路布置；</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val="en-US" w:eastAsia="zh-CN"/>
        </w:rPr>
        <w:t>5）</w:t>
      </w:r>
      <w:r>
        <w:rPr>
          <w:rFonts w:ascii="宋体" w:eastAsia="宋体" w:cs="宋体" w:hAnsi="宋体" w:hint="eastAsia"/>
          <w:color w:val="auto"/>
          <w:kern w:val="0"/>
          <w:sz w:val="28"/>
          <w:szCs w:val="28"/>
          <w:lang w:eastAsia="zh-CN"/>
        </w:rPr>
        <w:t>中央监控通信系统布置；</w:t>
      </w:r>
    </w:p>
    <w:p>
      <w:pPr>
        <w:widowControl/>
        <w:spacing w:before="4" w:line="360" w:lineRule="auto"/>
        <w:ind w:left="118" w:right="351" w:firstLineChars="200" w:firstLine="560"/>
        <w:jc w:val="left"/>
        <w:rPr>
          <w:rFonts w:hint="eastAsia"/>
          <w:color w:val="auto"/>
          <w:lang w:eastAsia="zh-CN"/>
        </w:rPr>
      </w:pPr>
      <w:r>
        <w:rPr>
          <w:rFonts w:ascii="宋体" w:eastAsia="宋体" w:cs="宋体" w:hAnsi="宋体" w:hint="eastAsia"/>
          <w:color w:val="auto"/>
          <w:kern w:val="0"/>
          <w:sz w:val="28"/>
          <w:szCs w:val="28"/>
          <w:lang w:val="en-US" w:eastAsia="zh-CN"/>
        </w:rPr>
        <w:t>6）</w:t>
      </w:r>
      <w:r>
        <w:rPr>
          <w:rFonts w:ascii="宋体" w:eastAsia="宋体" w:cs="宋体" w:hAnsi="宋体" w:hint="eastAsia"/>
          <w:color w:val="auto"/>
          <w:kern w:val="0"/>
          <w:sz w:val="28"/>
          <w:szCs w:val="28"/>
          <w:lang w:eastAsia="zh-CN"/>
        </w:rPr>
        <w:t>场区道路；</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val="en-US" w:eastAsia="zh-CN"/>
        </w:rPr>
        <w:t>7）</w:t>
      </w:r>
      <w:r>
        <w:rPr>
          <w:rFonts w:ascii="宋体" w:eastAsia="宋体" w:cs="宋体" w:hAnsi="宋体" w:hint="eastAsia"/>
          <w:color w:val="auto"/>
          <w:kern w:val="0"/>
          <w:sz w:val="28"/>
          <w:szCs w:val="28"/>
          <w:lang w:eastAsia="zh-CN"/>
        </w:rPr>
        <w:t>其他防护及供应设施（防洪、防雷、防火、供水等）。</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lang w:eastAsia="zh-CN"/>
        </w:rPr>
        <w:t>风电机组和变电单元（箱变）用地布局</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风电场</w:t>
      </w:r>
      <w:r>
        <w:rPr>
          <w:rFonts w:ascii="宋体" w:eastAsia="宋体" w:cs="宋体" w:hAnsi="宋体" w:hint="eastAsia"/>
          <w:color w:val="auto"/>
          <w:kern w:val="0"/>
          <w:sz w:val="28"/>
          <w:szCs w:val="28"/>
          <w:lang w:val="en-US" w:eastAsia="zh-CN"/>
        </w:rPr>
        <w:t>17组</w:t>
      </w:r>
      <w:r>
        <w:rPr>
          <w:rFonts w:ascii="宋体" w:eastAsia="宋体" w:cs="宋体" w:hAnsi="宋体" w:hint="eastAsia"/>
          <w:color w:val="auto"/>
          <w:kern w:val="0"/>
          <w:sz w:val="28"/>
          <w:szCs w:val="28"/>
          <w:lang w:eastAsia="zh-CN"/>
        </w:rPr>
        <w:t>风电机组用地零星分布于钦北区大寺镇与大直镇交界处一带的山脊或山包区域，整体呈树枝状布局，大部分风电机组之间的距离在</w:t>
      </w:r>
      <w:r>
        <w:rPr>
          <w:rFonts w:ascii="宋体" w:eastAsia="宋体" w:cs="宋体" w:hAnsi="宋体" w:hint="eastAsia"/>
          <w:color w:val="auto"/>
          <w:kern w:val="0"/>
          <w:sz w:val="28"/>
          <w:szCs w:val="28"/>
          <w:lang w:val="en-US" w:eastAsia="zh-CN"/>
        </w:rPr>
        <w:t>250～400米之间，少部分距离＞800米，</w:t>
      </w:r>
      <w:r>
        <w:rPr>
          <w:rFonts w:ascii="宋体" w:eastAsia="宋体" w:cs="宋体" w:hAnsi="宋体" w:hint="eastAsia"/>
          <w:color w:val="auto"/>
          <w:kern w:val="0"/>
          <w:sz w:val="28"/>
          <w:szCs w:val="28"/>
          <w:lang w:eastAsia="zh-CN"/>
        </w:rPr>
        <w:t>用地相对较为集中。</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17组</w:t>
      </w:r>
      <w:r>
        <w:rPr>
          <w:rFonts w:ascii="宋体" w:eastAsia="宋体" w:cs="宋体" w:hAnsi="宋体" w:hint="eastAsia"/>
          <w:color w:val="auto"/>
          <w:kern w:val="0"/>
          <w:sz w:val="28"/>
          <w:szCs w:val="28"/>
          <w:lang w:eastAsia="zh-CN"/>
        </w:rPr>
        <w:t>风电机组用地面积共</w:t>
      </w:r>
      <w:r>
        <w:rPr>
          <w:rFonts w:ascii="宋体" w:eastAsia="宋体" w:cs="宋体" w:hAnsi="宋体" w:hint="eastAsia"/>
          <w:color w:val="auto"/>
          <w:kern w:val="0"/>
          <w:sz w:val="28"/>
          <w:szCs w:val="28"/>
          <w:lang w:val="en-US" w:eastAsia="zh-CN"/>
        </w:rPr>
        <w:t>5410.2262平方米，</w:t>
      </w:r>
      <w:r>
        <w:rPr>
          <w:rFonts w:ascii="宋体" w:eastAsia="宋体" w:cs="宋体" w:hAnsi="宋体" w:hint="eastAsia"/>
          <w:color w:val="auto"/>
          <w:kern w:val="0"/>
          <w:sz w:val="28"/>
          <w:szCs w:val="28"/>
          <w:lang w:eastAsia="zh-CN"/>
        </w:rPr>
        <w:t>每组风电机组用地面积</w:t>
      </w:r>
      <w:r>
        <w:rPr>
          <w:rFonts w:ascii="宋体" w:eastAsia="宋体" w:cs="宋体" w:hAnsi="宋体" w:hint="eastAsia"/>
          <w:color w:val="auto"/>
          <w:kern w:val="0"/>
          <w:sz w:val="28"/>
          <w:szCs w:val="28"/>
          <w:lang w:val="en-US" w:eastAsia="zh-CN"/>
        </w:rPr>
        <w:t>318.2486平方米，地块形状呈正八边形，用地内主要布置1台</w:t>
      </w:r>
      <w:r>
        <w:rPr>
          <w:rFonts w:ascii="宋体" w:eastAsia="宋体" w:cs="宋体" w:hAnsi="宋体" w:hint="eastAsia"/>
          <w:color w:val="auto"/>
          <w:kern w:val="0"/>
          <w:sz w:val="28"/>
          <w:szCs w:val="28"/>
          <w:lang w:eastAsia="zh-CN"/>
        </w:rPr>
        <w:t>风机和</w:t>
      </w:r>
      <w:r>
        <w:rPr>
          <w:rFonts w:ascii="宋体" w:eastAsia="宋体" w:cs="宋体" w:hAnsi="宋体" w:hint="eastAsia"/>
          <w:color w:val="auto"/>
          <w:kern w:val="0"/>
          <w:sz w:val="28"/>
          <w:szCs w:val="28"/>
          <w:lang w:val="en-US" w:eastAsia="zh-CN"/>
        </w:rPr>
        <w:t>1台箱式变压器。</w:t>
      </w:r>
    </w:p>
    <w:p>
      <w:pPr>
        <w:pStyle w:val="27"/>
        <w:ind w:firstLineChars="200" w:firstLine="560"/>
        <w:rPr>
          <w:rFonts w:hint="eastAsia"/>
          <w:color w:val="auto"/>
          <w:lang w:eastAsia="zh-CN"/>
        </w:rPr>
      </w:pPr>
      <w:r>
        <w:rPr>
          <w:rFonts w:ascii="宋体" w:eastAsia="宋体" w:cs="宋体" w:hAnsi="宋体" w:hint="eastAsia"/>
          <w:color w:val="auto"/>
          <w:kern w:val="0"/>
          <w:sz w:val="28"/>
          <w:szCs w:val="28"/>
          <w:lang w:eastAsia="zh-CN"/>
        </w:rPr>
        <w:t>本工程风力发电机与箱式变</w:t>
      </w:r>
      <w:r>
        <w:rPr>
          <w:rFonts w:cs="宋体" w:hAnsi="宋体" w:hint="eastAsia"/>
          <w:color w:val="auto"/>
          <w:kern w:val="0"/>
          <w:sz w:val="28"/>
          <w:szCs w:val="28"/>
          <w:lang w:eastAsia="zh-CN"/>
        </w:rPr>
        <w:t>压器</w:t>
      </w:r>
      <w:r>
        <w:rPr>
          <w:rFonts w:ascii="宋体" w:eastAsia="宋体" w:cs="宋体" w:hAnsi="宋体" w:hint="eastAsia"/>
          <w:color w:val="auto"/>
          <w:kern w:val="0"/>
          <w:sz w:val="28"/>
          <w:szCs w:val="28"/>
          <w:lang w:eastAsia="zh-CN"/>
        </w:rPr>
        <w:t>组合方式采用一机一变方案，即每台风机配备一台箱式变电站，布置于风机基础电缆埋管的出线侧。各风电机组</w:t>
      </w:r>
      <w:r>
        <w:rPr>
          <w:rFonts w:cs="宋体" w:hAnsi="宋体" w:hint="eastAsia"/>
          <w:color w:val="auto"/>
          <w:kern w:val="0"/>
          <w:sz w:val="28"/>
          <w:szCs w:val="28"/>
          <w:lang w:eastAsia="zh-CN"/>
        </w:rPr>
        <w:t>通过</w:t>
      </w:r>
      <w:r>
        <w:rPr>
          <w:rFonts w:ascii="宋体" w:eastAsia="宋体" w:cs="宋体" w:hAnsi="宋体" w:hint="eastAsia"/>
          <w:color w:val="auto"/>
          <w:kern w:val="0"/>
          <w:sz w:val="28"/>
          <w:szCs w:val="28"/>
          <w:lang w:eastAsia="zh-CN"/>
        </w:rPr>
        <w:t>集电线路接入升压站</w:t>
      </w:r>
      <w:r>
        <w:rPr>
          <w:rFonts w:cs="宋体" w:hAnsi="宋体" w:hint="eastAsia"/>
          <w:color w:val="auto"/>
          <w:kern w:val="0"/>
          <w:sz w:val="28"/>
          <w:szCs w:val="28"/>
          <w:lang w:eastAsia="zh-CN"/>
        </w:rPr>
        <w:t>用地，</w:t>
      </w:r>
      <w:r>
        <w:rPr>
          <w:rFonts w:ascii="宋体" w:eastAsia="宋体" w:cs="宋体" w:hAnsi="宋体" w:hint="eastAsia"/>
          <w:color w:val="auto"/>
          <w:kern w:val="0"/>
          <w:sz w:val="28"/>
          <w:szCs w:val="28"/>
          <w:lang w:eastAsia="zh-CN"/>
        </w:rPr>
        <w:t>从升压站以</w:t>
      </w:r>
      <w:r>
        <w:rPr>
          <w:rFonts w:cs="宋体" w:hAnsi="宋体" w:hint="eastAsia"/>
          <w:color w:val="auto"/>
          <w:kern w:val="0"/>
          <w:sz w:val="28"/>
          <w:szCs w:val="28"/>
          <w:lang w:val="en-US" w:eastAsia="zh-CN"/>
        </w:rPr>
        <w:t>110</w:t>
      </w:r>
      <w:r>
        <w:rPr>
          <w:rFonts w:cs="宋体" w:hAnsi="宋体" w:hint="eastAsia"/>
          <w:color w:val="auto"/>
          <w:kern w:val="0"/>
          <w:sz w:val="28"/>
          <w:szCs w:val="28"/>
          <w:lang w:eastAsia="zh-CN"/>
        </w:rPr>
        <w:t>kV</w:t>
      </w:r>
      <w:r>
        <w:rPr>
          <w:rFonts w:ascii="宋体" w:eastAsia="宋体" w:cs="宋体" w:hAnsi="宋体" w:hint="eastAsia"/>
          <w:color w:val="auto"/>
          <w:kern w:val="0"/>
          <w:sz w:val="28"/>
          <w:szCs w:val="28"/>
          <w:lang w:eastAsia="zh-CN"/>
        </w:rPr>
        <w:t>等级电压接入电网系统</w:t>
      </w:r>
      <w:r>
        <w:rPr>
          <w:rFonts w:cs="宋体" w:hAnsi="宋体" w:hint="eastAsia"/>
          <w:color w:val="auto"/>
          <w:kern w:val="0"/>
          <w:sz w:val="28"/>
          <w:szCs w:val="28"/>
          <w:lang w:eastAsia="zh-CN"/>
        </w:rPr>
        <w:t>。</w:t>
      </w:r>
    </w:p>
    <w:p>
      <w:pPr>
        <w:widowControl/>
        <w:spacing w:before="4" w:line="360" w:lineRule="auto"/>
        <w:ind w:left="118" w:right="351" w:firstLineChars="200" w:firstLine="560"/>
        <w:jc w:val="left"/>
        <w:rPr>
          <w:rFonts w:hint="eastAsia"/>
          <w:color w:val="auto"/>
          <w:lang w:eastAsia="zh-CN"/>
        </w:rPr>
      </w:pPr>
      <w:r>
        <w:rPr>
          <w:rFonts w:ascii="宋体" w:eastAsia="宋体" w:cs="宋体" w:hAnsi="宋体" w:hint="eastAsia"/>
          <w:color w:val="auto"/>
          <w:kern w:val="0"/>
          <w:sz w:val="28"/>
          <w:szCs w:val="28"/>
          <w:lang w:val="en-US" w:eastAsia="zh-CN"/>
        </w:rPr>
        <w:t>（3）</w:t>
      </w:r>
      <w:r>
        <w:rPr>
          <w:rFonts w:ascii="宋体" w:eastAsia="宋体" w:cs="宋体" w:hAnsi="宋体" w:hint="eastAsia"/>
          <w:color w:val="auto"/>
          <w:kern w:val="0"/>
          <w:sz w:val="28"/>
          <w:szCs w:val="28"/>
          <w:lang w:eastAsia="zh-CN"/>
        </w:rPr>
        <w:t>升压站用地布局</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eastAsia="zh-CN"/>
        </w:rPr>
        <w:t>本项目规划的升压站属110kV变电站，升压站平面形状大体呈正方形，南北偏东朝向，规划范围面积为</w:t>
      </w:r>
      <w:r>
        <w:rPr>
          <w:rFonts w:ascii="宋体" w:eastAsia="宋体" w:cs="宋体" w:hAnsi="宋体" w:hint="eastAsia"/>
          <w:color w:val="auto"/>
          <w:kern w:val="0"/>
          <w:sz w:val="28"/>
          <w:szCs w:val="28"/>
          <w:lang w:val="en-US" w:eastAsia="zh-CN"/>
        </w:rPr>
        <w:t>3232.1431平方米，站内</w:t>
      </w:r>
      <w:r>
        <w:rPr>
          <w:rFonts w:ascii="宋体" w:eastAsia="宋体" w:cs="宋体" w:hAnsi="宋体" w:hint="eastAsia"/>
          <w:color w:val="auto"/>
          <w:kern w:val="0"/>
          <w:sz w:val="28"/>
          <w:szCs w:val="28"/>
          <w:lang w:eastAsia="zh-CN"/>
        </w:rPr>
        <w:t>地块</w:t>
      </w:r>
      <w:r>
        <w:rPr>
          <w:rFonts w:ascii="宋体" w:eastAsia="宋体" w:cs="宋体" w:hAnsi="宋体" w:hint="eastAsia"/>
          <w:color w:val="auto"/>
          <w:kern w:val="0"/>
          <w:sz w:val="28"/>
          <w:szCs w:val="28"/>
          <w:lang w:val="en-US" w:eastAsia="zh-CN"/>
        </w:rPr>
        <w:t>东西长约57.2米，</w:t>
      </w:r>
      <w:r>
        <w:rPr>
          <w:rFonts w:ascii="宋体" w:eastAsia="宋体" w:cs="宋体" w:hAnsi="宋体" w:hint="eastAsia"/>
          <w:color w:val="auto"/>
          <w:kern w:val="0"/>
          <w:sz w:val="28"/>
          <w:szCs w:val="28"/>
          <w:lang w:eastAsia="zh-CN"/>
        </w:rPr>
        <w:t>南北宽约</w:t>
      </w:r>
      <w:r>
        <w:rPr>
          <w:rFonts w:ascii="宋体" w:eastAsia="宋体" w:cs="宋体" w:hAnsi="宋体" w:hint="eastAsia"/>
          <w:color w:val="auto"/>
          <w:kern w:val="0"/>
          <w:sz w:val="28"/>
          <w:szCs w:val="28"/>
          <w:lang w:val="en-US" w:eastAsia="zh-CN"/>
        </w:rPr>
        <w:t>56.5米。升压站地块内主要布局规划</w:t>
      </w:r>
      <w:r>
        <w:rPr>
          <w:rFonts w:ascii="宋体" w:eastAsia="宋体" w:cs="宋体" w:hAnsi="宋体" w:hint="eastAsia"/>
          <w:color w:val="auto"/>
          <w:kern w:val="0"/>
          <w:sz w:val="28"/>
          <w:szCs w:val="28"/>
          <w:lang w:eastAsia="zh-CN"/>
        </w:rPr>
        <w:t>运行管理中心用地</w:t>
      </w:r>
      <w:r>
        <w:rPr>
          <w:rFonts w:ascii="宋体" w:eastAsia="宋体" w:cs="宋体" w:hAnsi="宋体" w:hint="eastAsia"/>
          <w:color w:val="auto"/>
          <w:kern w:val="0"/>
          <w:sz w:val="28"/>
          <w:szCs w:val="28"/>
          <w:lang w:val="en-US" w:eastAsia="zh-CN"/>
        </w:rPr>
        <w:t>、</w:t>
      </w:r>
      <w:r>
        <w:rPr>
          <w:rFonts w:ascii="宋体" w:eastAsia="宋体" w:cs="宋体" w:hAnsi="宋体" w:hint="eastAsia"/>
          <w:color w:val="auto"/>
          <w:kern w:val="0"/>
          <w:sz w:val="28"/>
          <w:szCs w:val="28"/>
          <w:lang w:eastAsia="zh-CN"/>
        </w:rPr>
        <w:t>升压变电生产</w:t>
      </w:r>
      <w:r>
        <w:rPr>
          <w:rFonts w:ascii="宋体" w:eastAsia="宋体" w:cs="宋体" w:hAnsi="宋体" w:hint="eastAsia"/>
          <w:color w:val="auto"/>
          <w:kern w:val="0"/>
          <w:sz w:val="28"/>
          <w:szCs w:val="28"/>
          <w:lang w:val="en-US" w:eastAsia="zh-CN"/>
        </w:rPr>
        <w:t>用地、站内道路用地、绿地等建设用地。</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lang w:eastAsia="zh-CN"/>
        </w:rPr>
        <w:t>运行管理中心用地</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运行管理中心用地包括生产建筑及辅助生产建筑用地和生活服务设施用地。生产建筑及辅助生产建筑用地主要包括风电场中控室、继保室、蓄电池室、通信室、办公室、会议室等。生活服务设施用地包括职工宿舍、食堂、活动中心等设施用地。参</w:t>
      </w:r>
      <w:r>
        <w:rPr>
          <w:rFonts w:ascii="宋体" w:eastAsia="宋体" w:cs="宋体" w:hAnsi="宋体" w:hint="eastAsia"/>
          <w:color w:val="auto"/>
          <w:kern w:val="0"/>
          <w:sz w:val="28"/>
          <w:szCs w:val="28"/>
          <w:lang w:val="en-US" w:eastAsia="zh-CN"/>
        </w:rPr>
        <w:t>照《风电场工程设计导则》第5.5.4.2.2条：“主控制楼与办公楼合建的综合楼根据规模和需要可采用一层～三层建筑……”</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根据场址现状地形和升压站远期规模，在地块南面拟规划一栋两层综合楼，南北朝向，主要为管理人员和生产人员的办公、生活场地。远期规划企业定员共36</w:t>
      </w:r>
      <w:r>
        <w:rPr>
          <w:rFonts w:ascii="宋体" w:eastAsia="宋体" w:cs="宋体" w:hAnsi="宋体" w:hint="eastAsia"/>
          <w:color w:val="auto"/>
          <w:kern w:val="0"/>
          <w:sz w:val="28"/>
          <w:szCs w:val="28"/>
        </w:rPr>
        <w:t>人</w:t>
      </w:r>
      <w:r>
        <w:rPr>
          <w:rFonts w:ascii="宋体" w:eastAsia="宋体" w:cs="宋体" w:hAnsi="宋体" w:hint="eastAsia"/>
          <w:color w:val="auto"/>
          <w:kern w:val="0"/>
          <w:sz w:val="28"/>
          <w:szCs w:val="28"/>
          <w:lang w:eastAsia="zh-CN"/>
        </w:rPr>
        <w:t>，其中生产人员定员约</w:t>
      </w:r>
      <w:r>
        <w:rPr>
          <w:rFonts w:ascii="宋体" w:eastAsia="宋体" w:cs="宋体" w:hAnsi="宋体" w:hint="eastAsia"/>
          <w:color w:val="auto"/>
          <w:kern w:val="0"/>
          <w:sz w:val="28"/>
          <w:szCs w:val="28"/>
          <w:lang w:val="en-US" w:eastAsia="zh-CN"/>
        </w:rPr>
        <w:t>24人，管理人员定员约12人，规划布局符合《风电场工程设计导则》，其余未设置的辅助生产等用房根据规范导则同步合理布局。</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lang w:eastAsia="zh-CN"/>
        </w:rPr>
        <w:t>升压变电生产</w:t>
      </w:r>
      <w:r>
        <w:rPr>
          <w:rFonts w:ascii="宋体" w:eastAsia="宋体" w:cs="宋体" w:hAnsi="宋体" w:hint="eastAsia"/>
          <w:color w:val="auto"/>
          <w:kern w:val="0"/>
          <w:sz w:val="28"/>
          <w:szCs w:val="28"/>
          <w:lang w:val="en-US" w:eastAsia="zh-CN"/>
        </w:rPr>
        <w:t>用地</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eastAsia="zh-CN"/>
        </w:rPr>
        <w:t>升压变电生产</w:t>
      </w:r>
      <w:r>
        <w:rPr>
          <w:rFonts w:ascii="宋体" w:eastAsia="宋体" w:cs="宋体" w:hAnsi="宋体" w:hint="eastAsia"/>
          <w:color w:val="auto"/>
          <w:kern w:val="0"/>
          <w:sz w:val="28"/>
          <w:szCs w:val="28"/>
          <w:lang w:val="en-US" w:eastAsia="zh-CN"/>
        </w:rPr>
        <w:t>用地主要包括生产建筑用地和辅助生产建筑用地。生产建筑用地包括升压设备、变配电设备用地等；辅助生产建筑用地包括备品备件库房、消防设备间、水泵房、消防水池、主变压器事故油池、电缆廊道等用地。</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hint="eastAsia"/>
          <w:color w:val="auto"/>
          <w:kern w:val="0"/>
          <w:sz w:val="28"/>
          <w:szCs w:val="28"/>
          <w:lang w:val="en-US" w:eastAsia="zh-CN"/>
        </w:rPr>
        <w:t>地块北面拟规划一栋一层东西朝向的配电楼，靠近西北角的主变压器，户外SVG成套装置设置于地块的东北角，即配电楼的东侧。备品备件库房、水泵房等附属楼和地下消防水池布置在地块西面，符合规划布局，其余未配备完善的功能用房根据规范、导则合理设置。</w:t>
      </w:r>
    </w:p>
    <w:p>
      <w:pPr>
        <w:widowControl/>
        <w:spacing w:before="4" w:line="360" w:lineRule="auto"/>
        <w:ind w:right="351"/>
        <w:jc w:val="center"/>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drawing>
          <wp:inline distT="0" distB="0" distL="114300" distR="114300">
            <wp:extent cx="5558790" cy="5037454"/>
            <wp:effectExtent l="0" t="0" r="10" b="44"/>
            <wp:docPr id="49" name="图片 3" descr="E:/00王麒麟项目/王麒麟百浪岭项目一期风电场50mw2025.04.18/百浪岭插图/45W328J-05602 升压站总平面布置图简图-YD_t6-Model.png45W328J-05602 升压站总平面布置图简图-YD_t6-Model"/>
            <wp:cNvGraphicFramePr>
              <a:graphicFrameLocks noChangeAspect="1"/>
            </wp:cNvGraphicFramePr>
            <a:graphic>
              <a:graphicData uri="http://schemas.openxmlformats.org/drawingml/2006/picture">
                <pic:pic>
                  <pic:nvPicPr>
                    <pic:cNvPr id="50" name="图片 3 50"/>
                    <pic:cNvPicPr/>
                  </pic:nvPicPr>
                  <pic:blipFill>
                    <a:blip r:embed="rId19"/>
                    <a:srcRect t="6" b="6"/>
                    <a:stretch>
                      <a:fillRect/>
                    </a:stretch>
                  </pic:blipFill>
                  <pic:spPr>
                    <a:xfrm rot="0">
                      <a:off x="0" y="0"/>
                      <a:ext cx="5558790" cy="5037454"/>
                    </a:xfrm>
                    <a:prstGeom prst="rect"/>
                    <a:noFill/>
                    <a:ln w="9525" cmpd="sng" cap="flat">
                      <a:noFill/>
                      <a:prstDash val="solid"/>
                      <a:miter/>
                    </a:ln>
                  </pic:spPr>
                </pic:pic>
              </a:graphicData>
            </a:graphic>
          </wp:inline>
        </w:drawing>
      </w:r>
      <w:r>
        <w:rPr>
          <w:rFonts w:hint="eastAsia"/>
          <w:b/>
          <w:bCs/>
          <w:color w:val="auto"/>
          <w:sz w:val="24"/>
          <w:lang w:eastAsia="zh-CN"/>
        </w:rPr>
        <w:t>升压站平面布局示意图</w:t>
      </w:r>
    </w:p>
    <w:p>
      <w:pPr>
        <w:pStyle w:val="27"/>
        <w:rPr>
          <w:rFonts w:ascii="宋体" w:eastAsia="宋体" w:cs="宋体" w:hAnsi="宋体" w:hint="eastAsia"/>
          <w:color w:val="auto"/>
          <w:kern w:val="0"/>
          <w:sz w:val="28"/>
          <w:szCs w:val="28"/>
          <w:lang w:val="en-US" w:eastAsia="zh-CN"/>
        </w:rPr>
      </w:pP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3）站内</w:t>
      </w:r>
      <w:r>
        <w:rPr>
          <w:rFonts w:ascii="宋体" w:eastAsia="宋体" w:cs="宋体" w:hAnsi="宋体" w:hint="eastAsia"/>
          <w:color w:val="auto"/>
          <w:kern w:val="0"/>
          <w:sz w:val="28"/>
          <w:szCs w:val="28"/>
          <w:lang w:eastAsia="zh-CN"/>
        </w:rPr>
        <w:t>道路</w:t>
      </w:r>
      <w:r>
        <w:rPr>
          <w:rFonts w:ascii="宋体" w:eastAsia="宋体" w:cs="宋体" w:hAnsi="宋体" w:hint="eastAsia"/>
          <w:color w:val="auto"/>
          <w:kern w:val="0"/>
          <w:sz w:val="28"/>
          <w:szCs w:val="28"/>
          <w:lang w:val="en-US" w:eastAsia="zh-CN"/>
        </w:rPr>
        <w:t>用地</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hint="eastAsia"/>
          <w:color w:val="auto"/>
          <w:kern w:val="0"/>
          <w:sz w:val="28"/>
          <w:szCs w:val="28"/>
          <w:lang w:eastAsia="zh-CN"/>
        </w:rPr>
        <w:t>升压站内道路布置除满足运行、检修、设备安装要求外，还应符合安全、消防、节约用地的有关规定</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升压站的主干道应布置成环形，如成环有困难时，应具备回车条件。站内道路宜采用混凝土路面或沥青路面</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出入口宽度和主干道</w:t>
      </w:r>
      <w:r>
        <w:rPr>
          <w:rFonts w:ascii="宋体" w:eastAsia="宋体" w:cs="宋体" w:hAnsi="宋体" w:hint="eastAsia"/>
          <w:color w:val="auto"/>
          <w:kern w:val="0"/>
          <w:sz w:val="28"/>
          <w:szCs w:val="28"/>
        </w:rPr>
        <w:t>红线宽度</w:t>
      </w:r>
      <w:r>
        <w:rPr>
          <w:rFonts w:ascii="宋体" w:eastAsia="宋体" w:cs="宋体" w:hAnsi="宋体" w:hint="eastAsia"/>
          <w:color w:val="auto"/>
          <w:kern w:val="0"/>
          <w:sz w:val="28"/>
          <w:szCs w:val="28"/>
          <w:lang w:eastAsia="zh-CN"/>
        </w:rPr>
        <w:t>不宜小于</w:t>
      </w:r>
      <w:r>
        <w:rPr>
          <w:rFonts w:ascii="宋体" w:eastAsia="宋体" w:cs="宋体" w:hAnsi="宋体" w:hint="eastAsia"/>
          <w:color w:val="auto"/>
          <w:kern w:val="0"/>
          <w:sz w:val="28"/>
          <w:szCs w:val="28"/>
        </w:rPr>
        <w:t>4米</w:t>
      </w:r>
      <w:r>
        <w:rPr>
          <w:rFonts w:ascii="宋体" w:eastAsia="宋体" w:cs="宋体" w:hAnsi="宋体" w:hint="eastAsia"/>
          <w:color w:val="auto"/>
          <w:kern w:val="0"/>
          <w:sz w:val="28"/>
          <w:szCs w:val="28"/>
          <w:lang w:eastAsia="zh-CN"/>
        </w:rPr>
        <w:t>，达到消防车通行、大型施工车辆运行、检修等方面的要求，站内支路红线宽度规划为</w:t>
      </w:r>
      <w:r>
        <w:rPr>
          <w:rFonts w:ascii="宋体" w:eastAsia="宋体" w:cs="宋体" w:hAnsi="宋体" w:hint="eastAsia"/>
          <w:color w:val="auto"/>
          <w:kern w:val="0"/>
          <w:sz w:val="28"/>
          <w:szCs w:val="28"/>
          <w:lang w:val="en-US" w:eastAsia="zh-CN"/>
        </w:rPr>
        <w:t>2.5～3米，满足一般车辆和行人的需求。</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hint="eastAsia"/>
          <w:color w:val="auto"/>
          <w:kern w:val="0"/>
          <w:sz w:val="28"/>
          <w:szCs w:val="28"/>
          <w:lang w:eastAsia="zh-CN"/>
        </w:rPr>
        <w:t>根据本项目升压站</w:t>
      </w:r>
      <w:r>
        <w:rPr>
          <w:rFonts w:ascii="宋体" w:eastAsia="宋体" w:cs="宋体" w:hAnsi="宋体" w:hint="eastAsia"/>
          <w:color w:val="auto"/>
          <w:kern w:val="0"/>
          <w:sz w:val="28"/>
          <w:szCs w:val="28"/>
        </w:rPr>
        <w:t>地块</w:t>
      </w:r>
      <w:r>
        <w:rPr>
          <w:rFonts w:ascii="宋体" w:eastAsia="宋体" w:cs="宋体" w:hAnsi="宋体" w:hint="eastAsia"/>
          <w:color w:val="auto"/>
          <w:kern w:val="0"/>
          <w:sz w:val="28"/>
          <w:szCs w:val="28"/>
          <w:lang w:eastAsia="zh-CN"/>
        </w:rPr>
        <w:t>规划布局，由于场地设置</w:t>
      </w:r>
      <w:r>
        <w:rPr>
          <w:rFonts w:ascii="宋体" w:eastAsia="宋体" w:cs="宋体" w:hAnsi="宋体" w:hint="eastAsia"/>
          <w:color w:val="auto"/>
          <w:kern w:val="0"/>
          <w:sz w:val="28"/>
          <w:szCs w:val="28"/>
        </w:rPr>
        <w:t>环形消防车道</w:t>
      </w:r>
      <w:r>
        <w:rPr>
          <w:rFonts w:ascii="宋体" w:eastAsia="宋体" w:cs="宋体" w:hAnsi="宋体" w:hint="eastAsia"/>
          <w:color w:val="auto"/>
          <w:kern w:val="0"/>
          <w:sz w:val="28"/>
          <w:szCs w:val="28"/>
          <w:lang w:eastAsia="zh-CN"/>
        </w:rPr>
        <w:t>受限，因此在该地块中部布置一个消防车回车场，尺寸≥</w:t>
      </w:r>
      <w:r>
        <w:rPr>
          <w:rFonts w:ascii="宋体" w:eastAsia="宋体" w:cs="宋体" w:hAnsi="宋体" w:hint="eastAsia"/>
          <w:color w:val="auto"/>
          <w:kern w:val="0"/>
          <w:sz w:val="28"/>
          <w:szCs w:val="28"/>
          <w:lang w:val="en-US" w:eastAsia="zh-CN"/>
        </w:rPr>
        <w:t>12m×12m，站内场地</w:t>
      </w:r>
      <w:r>
        <w:rPr>
          <w:rFonts w:ascii="宋体" w:eastAsia="宋体" w:cs="宋体" w:hAnsi="宋体" w:hint="eastAsia"/>
          <w:color w:val="auto"/>
          <w:kern w:val="0"/>
          <w:sz w:val="28"/>
          <w:szCs w:val="28"/>
          <w:lang w:eastAsia="zh-CN"/>
        </w:rPr>
        <w:t>拟铺设混凝土路面和停车场用地</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规划主干道宽度</w:t>
      </w:r>
      <w:r>
        <w:rPr>
          <w:rFonts w:ascii="宋体" w:eastAsia="宋体" w:cs="宋体" w:hAnsi="宋体" w:hint="eastAsia"/>
          <w:color w:val="auto"/>
          <w:kern w:val="0"/>
          <w:sz w:val="28"/>
          <w:szCs w:val="28"/>
          <w:lang w:val="en-US" w:eastAsia="zh-CN"/>
        </w:rPr>
        <w:t>4米，北面支路宽度3米连接至生产设备用房，办公管理人员的</w:t>
      </w:r>
      <w:r>
        <w:rPr>
          <w:rFonts w:ascii="宋体" w:eastAsia="宋体" w:cs="宋体" w:hAnsi="宋体" w:hint="eastAsia"/>
          <w:color w:val="auto"/>
          <w:kern w:val="0"/>
          <w:sz w:val="28"/>
          <w:szCs w:val="28"/>
        </w:rPr>
        <w:t>机动车从东侧大门进入场区后主要就近停放在综合楼前的停车场内</w:t>
      </w:r>
      <w:r>
        <w:rPr>
          <w:rFonts w:ascii="宋体" w:eastAsia="宋体" w:cs="宋体" w:hAnsi="宋体" w:hint="eastAsia"/>
          <w:color w:val="auto"/>
          <w:kern w:val="0"/>
          <w:sz w:val="28"/>
          <w:szCs w:val="28"/>
          <w:lang w:val="en-US" w:eastAsia="zh-CN"/>
        </w:rPr>
        <w:t>。</w:t>
      </w:r>
    </w:p>
    <w:p>
      <w:pPr>
        <w:widowControl/>
        <w:autoSpaceDE w:val="0"/>
        <w:autoSpaceDN w:val="0"/>
        <w:spacing w:before="4" w:line="360" w:lineRule="auto"/>
        <w:ind w:left="118" w:right="351" w:firstLineChars="200" w:firstLine="560"/>
        <w:jc w:val="left"/>
        <w:rPr>
          <w:color w:val="auto"/>
          <w:kern w:val="0"/>
          <w:sz w:val="28"/>
          <w:szCs w:val="28"/>
          <w:lang w:val="en-US"/>
        </w:rPr>
      </w:pPr>
      <w:r>
        <w:rPr>
          <w:rFonts w:ascii="宋体" w:eastAsia="宋体" w:cs="宋体" w:hAnsi="宋体" w:hint="eastAsia"/>
          <w:color w:val="auto"/>
          <w:kern w:val="0"/>
          <w:sz w:val="28"/>
          <w:szCs w:val="28"/>
          <w:lang w:val="en-US" w:eastAsia="zh-CN"/>
        </w:rPr>
        <w:t>4）绿地</w:t>
      </w:r>
    </w:p>
    <w:p>
      <w:pPr>
        <w:pStyle w:val="17"/>
        <w:autoSpaceDE w:val="0"/>
        <w:autoSpaceDN w:val="0"/>
        <w:spacing w:before="4" w:line="360" w:lineRule="auto"/>
        <w:ind w:right="351" w:firstLineChars="200" w:firstLine="560"/>
        <w:jc w:val="left"/>
        <w:rPr>
          <w:rFonts w:hint="eastAsia"/>
          <w:color w:val="auto"/>
          <w:kern w:val="0"/>
          <w:sz w:val="28"/>
          <w:szCs w:val="28"/>
          <w:lang w:val="en-US" w:eastAsia="zh-CN"/>
        </w:rPr>
      </w:pPr>
      <w:r>
        <w:rPr>
          <w:rFonts w:hint="eastAsia"/>
          <w:color w:val="auto"/>
          <w:kern w:val="0"/>
          <w:sz w:val="28"/>
          <w:szCs w:val="28"/>
          <w:lang w:val="en-US" w:eastAsia="zh-CN"/>
        </w:rPr>
        <w:t>在升压站</w:t>
      </w:r>
      <w:r>
        <w:rPr>
          <w:rFonts w:ascii="宋体" w:eastAsia="宋体" w:cs="宋体" w:hAnsi="宋体" w:hint="eastAsia"/>
          <w:color w:val="auto"/>
          <w:kern w:val="0"/>
          <w:sz w:val="28"/>
          <w:szCs w:val="28"/>
          <w:lang w:eastAsia="zh-CN"/>
        </w:rPr>
        <w:t>运行管理中心</w:t>
      </w:r>
      <w:r>
        <w:rPr>
          <w:rFonts w:cs="宋体" w:hint="eastAsia"/>
          <w:color w:val="auto"/>
          <w:kern w:val="0"/>
          <w:sz w:val="28"/>
          <w:szCs w:val="28"/>
          <w:lang w:eastAsia="zh-CN"/>
        </w:rPr>
        <w:t>区和</w:t>
      </w:r>
      <w:r>
        <w:rPr>
          <w:rFonts w:hint="eastAsia"/>
          <w:color w:val="auto"/>
          <w:kern w:val="0"/>
          <w:sz w:val="28"/>
          <w:szCs w:val="28"/>
          <w:lang w:val="en-US"/>
        </w:rPr>
        <w:t>道路周围</w:t>
      </w:r>
      <w:r>
        <w:rPr>
          <w:rFonts w:hint="eastAsia"/>
          <w:color w:val="auto"/>
          <w:kern w:val="0"/>
          <w:sz w:val="28"/>
          <w:szCs w:val="28"/>
          <w:lang w:val="en-US" w:eastAsia="zh-CN"/>
        </w:rPr>
        <w:t>以及</w:t>
      </w:r>
      <w:r>
        <w:rPr>
          <w:rFonts w:hint="eastAsia"/>
          <w:color w:val="auto"/>
          <w:kern w:val="0"/>
          <w:sz w:val="28"/>
          <w:szCs w:val="28"/>
          <w:lang w:val="en-US"/>
        </w:rPr>
        <w:t>站内未利用空地可根据实际需要规划种植适应本地区气候条件的耐旱灌木及花草进行绿化和美化</w:t>
      </w:r>
      <w:r>
        <w:rPr>
          <w:rFonts w:hint="eastAsia"/>
          <w:color w:val="auto"/>
          <w:kern w:val="0"/>
          <w:sz w:val="28"/>
          <w:szCs w:val="28"/>
          <w:lang w:val="en-US" w:eastAsia="zh-CN"/>
        </w:rPr>
        <w:t>。</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43" w:name="_Toc26527"/>
      <w:r>
        <w:rPr>
          <w:rFonts w:ascii="宋体" w:eastAsia="宋体" w:cs="宋体" w:hAnsi="宋体" w:hint="eastAsia"/>
          <w:bCs/>
          <w:color w:val="auto"/>
          <w:sz w:val="32"/>
          <w:szCs w:val="32"/>
          <w:lang w:val="en-US" w:eastAsia="zh-CN"/>
        </w:rPr>
        <w:t>3.4用地规划与相邻区域关系</w:t>
      </w:r>
      <w:bookmarkEnd w:id="43"/>
    </w:p>
    <w:p>
      <w:pPr>
        <w:pStyle w:val="17"/>
        <w:autoSpaceDE w:val="0"/>
        <w:autoSpaceDN w:val="0"/>
        <w:spacing w:before="4" w:line="360" w:lineRule="auto"/>
        <w:ind w:right="351" w:firstLineChars="200" w:firstLine="560"/>
        <w:jc w:val="left"/>
        <w:rPr>
          <w:rFonts w:hint="eastAsia"/>
          <w:color w:val="auto"/>
          <w:kern w:val="0"/>
          <w:sz w:val="28"/>
          <w:szCs w:val="28"/>
          <w:lang w:val="en-US" w:eastAsia="zh-CN"/>
        </w:rPr>
      </w:pPr>
      <w:r>
        <w:rPr>
          <w:rFonts w:hint="eastAsia"/>
          <w:color w:val="auto"/>
          <w:kern w:val="0"/>
          <w:sz w:val="28"/>
          <w:szCs w:val="28"/>
          <w:lang w:val="en-US" w:eastAsia="zh-CN"/>
        </w:rPr>
        <w:t>（1）对相邻区域的影响</w:t>
      </w:r>
    </w:p>
    <w:p>
      <w:pPr>
        <w:pStyle w:val="17"/>
        <w:autoSpaceDE w:val="0"/>
        <w:autoSpaceDN w:val="0"/>
        <w:spacing w:before="4" w:line="360" w:lineRule="auto"/>
        <w:ind w:right="351" w:firstLineChars="200" w:firstLine="560"/>
        <w:jc w:val="left"/>
        <w:rPr>
          <w:rFonts w:hint="eastAsia"/>
          <w:color w:val="auto"/>
          <w:kern w:val="0"/>
          <w:sz w:val="28"/>
          <w:szCs w:val="28"/>
          <w:lang w:val="en-US" w:eastAsia="zh-CN"/>
        </w:rPr>
      </w:pPr>
      <w:r>
        <w:rPr>
          <w:rFonts w:hint="eastAsia"/>
          <w:color w:val="auto"/>
          <w:kern w:val="0"/>
          <w:sz w:val="28"/>
          <w:szCs w:val="28"/>
          <w:lang w:val="en-US" w:eastAsia="zh-CN"/>
        </w:rPr>
        <w:t>钦北区百浪岭风电场一期工程位于钦北区大寺镇和大直镇行政交界山脊区域，项目用地范围内</w:t>
      </w:r>
      <w:r>
        <w:rPr>
          <w:rFonts w:hint="eastAsia"/>
          <w:color w:val="auto"/>
          <w:kern w:val="0"/>
          <w:sz w:val="28"/>
          <w:szCs w:val="28"/>
          <w:lang w:val="en-US"/>
        </w:rPr>
        <w:t>不涉及</w:t>
      </w:r>
      <w:r>
        <w:rPr>
          <w:rFonts w:hint="eastAsia"/>
          <w:color w:val="auto"/>
          <w:kern w:val="0"/>
          <w:sz w:val="28"/>
          <w:szCs w:val="28"/>
          <w:lang w:val="en-US" w:eastAsia="zh-CN"/>
        </w:rPr>
        <w:t>占用</w:t>
      </w:r>
      <w:r>
        <w:rPr>
          <w:rFonts w:hint="eastAsia"/>
          <w:color w:val="auto"/>
          <w:kern w:val="0"/>
          <w:sz w:val="28"/>
          <w:szCs w:val="28"/>
          <w:lang w:val="en-US"/>
        </w:rPr>
        <w:t>基本农田</w:t>
      </w:r>
      <w:r>
        <w:rPr>
          <w:rFonts w:hint="eastAsia"/>
          <w:color w:val="auto"/>
          <w:kern w:val="0"/>
          <w:sz w:val="28"/>
          <w:szCs w:val="28"/>
          <w:lang w:val="en-US" w:eastAsia="zh-CN"/>
        </w:rPr>
        <w:t>和</w:t>
      </w:r>
      <w:r>
        <w:rPr>
          <w:rFonts w:hint="eastAsia"/>
          <w:color w:val="auto"/>
          <w:sz w:val="28"/>
          <w:szCs w:val="28"/>
          <w:lang w:val="en-US" w:eastAsia="zh-CN"/>
        </w:rPr>
        <w:t>生态保护红线，</w:t>
      </w:r>
      <w:r>
        <w:rPr>
          <w:rFonts w:hint="eastAsia"/>
          <w:color w:val="auto"/>
          <w:kern w:val="0"/>
          <w:sz w:val="28"/>
          <w:szCs w:val="28"/>
          <w:lang w:val="en-US" w:eastAsia="zh-CN"/>
        </w:rPr>
        <w:t>用地</w:t>
      </w:r>
      <w:r>
        <w:rPr>
          <w:rFonts w:hint="eastAsia"/>
          <w:color w:val="auto"/>
          <w:kern w:val="0"/>
          <w:sz w:val="28"/>
          <w:szCs w:val="28"/>
          <w:lang w:val="en-US"/>
        </w:rPr>
        <w:t>周边区域主要为林地、草地等</w:t>
      </w:r>
      <w:r>
        <w:rPr>
          <w:rFonts w:hint="eastAsia"/>
          <w:color w:val="auto"/>
          <w:kern w:val="0"/>
          <w:sz w:val="28"/>
          <w:szCs w:val="28"/>
          <w:lang w:val="en-US" w:eastAsia="zh-CN"/>
        </w:rPr>
        <w:t>。</w:t>
      </w:r>
      <w:r>
        <w:rPr>
          <w:rFonts w:hint="eastAsia"/>
          <w:color w:val="auto"/>
          <w:kern w:val="0"/>
          <w:sz w:val="28"/>
          <w:szCs w:val="28"/>
          <w:lang w:val="en-US"/>
        </w:rPr>
        <w:t>规划</w:t>
      </w:r>
      <w:r>
        <w:rPr>
          <w:rFonts w:hint="eastAsia"/>
          <w:color w:val="auto"/>
          <w:kern w:val="0"/>
          <w:sz w:val="28"/>
          <w:szCs w:val="28"/>
          <w:lang w:val="en-US" w:eastAsia="zh-CN"/>
        </w:rPr>
        <w:t>项目</w:t>
      </w:r>
      <w:r>
        <w:rPr>
          <w:rFonts w:hint="eastAsia"/>
          <w:color w:val="auto"/>
          <w:kern w:val="0"/>
          <w:sz w:val="28"/>
          <w:szCs w:val="28"/>
          <w:lang w:val="en-US"/>
        </w:rPr>
        <w:t>地块为供电用地，</w:t>
      </w:r>
      <w:r>
        <w:rPr>
          <w:rFonts w:hint="eastAsia"/>
          <w:color w:val="auto"/>
          <w:kern w:val="0"/>
          <w:sz w:val="28"/>
          <w:szCs w:val="28"/>
          <w:lang w:val="en-US" w:eastAsia="zh-CN"/>
        </w:rPr>
        <w:t>是</w:t>
      </w:r>
      <w:r>
        <w:rPr>
          <w:rFonts w:hint="eastAsia"/>
          <w:color w:val="auto"/>
          <w:kern w:val="0"/>
          <w:sz w:val="28"/>
          <w:szCs w:val="28"/>
          <w:lang w:val="en-US"/>
        </w:rPr>
        <w:t>建设节能环保</w:t>
      </w:r>
      <w:r>
        <w:rPr>
          <w:rFonts w:hint="eastAsia"/>
          <w:color w:val="auto"/>
          <w:kern w:val="0"/>
          <w:sz w:val="28"/>
          <w:szCs w:val="28"/>
          <w:lang w:val="en-US" w:eastAsia="zh-CN"/>
        </w:rPr>
        <w:t>、</w:t>
      </w:r>
      <w:r>
        <w:rPr>
          <w:rFonts w:hint="eastAsia"/>
          <w:color w:val="auto"/>
          <w:kern w:val="0"/>
          <w:sz w:val="28"/>
          <w:szCs w:val="28"/>
          <w:lang w:val="en-US"/>
        </w:rPr>
        <w:t>清洁的可再生能源项目</w:t>
      </w:r>
      <w:r>
        <w:rPr>
          <w:rFonts w:hint="eastAsia"/>
          <w:color w:val="auto"/>
          <w:kern w:val="0"/>
          <w:sz w:val="28"/>
          <w:szCs w:val="28"/>
          <w:lang w:val="en-US" w:eastAsia="zh-CN"/>
        </w:rPr>
        <w:t>。</w:t>
      </w:r>
    </w:p>
    <w:p>
      <w:pPr>
        <w:pStyle w:val="17"/>
        <w:autoSpaceDE w:val="0"/>
        <w:autoSpaceDN w:val="0"/>
        <w:spacing w:before="4" w:line="360" w:lineRule="auto"/>
        <w:ind w:right="351" w:firstLineChars="200" w:firstLine="560"/>
        <w:jc w:val="left"/>
        <w:rPr>
          <w:rFonts w:hint="eastAsia"/>
          <w:color w:val="auto"/>
          <w:kern w:val="0"/>
          <w:sz w:val="28"/>
          <w:szCs w:val="28"/>
          <w:lang w:val="en-US" w:eastAsia="zh-CN"/>
        </w:rPr>
      </w:pPr>
      <w:r>
        <w:rPr>
          <w:rFonts w:hint="eastAsia"/>
          <w:color w:val="auto"/>
          <w:kern w:val="0"/>
          <w:sz w:val="28"/>
          <w:szCs w:val="28"/>
          <w:lang w:val="en-US" w:eastAsia="zh-CN"/>
        </w:rPr>
        <w:t>项目用地与居民、工厂、企事业单位（点）距离较远，项目运行期送出线路及风电机组，风力发电机在设计时考虑了防磁、防辐射等要求，在选材时已将辐射降至最小；变电所及输电线路，根据国家环保总局颁布的《电磁辐射环境保护管理办法》中规定，远低于《作业场所工频电场卫生标准》(GB16203-1996)标准限值（作业场所工频电场8h 最高容许量为5kV/m）；同时对已建成风电场2km范围内的居民及无线电设备进行了调查，结果表明风电场在运行过程中产生的电磁辐射对当地居民、无线电和电视等电器设备基本没有影响，本项目的建设及运行也不会产生电磁辐射扰民的环境问题，但应对场内的工作人员及电器设备采取相应的电磁辐射的防护措施。</w:t>
      </w:r>
    </w:p>
    <w:p>
      <w:pPr>
        <w:pStyle w:val="17"/>
        <w:autoSpaceDE w:val="0"/>
        <w:autoSpaceDN w:val="0"/>
        <w:spacing w:before="4" w:line="360" w:lineRule="auto"/>
        <w:ind w:right="351" w:firstLineChars="200" w:firstLine="560"/>
        <w:jc w:val="left"/>
        <w:rPr>
          <w:rFonts w:hint="eastAsia"/>
          <w:color w:val="auto"/>
          <w:kern w:val="0"/>
          <w:sz w:val="28"/>
          <w:szCs w:val="28"/>
          <w:lang w:val="en-US"/>
        </w:rPr>
      </w:pPr>
      <w:r>
        <w:rPr>
          <w:rFonts w:hint="eastAsia"/>
          <w:color w:val="auto"/>
          <w:kern w:val="0"/>
          <w:sz w:val="28"/>
          <w:szCs w:val="28"/>
          <w:lang w:val="en-US" w:eastAsia="zh-CN"/>
        </w:rPr>
        <w:t>（2）与对外交通的衔接</w:t>
      </w:r>
    </w:p>
    <w:p>
      <w:pPr>
        <w:pStyle w:val="17"/>
        <w:autoSpaceDE w:val="0"/>
        <w:autoSpaceDN w:val="0"/>
        <w:spacing w:before="4" w:line="360" w:lineRule="auto"/>
        <w:ind w:right="351" w:firstLineChars="200" w:firstLine="560"/>
        <w:jc w:val="left"/>
        <w:rPr>
          <w:rFonts w:hint="eastAsia"/>
          <w:color w:val="auto"/>
          <w:kern w:val="0"/>
          <w:sz w:val="28"/>
          <w:szCs w:val="28"/>
          <w:lang w:val="en-US"/>
        </w:rPr>
      </w:pPr>
      <w:r>
        <w:rPr>
          <w:rFonts w:hint="eastAsia"/>
          <w:color w:val="auto"/>
          <w:kern w:val="0"/>
          <w:sz w:val="28"/>
          <w:szCs w:val="28"/>
          <w:lang w:val="en-US" w:eastAsia="zh-CN"/>
        </w:rPr>
        <w:t>风电场</w:t>
      </w:r>
      <w:r>
        <w:rPr>
          <w:rFonts w:hint="eastAsia"/>
          <w:color w:val="auto"/>
          <w:kern w:val="0"/>
          <w:sz w:val="28"/>
          <w:szCs w:val="28"/>
          <w:lang w:val="en-US"/>
        </w:rPr>
        <w:t>场址位于钦北区大</w:t>
      </w:r>
      <w:r>
        <w:rPr>
          <w:rFonts w:hint="eastAsia"/>
          <w:color w:val="auto"/>
          <w:kern w:val="0"/>
          <w:sz w:val="28"/>
          <w:szCs w:val="28"/>
          <w:lang w:val="en-US" w:eastAsia="zh-CN"/>
        </w:rPr>
        <w:t>寺</w:t>
      </w:r>
      <w:r>
        <w:rPr>
          <w:rFonts w:hint="eastAsia"/>
          <w:color w:val="auto"/>
          <w:kern w:val="0"/>
          <w:sz w:val="28"/>
          <w:szCs w:val="28"/>
          <w:lang w:val="en-US"/>
        </w:rPr>
        <w:t>镇</w:t>
      </w:r>
      <w:r>
        <w:rPr>
          <w:rFonts w:hint="eastAsia"/>
          <w:color w:val="auto"/>
          <w:kern w:val="0"/>
          <w:sz w:val="28"/>
          <w:szCs w:val="28"/>
          <w:lang w:val="en-US" w:eastAsia="zh-CN"/>
        </w:rPr>
        <w:t>与大直镇行政</w:t>
      </w:r>
      <w:r>
        <w:rPr>
          <w:rFonts w:hint="eastAsia"/>
          <w:color w:val="auto"/>
          <w:kern w:val="0"/>
          <w:sz w:val="28"/>
          <w:szCs w:val="28"/>
          <w:lang w:val="en-US"/>
        </w:rPr>
        <w:t>交界处附近，</w:t>
      </w:r>
      <w:r>
        <w:rPr>
          <w:rFonts w:hint="eastAsia"/>
          <w:color w:val="auto"/>
          <w:kern w:val="0"/>
          <w:sz w:val="28"/>
          <w:szCs w:val="28"/>
          <w:lang w:val="en-US" w:eastAsia="zh-CN"/>
        </w:rPr>
        <w:t>场</w:t>
      </w:r>
      <w:r>
        <w:rPr>
          <w:rFonts w:ascii="宋体" w:eastAsia="宋体" w:cs="宋体" w:hAnsi="宋体" w:hint="eastAsia"/>
          <w:color w:val="auto"/>
          <w:kern w:val="0"/>
          <w:sz w:val="28"/>
          <w:szCs w:val="28"/>
        </w:rPr>
        <w:t>区</w:t>
      </w:r>
      <w:r>
        <w:rPr>
          <w:rFonts w:ascii="宋体" w:eastAsia="宋体" w:cs="宋体" w:hAnsi="宋体" w:hint="eastAsia"/>
          <w:color w:val="auto"/>
          <w:kern w:val="0"/>
          <w:sz w:val="28"/>
          <w:szCs w:val="28"/>
          <w:lang w:eastAsia="zh-CN"/>
        </w:rPr>
        <w:t>附近</w:t>
      </w:r>
      <w:r>
        <w:rPr>
          <w:rFonts w:ascii="宋体" w:eastAsia="宋体" w:cs="宋体" w:hAnsi="宋体" w:hint="eastAsia"/>
          <w:color w:val="auto"/>
          <w:kern w:val="0"/>
          <w:sz w:val="28"/>
          <w:szCs w:val="28"/>
        </w:rPr>
        <w:t>东南部有兰海高速G75</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省道S218</w:t>
      </w:r>
      <w:r>
        <w:rPr>
          <w:rFonts w:ascii="宋体" w:eastAsia="宋体" w:cs="宋体" w:hAnsi="宋体" w:hint="eastAsia"/>
          <w:color w:val="auto"/>
          <w:kern w:val="0"/>
          <w:sz w:val="28"/>
          <w:szCs w:val="28"/>
          <w:lang w:eastAsia="zh-CN"/>
        </w:rPr>
        <w:t>和省道</w:t>
      </w:r>
      <w:r>
        <w:rPr>
          <w:rFonts w:ascii="宋体" w:eastAsia="宋体" w:cs="宋体" w:hAnsi="宋体" w:hint="eastAsia"/>
          <w:color w:val="auto"/>
          <w:kern w:val="0"/>
          <w:sz w:val="28"/>
          <w:szCs w:val="28"/>
          <w:lang w:val="en-US" w:eastAsia="zh-CN"/>
        </w:rPr>
        <w:t>S515</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西</w:t>
      </w:r>
      <w:r>
        <w:rPr>
          <w:rFonts w:ascii="宋体" w:eastAsia="宋体" w:cs="宋体" w:hAnsi="宋体" w:hint="eastAsia"/>
          <w:color w:val="auto"/>
          <w:kern w:val="0"/>
          <w:sz w:val="28"/>
          <w:szCs w:val="28"/>
        </w:rPr>
        <w:t>南部有</w:t>
      </w:r>
      <w:r>
        <w:rPr>
          <w:rFonts w:ascii="宋体" w:eastAsia="宋体" w:cs="宋体" w:hAnsi="宋体" w:hint="eastAsia"/>
          <w:color w:val="auto"/>
          <w:kern w:val="0"/>
          <w:sz w:val="28"/>
          <w:szCs w:val="28"/>
          <w:lang w:eastAsia="zh-CN"/>
        </w:rPr>
        <w:t>合那</w:t>
      </w:r>
      <w:r>
        <w:rPr>
          <w:rFonts w:ascii="宋体" w:eastAsia="宋体" w:cs="宋体" w:hAnsi="宋体" w:hint="eastAsia"/>
          <w:color w:val="auto"/>
          <w:kern w:val="0"/>
          <w:sz w:val="28"/>
          <w:szCs w:val="28"/>
        </w:rPr>
        <w:t>高速</w:t>
      </w:r>
      <w:r>
        <w:rPr>
          <w:rFonts w:ascii="宋体" w:eastAsia="宋体" w:cs="宋体" w:hAnsi="宋体" w:hint="eastAsia"/>
          <w:color w:val="auto"/>
          <w:kern w:val="0"/>
          <w:sz w:val="28"/>
          <w:szCs w:val="28"/>
          <w:lang w:val="en-US" w:eastAsia="zh-CN"/>
        </w:rPr>
        <w:t>S60</w:t>
      </w:r>
      <w:r>
        <w:rPr>
          <w:rFonts w:ascii="宋体" w:eastAsia="宋体" w:cs="宋体" w:hAnsi="宋体" w:hint="eastAsia"/>
          <w:color w:val="auto"/>
          <w:kern w:val="0"/>
          <w:sz w:val="28"/>
          <w:szCs w:val="28"/>
        </w:rPr>
        <w:t>。场区内部各</w:t>
      </w:r>
      <w:r>
        <w:rPr>
          <w:rFonts w:ascii="宋体" w:eastAsia="宋体" w:cs="宋体" w:hAnsi="宋体"/>
          <w:color w:val="auto"/>
          <w:kern w:val="0"/>
          <w:sz w:val="28"/>
          <w:szCs w:val="28"/>
        </w:rPr>
        <w:t>条</w:t>
      </w:r>
      <w:r>
        <w:rPr>
          <w:rFonts w:ascii="宋体" w:eastAsia="宋体" w:cs="宋体" w:hAnsi="宋体" w:hint="eastAsia"/>
          <w:color w:val="auto"/>
          <w:kern w:val="0"/>
          <w:sz w:val="28"/>
          <w:szCs w:val="28"/>
        </w:rPr>
        <w:t>县道、乡道交错纵横，风电场对外交通较为便利</w:t>
      </w:r>
      <w:r>
        <w:rPr>
          <w:rFonts w:hint="eastAsia"/>
          <w:color w:val="auto"/>
          <w:kern w:val="0"/>
          <w:sz w:val="28"/>
          <w:szCs w:val="28"/>
          <w:lang w:val="en-US" w:eastAsia="zh-CN"/>
        </w:rPr>
        <w:t>。风电场与对外交通的衔接主要为：</w:t>
      </w:r>
      <w:r>
        <w:rPr>
          <w:rFonts w:ascii="宋体" w:eastAsia="宋体" w:cs="宋体" w:hAnsi="宋体" w:hint="eastAsia"/>
          <w:color w:val="auto"/>
          <w:kern w:val="0"/>
          <w:sz w:val="28"/>
          <w:szCs w:val="28"/>
        </w:rPr>
        <w:t>由钦北区到风电场，交通路线为通过高速公路至钦北区，然后自</w:t>
      </w:r>
      <w:r>
        <w:rPr>
          <w:rFonts w:cs="宋体" w:hint="eastAsia"/>
          <w:color w:val="auto"/>
          <w:kern w:val="0"/>
          <w:sz w:val="28"/>
          <w:szCs w:val="28"/>
          <w:lang w:eastAsia="zh-CN"/>
        </w:rPr>
        <w:t>省道</w:t>
      </w:r>
      <w:r>
        <w:rPr>
          <w:rFonts w:cs="宋体" w:hint="eastAsia"/>
          <w:color w:val="auto"/>
          <w:kern w:val="0"/>
          <w:sz w:val="28"/>
          <w:szCs w:val="28"/>
          <w:lang w:val="en-US" w:eastAsia="zh-CN"/>
        </w:rPr>
        <w:t>S515</w:t>
      </w:r>
      <w:r>
        <w:rPr>
          <w:rFonts w:cs="宋体" w:hint="eastAsia"/>
          <w:color w:val="auto"/>
          <w:kern w:val="0"/>
          <w:sz w:val="28"/>
          <w:szCs w:val="28"/>
          <w:lang w:eastAsia="zh-CN"/>
        </w:rPr>
        <w:t>分别</w:t>
      </w:r>
      <w:r>
        <w:rPr>
          <w:rFonts w:ascii="宋体" w:eastAsia="宋体" w:cs="宋体" w:hAnsi="宋体" w:hint="eastAsia"/>
          <w:color w:val="auto"/>
          <w:kern w:val="0"/>
          <w:sz w:val="28"/>
          <w:szCs w:val="28"/>
        </w:rPr>
        <w:t>至风电场</w:t>
      </w:r>
      <w:r>
        <w:rPr>
          <w:rFonts w:cs="宋体" w:hint="eastAsia"/>
          <w:color w:val="auto"/>
          <w:kern w:val="0"/>
          <w:sz w:val="28"/>
          <w:szCs w:val="28"/>
          <w:lang w:eastAsia="zh-CN"/>
        </w:rPr>
        <w:t>北部和南部</w:t>
      </w:r>
      <w:r>
        <w:rPr>
          <w:rFonts w:ascii="宋体" w:eastAsia="宋体" w:cs="宋体" w:hAnsi="宋体" w:hint="eastAsia"/>
          <w:color w:val="auto"/>
          <w:kern w:val="0"/>
          <w:sz w:val="28"/>
          <w:szCs w:val="28"/>
        </w:rPr>
        <w:t>场址</w:t>
      </w:r>
      <w:r>
        <w:rPr>
          <w:rFonts w:cs="宋体" w:hint="eastAsia"/>
          <w:color w:val="auto"/>
          <w:kern w:val="0"/>
          <w:sz w:val="28"/>
          <w:szCs w:val="28"/>
          <w:lang w:eastAsia="zh-CN"/>
        </w:rPr>
        <w:t>区域</w:t>
      </w:r>
      <w:r>
        <w:rPr>
          <w:rFonts w:ascii="宋体" w:eastAsia="宋体" w:cs="宋体" w:hAnsi="宋体" w:hint="eastAsia"/>
          <w:color w:val="auto"/>
          <w:kern w:val="0"/>
          <w:sz w:val="28"/>
          <w:szCs w:val="28"/>
        </w:rPr>
        <w:t>；在利用现有交通便道的基础上修建新的至各风机和升压站的连接道路</w:t>
      </w:r>
      <w:r>
        <w:rPr>
          <w:rFonts w:hint="eastAsia"/>
          <w:color w:val="auto"/>
          <w:kern w:val="0"/>
          <w:sz w:val="28"/>
          <w:szCs w:val="28"/>
          <w:lang w:val="en-US" w:eastAsia="zh-CN"/>
        </w:rPr>
        <w:t>，尽可能</w:t>
      </w:r>
      <w:r>
        <w:rPr>
          <w:rFonts w:hint="eastAsia"/>
          <w:color w:val="auto"/>
          <w:kern w:val="0"/>
          <w:sz w:val="28"/>
          <w:szCs w:val="28"/>
          <w:lang w:val="en-US"/>
        </w:rPr>
        <w:t>减少对植被的破坏和节约投资</w:t>
      </w:r>
      <w:r>
        <w:rPr>
          <w:rFonts w:hint="eastAsia"/>
          <w:color w:val="auto"/>
          <w:kern w:val="0"/>
          <w:sz w:val="28"/>
          <w:szCs w:val="28"/>
          <w:lang w:val="en-US" w:eastAsia="zh-CN"/>
        </w:rPr>
        <w:t>。</w:t>
      </w:r>
      <w:r>
        <w:rPr>
          <w:rFonts w:hint="eastAsia"/>
          <w:color w:val="auto"/>
          <w:kern w:val="0"/>
          <w:sz w:val="28"/>
          <w:szCs w:val="28"/>
          <w:lang w:val="en-US"/>
        </w:rPr>
        <w:t>在风电场建成营运后，场区道路将作为</w:t>
      </w:r>
      <w:r>
        <w:rPr>
          <w:rFonts w:hint="eastAsia"/>
          <w:color w:val="auto"/>
          <w:kern w:val="0"/>
          <w:sz w:val="28"/>
          <w:szCs w:val="28"/>
          <w:lang w:val="en-US" w:eastAsia="zh-CN"/>
        </w:rPr>
        <w:t>公共道路和</w:t>
      </w:r>
      <w:r>
        <w:rPr>
          <w:rFonts w:hint="eastAsia"/>
          <w:color w:val="auto"/>
          <w:kern w:val="0"/>
          <w:sz w:val="28"/>
          <w:szCs w:val="28"/>
          <w:lang w:val="en-US"/>
        </w:rPr>
        <w:t>林业三产道路使用。</w:t>
      </w:r>
    </w:p>
    <w:p>
      <w:pPr>
        <w:pStyle w:val="17"/>
        <w:autoSpaceDE w:val="0"/>
        <w:autoSpaceDN w:val="0"/>
        <w:spacing w:before="4" w:line="360" w:lineRule="auto"/>
        <w:ind w:right="351" w:firstLineChars="200" w:firstLine="560"/>
        <w:jc w:val="left"/>
        <w:rPr>
          <w:rFonts w:hint="eastAsia"/>
          <w:color w:val="auto"/>
          <w:kern w:val="0"/>
          <w:sz w:val="28"/>
          <w:szCs w:val="28"/>
          <w:lang w:val="en-US"/>
        </w:rPr>
      </w:pPr>
      <w:r>
        <w:rPr>
          <w:rFonts w:hint="eastAsia"/>
          <w:color w:val="auto"/>
          <w:kern w:val="0"/>
          <w:sz w:val="28"/>
          <w:szCs w:val="28"/>
          <w:lang w:val="en-US" w:eastAsia="zh-CN"/>
        </w:rPr>
        <w:t>（3）与基础设施的衔接</w:t>
      </w:r>
    </w:p>
    <w:p>
      <w:pPr>
        <w:pStyle w:val="17"/>
        <w:autoSpaceDE w:val="0"/>
        <w:autoSpaceDN w:val="0"/>
        <w:spacing w:before="4" w:line="360" w:lineRule="auto"/>
        <w:ind w:right="351" w:firstLineChars="200" w:firstLine="560"/>
        <w:jc w:val="left"/>
        <w:rPr>
          <w:rFonts w:eastAsia="宋体" w:hint="eastAsia"/>
          <w:color w:val="auto"/>
          <w:kern w:val="0"/>
          <w:sz w:val="28"/>
          <w:szCs w:val="28"/>
          <w:lang w:val="en-US" w:eastAsia="zh-CN"/>
        </w:rPr>
      </w:pPr>
      <w:r>
        <w:rPr>
          <w:rFonts w:hint="eastAsia"/>
          <w:color w:val="auto"/>
          <w:kern w:val="0"/>
          <w:sz w:val="28"/>
          <w:szCs w:val="28"/>
          <w:lang w:val="en-US"/>
        </w:rPr>
        <w:t>项目</w:t>
      </w:r>
      <w:r>
        <w:rPr>
          <w:rFonts w:hint="eastAsia"/>
          <w:color w:val="auto"/>
          <w:kern w:val="0"/>
          <w:sz w:val="28"/>
          <w:szCs w:val="28"/>
          <w:lang w:val="en-US" w:eastAsia="zh-CN"/>
        </w:rPr>
        <w:t>场</w:t>
      </w:r>
      <w:r>
        <w:rPr>
          <w:rFonts w:hint="eastAsia"/>
          <w:color w:val="auto"/>
          <w:kern w:val="0"/>
          <w:sz w:val="28"/>
          <w:szCs w:val="28"/>
          <w:lang w:val="en-US"/>
        </w:rPr>
        <w:t>区距</w:t>
      </w:r>
      <w:r>
        <w:rPr>
          <w:rFonts w:hint="eastAsia"/>
          <w:color w:val="auto"/>
          <w:kern w:val="0"/>
          <w:sz w:val="28"/>
          <w:szCs w:val="28"/>
          <w:lang w:val="en-US" w:eastAsia="zh-CN"/>
        </w:rPr>
        <w:t>S51</w:t>
      </w:r>
      <w:r>
        <w:rPr>
          <w:rFonts w:hint="eastAsia"/>
          <w:color w:val="auto"/>
          <w:kern w:val="0"/>
          <w:sz w:val="28"/>
          <w:szCs w:val="28"/>
          <w:lang w:val="en-US"/>
        </w:rPr>
        <w:t>5</w:t>
      </w:r>
      <w:r>
        <w:rPr>
          <w:rFonts w:hint="eastAsia"/>
          <w:color w:val="auto"/>
          <w:kern w:val="0"/>
          <w:sz w:val="28"/>
          <w:szCs w:val="28"/>
          <w:lang w:val="en-US" w:eastAsia="zh-CN"/>
        </w:rPr>
        <w:t>省</w:t>
      </w:r>
      <w:r>
        <w:rPr>
          <w:rFonts w:hint="eastAsia"/>
          <w:color w:val="auto"/>
          <w:kern w:val="0"/>
          <w:sz w:val="28"/>
          <w:szCs w:val="28"/>
          <w:lang w:val="en-US"/>
        </w:rPr>
        <w:t>道约</w:t>
      </w:r>
      <w:r>
        <w:rPr>
          <w:rFonts w:hint="eastAsia"/>
          <w:color w:val="auto"/>
          <w:kern w:val="0"/>
          <w:sz w:val="28"/>
          <w:szCs w:val="28"/>
          <w:lang w:val="en-US" w:eastAsia="zh-CN"/>
        </w:rPr>
        <w:t>1.5公里</w:t>
      </w:r>
      <w:r>
        <w:rPr>
          <w:rFonts w:hint="eastAsia"/>
          <w:color w:val="auto"/>
          <w:kern w:val="0"/>
          <w:sz w:val="28"/>
          <w:szCs w:val="28"/>
          <w:lang w:val="en-US"/>
        </w:rPr>
        <w:t>，</w:t>
      </w:r>
      <w:r>
        <w:rPr>
          <w:rFonts w:hint="eastAsia"/>
          <w:color w:val="auto"/>
          <w:kern w:val="0"/>
          <w:sz w:val="28"/>
          <w:szCs w:val="28"/>
          <w:lang w:val="en-US" w:eastAsia="zh-CN"/>
        </w:rPr>
        <w:t>场区中心</w:t>
      </w:r>
      <w:r>
        <w:rPr>
          <w:rFonts w:hint="eastAsia"/>
          <w:color w:val="auto"/>
          <w:kern w:val="0"/>
          <w:sz w:val="28"/>
          <w:szCs w:val="28"/>
          <w:lang w:val="en-US"/>
        </w:rPr>
        <w:t>距离大</w:t>
      </w:r>
      <w:r>
        <w:rPr>
          <w:rFonts w:hint="eastAsia"/>
          <w:color w:val="auto"/>
          <w:kern w:val="0"/>
          <w:sz w:val="28"/>
          <w:szCs w:val="28"/>
          <w:lang w:val="en-US" w:eastAsia="zh-CN"/>
        </w:rPr>
        <w:t>寺</w:t>
      </w:r>
      <w:r>
        <w:rPr>
          <w:rFonts w:hint="eastAsia"/>
          <w:color w:val="auto"/>
          <w:kern w:val="0"/>
          <w:sz w:val="28"/>
          <w:szCs w:val="28"/>
          <w:lang w:val="en-US"/>
        </w:rPr>
        <w:t>镇约</w:t>
      </w:r>
      <w:r>
        <w:rPr>
          <w:rFonts w:hint="eastAsia"/>
          <w:color w:val="auto"/>
          <w:kern w:val="0"/>
          <w:sz w:val="28"/>
          <w:szCs w:val="28"/>
          <w:lang w:val="en-US" w:eastAsia="zh-CN"/>
        </w:rPr>
        <w:t>7</w:t>
      </w:r>
      <w:r>
        <w:rPr>
          <w:rFonts w:hint="eastAsia"/>
          <w:color w:val="auto"/>
          <w:kern w:val="0"/>
          <w:sz w:val="28"/>
          <w:szCs w:val="28"/>
          <w:lang w:val="en-US"/>
        </w:rPr>
        <w:t>公里，距</w:t>
      </w:r>
      <w:r>
        <w:rPr>
          <w:rFonts w:hint="eastAsia"/>
          <w:color w:val="auto"/>
          <w:kern w:val="0"/>
          <w:sz w:val="28"/>
          <w:szCs w:val="28"/>
          <w:lang w:val="en-US" w:eastAsia="zh-CN"/>
        </w:rPr>
        <w:t>大直</w:t>
      </w:r>
      <w:r>
        <w:rPr>
          <w:rFonts w:hint="eastAsia"/>
          <w:color w:val="auto"/>
          <w:kern w:val="0"/>
          <w:sz w:val="28"/>
          <w:szCs w:val="28"/>
          <w:lang w:val="en-US"/>
        </w:rPr>
        <w:t>镇约</w:t>
      </w:r>
      <w:r>
        <w:rPr>
          <w:rFonts w:hint="eastAsia"/>
          <w:color w:val="auto"/>
          <w:kern w:val="0"/>
          <w:sz w:val="28"/>
          <w:szCs w:val="28"/>
          <w:lang w:val="en-US" w:eastAsia="zh-CN"/>
        </w:rPr>
        <w:t>8</w:t>
      </w:r>
      <w:r>
        <w:rPr>
          <w:rFonts w:hint="eastAsia"/>
          <w:color w:val="auto"/>
          <w:kern w:val="0"/>
          <w:sz w:val="28"/>
          <w:szCs w:val="28"/>
          <w:lang w:val="en-US"/>
        </w:rPr>
        <w:t>公里，</w:t>
      </w:r>
      <w:r>
        <w:rPr>
          <w:rFonts w:hint="eastAsia"/>
          <w:color w:val="auto"/>
          <w:kern w:val="0"/>
          <w:sz w:val="28"/>
          <w:szCs w:val="28"/>
          <w:lang w:val="en-US" w:eastAsia="zh-CN"/>
        </w:rPr>
        <w:t>用地周边地下水资源丰富，项目建设期用水可通过打井取水，供水、供电、通讯等基础设施有保障，</w:t>
      </w:r>
      <w:r>
        <w:rPr>
          <w:rFonts w:hint="eastAsia"/>
          <w:color w:val="auto"/>
          <w:kern w:val="0"/>
          <w:sz w:val="28"/>
          <w:szCs w:val="28"/>
          <w:lang w:val="en-US"/>
        </w:rPr>
        <w:t>项目建设所需材料主要有石料、砂、水泥、钢筋等，原材料在钦北区及周边市场均有足量供应，易于采购。钦州市境内建筑施工企业众多，技术力量及施工设备等可满足项目建设要求</w:t>
      </w:r>
      <w:r>
        <w:rPr>
          <w:rFonts w:hint="eastAsia"/>
          <w:color w:val="auto"/>
          <w:kern w:val="0"/>
          <w:sz w:val="28"/>
          <w:szCs w:val="28"/>
          <w:lang w:val="en-US" w:eastAsia="zh-CN"/>
        </w:rPr>
        <w:t>。</w:t>
      </w:r>
    </w:p>
    <w:p>
      <w:pPr>
        <w:pStyle w:val="17"/>
        <w:autoSpaceDE w:val="0"/>
        <w:autoSpaceDN w:val="0"/>
        <w:spacing w:before="4" w:line="360" w:lineRule="auto"/>
        <w:ind w:right="351" w:firstLineChars="200" w:firstLine="560"/>
        <w:jc w:val="left"/>
        <w:rPr>
          <w:rFonts w:ascii="宋体" w:eastAsia="宋体" w:cs="宋体" w:hAnsi="宋体" w:hint="eastAsia"/>
          <w:color w:val="auto"/>
          <w:kern w:val="0"/>
          <w:sz w:val="28"/>
          <w:szCs w:val="28"/>
          <w:lang w:eastAsia="zh-CN"/>
        </w:rPr>
      </w:pPr>
      <w:r>
        <w:rPr>
          <w:rFonts w:hint="eastAsia"/>
          <w:color w:val="auto"/>
          <w:kern w:val="0"/>
          <w:sz w:val="28"/>
          <w:szCs w:val="28"/>
          <w:lang w:val="en-US"/>
        </w:rPr>
        <w:t>钦州市及钦北区的优良工业负荷增速较快，为风电负荷就地消化提供条件。建设风电场</w:t>
      </w:r>
      <w:r>
        <w:rPr>
          <w:rFonts w:hint="eastAsia"/>
          <w:color w:val="auto"/>
          <w:kern w:val="0"/>
          <w:sz w:val="28"/>
          <w:szCs w:val="28"/>
          <w:lang w:val="en-US" w:eastAsia="zh-CN"/>
        </w:rPr>
        <w:t>项目占地</w:t>
      </w:r>
      <w:r>
        <w:rPr>
          <w:rFonts w:hint="eastAsia"/>
          <w:color w:val="auto"/>
          <w:kern w:val="0"/>
          <w:sz w:val="28"/>
          <w:szCs w:val="28"/>
          <w:lang w:val="en-US"/>
        </w:rPr>
        <w:t>规模相对较小，</w:t>
      </w:r>
      <w:r>
        <w:rPr>
          <w:rFonts w:hint="eastAsia"/>
          <w:color w:val="auto"/>
          <w:kern w:val="0"/>
          <w:sz w:val="28"/>
          <w:szCs w:val="28"/>
          <w:lang w:val="en-US" w:eastAsia="zh-CN"/>
        </w:rPr>
        <w:t>可有效地</w:t>
      </w:r>
      <w:r>
        <w:rPr>
          <w:rFonts w:hint="eastAsia"/>
          <w:color w:val="auto"/>
          <w:kern w:val="0"/>
          <w:sz w:val="28"/>
          <w:szCs w:val="28"/>
          <w:lang w:val="en-US"/>
        </w:rPr>
        <w:t>节约集约土地</w:t>
      </w:r>
      <w:r>
        <w:rPr>
          <w:rFonts w:hint="eastAsia"/>
          <w:color w:val="auto"/>
          <w:kern w:val="0"/>
          <w:sz w:val="28"/>
          <w:szCs w:val="28"/>
          <w:lang w:val="en-US" w:eastAsia="zh-CN"/>
        </w:rPr>
        <w:t>。编制地块控制性详细规划指导建设</w:t>
      </w:r>
      <w:r>
        <w:rPr>
          <w:rFonts w:cs="宋体" w:hint="eastAsia"/>
          <w:color w:val="auto"/>
          <w:kern w:val="0"/>
          <w:sz w:val="28"/>
          <w:szCs w:val="28"/>
          <w:lang w:eastAsia="zh-CN"/>
        </w:rPr>
        <w:t>钦北区百浪岭风电场一期</w:t>
      </w:r>
      <w:r>
        <w:rPr>
          <w:rFonts w:ascii="宋体" w:eastAsia="宋体" w:cs="宋体" w:hAnsi="宋体" w:hint="eastAsia"/>
          <w:color w:val="auto"/>
          <w:kern w:val="0"/>
          <w:sz w:val="28"/>
          <w:szCs w:val="28"/>
        </w:rPr>
        <w:t>工程</w:t>
      </w:r>
      <w:r>
        <w:rPr>
          <w:rFonts w:hint="eastAsia"/>
          <w:color w:val="auto"/>
          <w:kern w:val="0"/>
          <w:sz w:val="28"/>
          <w:szCs w:val="28"/>
          <w:lang w:val="en-US" w:eastAsia="zh-CN"/>
        </w:rPr>
        <w:t>项目，</w:t>
      </w:r>
      <w:r>
        <w:rPr>
          <w:rFonts w:hint="eastAsia"/>
          <w:color w:val="auto"/>
          <w:kern w:val="0"/>
          <w:sz w:val="28"/>
          <w:szCs w:val="28"/>
          <w:lang w:val="en-US"/>
        </w:rPr>
        <w:t>不但不会对电网稳定产生影响，还可配合国家电网，补充电网末端的电力供应，满足当地较为分散负荷的用电需求</w:t>
      </w:r>
      <w:r>
        <w:rPr>
          <w:rFonts w:hint="eastAsia"/>
          <w:color w:val="auto"/>
          <w:kern w:val="0"/>
          <w:sz w:val="28"/>
          <w:szCs w:val="28"/>
          <w:lang w:val="en-US" w:eastAsia="zh-CN"/>
        </w:rPr>
        <w:t>。项目建成后年上网发电量约为12129万kW/h，年等效满负荷利用小时数2426h</w:t>
      </w:r>
      <w:r>
        <w:rPr>
          <w:rFonts w:ascii="宋体" w:eastAsia="宋体" w:cs="宋体" w:hAnsi="宋体" w:hint="eastAsia"/>
          <w:color w:val="auto"/>
          <w:kern w:val="0"/>
          <w:sz w:val="28"/>
          <w:szCs w:val="28"/>
        </w:rPr>
        <w:t>。项目以</w:t>
      </w:r>
      <w:r>
        <w:rPr>
          <w:rFonts w:cs="宋体" w:hint="eastAsia"/>
          <w:color w:val="auto"/>
          <w:kern w:val="0"/>
          <w:sz w:val="28"/>
          <w:szCs w:val="28"/>
          <w:lang w:val="en-US" w:eastAsia="zh-CN"/>
        </w:rPr>
        <w:t>110</w:t>
      </w:r>
      <w:r>
        <w:rPr>
          <w:rFonts w:cs="宋体" w:hint="eastAsia"/>
          <w:color w:val="auto"/>
          <w:kern w:val="0"/>
          <w:sz w:val="28"/>
          <w:szCs w:val="28"/>
          <w:lang w:eastAsia="zh-CN"/>
        </w:rPr>
        <w:t>kV</w:t>
      </w:r>
      <w:r>
        <w:rPr>
          <w:rFonts w:ascii="宋体" w:eastAsia="宋体" w:cs="宋体" w:hAnsi="宋体" w:hint="eastAsia"/>
          <w:color w:val="auto"/>
          <w:kern w:val="0"/>
          <w:sz w:val="28"/>
          <w:szCs w:val="28"/>
        </w:rPr>
        <w:t>出线1回接</w:t>
      </w:r>
      <w:r>
        <w:rPr>
          <w:rFonts w:cs="宋体" w:hint="eastAsia"/>
          <w:color w:val="auto"/>
          <w:kern w:val="0"/>
          <w:sz w:val="28"/>
          <w:szCs w:val="28"/>
          <w:lang w:eastAsia="zh-CN"/>
        </w:rPr>
        <w:t>入那前变电</w:t>
      </w:r>
      <w:r>
        <w:rPr>
          <w:rFonts w:ascii="宋体" w:eastAsia="宋体" w:cs="宋体" w:hAnsi="宋体" w:hint="eastAsia"/>
          <w:color w:val="auto"/>
          <w:kern w:val="0"/>
          <w:sz w:val="28"/>
          <w:szCs w:val="28"/>
        </w:rPr>
        <w:t>站，长度约</w:t>
      </w:r>
      <w:r>
        <w:rPr>
          <w:rFonts w:cs="宋体" w:hint="eastAsia"/>
          <w:color w:val="auto"/>
          <w:kern w:val="0"/>
          <w:sz w:val="28"/>
          <w:szCs w:val="28"/>
          <w:lang w:val="en-US" w:eastAsia="zh-CN"/>
        </w:rPr>
        <w:t>8.6</w:t>
      </w:r>
      <w:r>
        <w:rPr>
          <w:rFonts w:ascii="宋体" w:eastAsia="宋体" w:cs="宋体" w:hAnsi="宋体" w:hint="eastAsia"/>
          <w:color w:val="auto"/>
          <w:kern w:val="0"/>
          <w:sz w:val="28"/>
          <w:szCs w:val="28"/>
        </w:rPr>
        <w:t>km</w:t>
      </w:r>
      <w:r>
        <w:rPr>
          <w:rFonts w:cs="宋体" w:hint="eastAsia"/>
          <w:color w:val="auto"/>
          <w:kern w:val="0"/>
          <w:sz w:val="28"/>
          <w:szCs w:val="28"/>
          <w:lang w:eastAsia="zh-CN"/>
        </w:rPr>
        <w:t>。</w:t>
      </w:r>
    </w:p>
    <w:p>
      <w:pPr>
        <w:pStyle w:val="17"/>
        <w:autoSpaceDE w:val="0"/>
        <w:autoSpaceDN w:val="0"/>
        <w:spacing w:before="4" w:line="360" w:lineRule="auto"/>
        <w:ind w:right="351" w:firstLineChars="200" w:firstLine="560"/>
        <w:jc w:val="left"/>
        <w:rPr>
          <w:rFonts w:hint="eastAsia"/>
          <w:color w:val="auto"/>
          <w:kern w:val="0"/>
          <w:sz w:val="28"/>
          <w:szCs w:val="28"/>
          <w:lang w:val="en-US"/>
        </w:rPr>
      </w:pPr>
      <w:r>
        <w:rPr>
          <w:rFonts w:hint="eastAsia"/>
          <w:color w:val="auto"/>
          <w:kern w:val="0"/>
          <w:sz w:val="28"/>
          <w:szCs w:val="28"/>
          <w:lang w:val="en-US" w:eastAsia="zh-CN"/>
        </w:rPr>
        <w:t>（4）地下矿产资源及文物古迹状况</w:t>
      </w:r>
    </w:p>
    <w:p>
      <w:pPr>
        <w:pStyle w:val="17"/>
        <w:autoSpaceDE w:val="0"/>
        <w:autoSpaceDN w:val="0"/>
        <w:spacing w:before="4" w:line="360" w:lineRule="auto"/>
        <w:ind w:right="351" w:firstLineChars="200" w:firstLine="560"/>
        <w:jc w:val="left"/>
        <w:rPr>
          <w:rFonts w:hint="eastAsia"/>
          <w:color w:val="auto"/>
          <w:kern w:val="0"/>
          <w:sz w:val="28"/>
          <w:szCs w:val="28"/>
          <w:lang w:val="en-US" w:eastAsia="zh-CN"/>
        </w:rPr>
      </w:pPr>
      <w:r>
        <w:rPr>
          <w:rFonts w:cs="宋体" w:hint="eastAsia"/>
          <w:color w:val="auto"/>
          <w:kern w:val="0"/>
          <w:sz w:val="28"/>
          <w:szCs w:val="28"/>
          <w:lang w:eastAsia="zh-CN"/>
        </w:rPr>
        <w:t>钦北区百浪岭风电场一期</w:t>
      </w:r>
      <w:r>
        <w:rPr>
          <w:rFonts w:hint="eastAsia"/>
          <w:color w:val="auto"/>
          <w:kern w:val="0"/>
          <w:sz w:val="28"/>
          <w:szCs w:val="28"/>
          <w:lang w:val="en-US" w:eastAsia="zh-CN"/>
        </w:rPr>
        <w:t>的场址涉及区域范围面积较大，但实际用地面积较小。本项目的工程设施、建构筑物数量少，工程活动主要位于升压站、风机及吊装平台里，建设项目的影响范围主要位于实际用地范围内，影响范围较小，根据</w:t>
      </w:r>
      <w:r>
        <w:rPr>
          <w:rFonts w:ascii="宋体" w:eastAsia="宋体" w:cs="宋体" w:hAnsi="宋体" w:hint="eastAsia"/>
          <w:color w:val="auto"/>
          <w:kern w:val="0"/>
          <w:sz w:val="28"/>
          <w:szCs w:val="28"/>
          <w:lang w:eastAsia="zh-CN"/>
        </w:rPr>
        <w:t>钦北区自然资源局</w:t>
      </w:r>
      <w:r>
        <w:rPr>
          <w:rFonts w:cs="宋体" w:hint="eastAsia"/>
          <w:color w:val="auto"/>
          <w:kern w:val="0"/>
          <w:sz w:val="28"/>
          <w:szCs w:val="28"/>
          <w:lang w:eastAsia="zh-CN"/>
        </w:rPr>
        <w:t>现有矿业权管理数据库和矿区规划空间数据库以及建设项目压覆矿查询坐标外推</w:t>
      </w:r>
      <w:r>
        <w:rPr>
          <w:rFonts w:cs="宋体" w:hint="eastAsia"/>
          <w:color w:val="auto"/>
          <w:kern w:val="0"/>
          <w:sz w:val="28"/>
          <w:szCs w:val="28"/>
          <w:lang w:val="en-US" w:eastAsia="zh-CN"/>
        </w:rPr>
        <w:t>500米作压覆矿产资源查询范围，同时经市级、自治区级申请完成压覆矿三级查询，</w:t>
      </w:r>
      <w:r>
        <w:rPr>
          <w:rFonts w:hint="eastAsia"/>
          <w:color w:val="auto"/>
          <w:kern w:val="0"/>
          <w:sz w:val="28"/>
          <w:szCs w:val="28"/>
          <w:lang w:val="en-US" w:eastAsia="zh-CN"/>
        </w:rPr>
        <w:t>建设项目压覆矿评估范围内未发现已探明的重要矿床；没有采矿权、探矿权设置</w:t>
      </w:r>
      <w:r>
        <w:rPr>
          <w:rFonts w:hint="eastAsia"/>
          <w:color w:val="auto"/>
          <w:kern w:val="0"/>
          <w:sz w:val="28"/>
          <w:szCs w:val="28"/>
          <w:lang w:val="en-US"/>
        </w:rPr>
        <w:t>，也未发现有文物保护单位及古迹遗址分布，</w:t>
      </w:r>
      <w:r>
        <w:rPr>
          <w:rFonts w:hint="eastAsia"/>
          <w:color w:val="auto"/>
          <w:kern w:val="0"/>
          <w:sz w:val="28"/>
          <w:szCs w:val="28"/>
          <w:lang w:val="en-US" w:eastAsia="zh-CN"/>
        </w:rPr>
        <w:t>不在历史文化保护核心地段和控制建设区范围内，</w:t>
      </w:r>
      <w:r>
        <w:rPr>
          <w:rFonts w:hint="eastAsia"/>
          <w:color w:val="auto"/>
          <w:kern w:val="0"/>
          <w:sz w:val="28"/>
          <w:szCs w:val="28"/>
          <w:lang w:val="en-US"/>
        </w:rPr>
        <w:t>不存在压覆</w:t>
      </w:r>
      <w:r>
        <w:rPr>
          <w:rFonts w:hint="eastAsia"/>
          <w:color w:val="auto"/>
          <w:kern w:val="0"/>
          <w:sz w:val="28"/>
          <w:szCs w:val="28"/>
          <w:lang w:val="en-US" w:eastAsia="zh-CN"/>
        </w:rPr>
        <w:t>重要</w:t>
      </w:r>
      <w:r>
        <w:rPr>
          <w:rFonts w:hint="eastAsia"/>
          <w:color w:val="auto"/>
          <w:kern w:val="0"/>
          <w:sz w:val="28"/>
          <w:szCs w:val="28"/>
          <w:lang w:val="en-US"/>
        </w:rPr>
        <w:t>矿产资源和压埋文物古迹问题</w:t>
      </w:r>
      <w:r>
        <w:rPr>
          <w:rFonts w:cs="宋体" w:hint="eastAsia"/>
          <w:color w:val="auto"/>
          <w:kern w:val="0"/>
          <w:sz w:val="28"/>
          <w:szCs w:val="28"/>
          <w:lang w:eastAsia="zh-CN"/>
        </w:rPr>
        <w:t>。</w:t>
      </w:r>
    </w:p>
    <w:p>
      <w:pPr>
        <w:pStyle w:val="1"/>
        <w:numPr>
          <w:ilvl w:val="0"/>
          <w:numId w:val="0"/>
        </w:numPr>
        <w:spacing w:before="260" w:line="360" w:lineRule="auto"/>
        <w:ind w:left="420" w:right="351"/>
        <w:jc w:val="center"/>
        <w:rPr>
          <w:rFonts w:ascii="宋体" w:eastAsia="宋体" w:cs="宋体" w:hAnsi="宋体"/>
          <w:bCs/>
          <w:color w:val="auto"/>
          <w:sz w:val="32"/>
          <w:szCs w:val="32"/>
        </w:rPr>
      </w:pPr>
      <w:bookmarkStart w:id="44" w:name="_Toc26417"/>
      <w:r>
        <w:rPr>
          <w:rFonts w:ascii="宋体" w:eastAsia="宋体" w:cs="宋体" w:hAnsi="宋体" w:hint="eastAsia"/>
          <w:bCs/>
          <w:color w:val="auto"/>
          <w:sz w:val="32"/>
          <w:szCs w:val="32"/>
          <w:lang w:eastAsia="zh-CN"/>
        </w:rPr>
        <w:t>第四章</w:t>
      </w:r>
      <w:r>
        <w:rPr>
          <w:rFonts w:ascii="宋体" w:eastAsia="宋体" w:cs="宋体" w:hAnsi="宋体" w:hint="eastAsia"/>
          <w:bCs/>
          <w:color w:val="auto"/>
          <w:sz w:val="32"/>
          <w:szCs w:val="32"/>
          <w:lang w:val="en-US" w:eastAsia="zh-CN"/>
        </w:rPr>
        <w:t xml:space="preserve"> </w:t>
      </w:r>
      <w:r>
        <w:rPr>
          <w:rFonts w:ascii="宋体" w:eastAsia="宋体" w:cs="宋体" w:hAnsi="宋体" w:hint="eastAsia"/>
          <w:bCs/>
          <w:color w:val="auto"/>
          <w:sz w:val="32"/>
          <w:szCs w:val="32"/>
        </w:rPr>
        <w:t>综合交通及竖向规划</w:t>
      </w:r>
      <w:bookmarkEnd w:id="44"/>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45" w:name="_Toc13494"/>
      <w:r>
        <w:rPr>
          <w:rFonts w:ascii="宋体" w:eastAsia="宋体" w:cs="宋体" w:hAnsi="宋体" w:hint="eastAsia"/>
          <w:bCs/>
          <w:color w:val="auto"/>
          <w:sz w:val="32"/>
          <w:szCs w:val="32"/>
          <w:lang w:val="en-US" w:eastAsia="zh-CN"/>
        </w:rPr>
        <w:t>4.1综合交通规划</w:t>
      </w:r>
      <w:bookmarkEnd w:id="45"/>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lang w:eastAsia="zh-CN"/>
        </w:rPr>
        <w:t>）场外道路交通规划</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钦北区交通发达便捷，G75兰海高速公路、</w:t>
      </w:r>
      <w:r>
        <w:rPr>
          <w:rFonts w:ascii="宋体" w:eastAsia="宋体" w:cs="宋体" w:hAnsi="宋体" w:hint="eastAsia"/>
          <w:color w:val="auto"/>
          <w:kern w:val="0"/>
          <w:sz w:val="28"/>
          <w:szCs w:val="28"/>
          <w:lang w:val="en-US" w:eastAsia="zh-CN"/>
        </w:rPr>
        <w:t>S60</w:t>
      </w:r>
      <w:r>
        <w:rPr>
          <w:rFonts w:ascii="宋体" w:eastAsia="宋体" w:cs="宋体" w:hAnsi="宋体" w:hint="eastAsia"/>
          <w:color w:val="auto"/>
          <w:kern w:val="0"/>
          <w:sz w:val="28"/>
          <w:szCs w:val="28"/>
          <w:lang w:eastAsia="zh-CN"/>
        </w:rPr>
        <w:t>合那高速公路、</w:t>
      </w:r>
      <w:r>
        <w:rPr>
          <w:rFonts w:ascii="宋体" w:eastAsia="宋体" w:cs="宋体" w:hAnsi="宋体" w:hint="eastAsia"/>
          <w:color w:val="auto"/>
          <w:kern w:val="0"/>
          <w:sz w:val="28"/>
          <w:szCs w:val="28"/>
        </w:rPr>
        <w:t>国道G325 和省道</w:t>
      </w:r>
      <w:r>
        <w:rPr>
          <w:rFonts w:ascii="宋体" w:eastAsia="宋体" w:cs="宋体" w:hAnsi="宋体" w:hint="eastAsia"/>
          <w:color w:val="auto"/>
          <w:kern w:val="0"/>
          <w:sz w:val="28"/>
          <w:szCs w:val="28"/>
          <w:lang w:eastAsia="zh-CN"/>
        </w:rPr>
        <w:t>S</w:t>
      </w:r>
      <w:r>
        <w:rPr>
          <w:rFonts w:ascii="宋体" w:eastAsia="宋体" w:cs="宋体" w:hAnsi="宋体" w:hint="eastAsia"/>
          <w:color w:val="auto"/>
          <w:kern w:val="0"/>
          <w:sz w:val="28"/>
          <w:szCs w:val="28"/>
          <w:lang w:val="en-US" w:eastAsia="zh-CN"/>
        </w:rPr>
        <w:t>218</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S515、</w:t>
      </w:r>
      <w:r>
        <w:rPr>
          <w:rFonts w:ascii="宋体" w:eastAsia="宋体" w:cs="宋体" w:hAnsi="宋体" w:hint="eastAsia"/>
          <w:color w:val="auto"/>
          <w:kern w:val="0"/>
          <w:sz w:val="28"/>
          <w:szCs w:val="28"/>
        </w:rPr>
        <w:t>黎钦铁路等均贯穿境内，全区公路四通八达。百浪岭风电场</w:t>
      </w:r>
      <w:r>
        <w:rPr>
          <w:rFonts w:ascii="宋体" w:eastAsia="宋体" w:cs="宋体" w:hAnsi="宋体" w:hint="eastAsia"/>
          <w:color w:val="auto"/>
          <w:kern w:val="0"/>
          <w:sz w:val="28"/>
          <w:szCs w:val="28"/>
          <w:lang w:eastAsia="zh-CN"/>
        </w:rPr>
        <w:t>一期</w:t>
      </w:r>
      <w:r>
        <w:rPr>
          <w:rFonts w:ascii="宋体" w:eastAsia="宋体" w:cs="宋体" w:hAnsi="宋体" w:hint="eastAsia"/>
          <w:color w:val="auto"/>
          <w:kern w:val="0"/>
          <w:sz w:val="28"/>
          <w:szCs w:val="28"/>
        </w:rPr>
        <w:t>工程</w:t>
      </w:r>
      <w:r>
        <w:rPr>
          <w:rFonts w:ascii="宋体" w:eastAsia="宋体" w:cs="宋体" w:hAnsi="宋体" w:hint="eastAsia"/>
          <w:color w:val="auto"/>
          <w:kern w:val="0"/>
          <w:sz w:val="28"/>
          <w:szCs w:val="28"/>
          <w:lang w:eastAsia="zh-CN"/>
        </w:rPr>
        <w:t>项目</w:t>
      </w:r>
      <w:r>
        <w:rPr>
          <w:rFonts w:ascii="宋体" w:eastAsia="宋体" w:cs="宋体" w:hAnsi="宋体" w:hint="eastAsia"/>
          <w:color w:val="auto"/>
          <w:kern w:val="0"/>
          <w:sz w:val="28"/>
          <w:szCs w:val="28"/>
        </w:rPr>
        <w:t>位于广西钦州市</w:t>
      </w:r>
      <w:r>
        <w:rPr>
          <w:rFonts w:ascii="宋体" w:eastAsia="宋体" w:cs="宋体" w:hAnsi="宋体" w:hint="eastAsia"/>
          <w:color w:val="auto"/>
          <w:kern w:val="0"/>
          <w:sz w:val="28"/>
          <w:szCs w:val="28"/>
          <w:lang w:eastAsia="zh-CN"/>
        </w:rPr>
        <w:t>的</w:t>
      </w:r>
      <w:r>
        <w:rPr>
          <w:rFonts w:ascii="宋体" w:eastAsia="宋体" w:cs="宋体" w:hAnsi="宋体" w:hint="eastAsia"/>
          <w:color w:val="auto"/>
          <w:kern w:val="0"/>
          <w:sz w:val="28"/>
          <w:szCs w:val="28"/>
        </w:rPr>
        <w:t>西北部</w:t>
      </w:r>
      <w:r>
        <w:rPr>
          <w:rFonts w:ascii="宋体" w:eastAsia="宋体" w:cs="宋体" w:hAnsi="宋体" w:hint="eastAsia"/>
          <w:color w:val="auto"/>
          <w:kern w:val="0"/>
          <w:sz w:val="28"/>
          <w:szCs w:val="28"/>
          <w:lang w:eastAsia="zh-CN"/>
        </w:rPr>
        <w:t>，即</w:t>
      </w:r>
      <w:r>
        <w:rPr>
          <w:rFonts w:ascii="宋体" w:eastAsia="宋体" w:cs="宋体" w:hAnsi="宋体" w:hint="eastAsia"/>
          <w:color w:val="auto"/>
          <w:kern w:val="0"/>
          <w:sz w:val="28"/>
          <w:szCs w:val="28"/>
        </w:rPr>
        <w:t>钦北区</w:t>
      </w:r>
      <w:r>
        <w:rPr>
          <w:rFonts w:ascii="宋体" w:eastAsia="宋体" w:cs="宋体" w:hAnsi="宋体" w:hint="eastAsia"/>
          <w:color w:val="auto"/>
          <w:kern w:val="0"/>
          <w:sz w:val="28"/>
          <w:szCs w:val="28"/>
          <w:lang w:eastAsia="zh-CN"/>
        </w:rPr>
        <w:t>大寺</w:t>
      </w:r>
      <w:r>
        <w:rPr>
          <w:rFonts w:ascii="宋体" w:eastAsia="宋体" w:cs="宋体" w:hAnsi="宋体" w:hint="eastAsia"/>
          <w:color w:val="auto"/>
          <w:kern w:val="0"/>
          <w:sz w:val="28"/>
          <w:szCs w:val="28"/>
        </w:rPr>
        <w:t>镇</w:t>
      </w:r>
      <w:r>
        <w:rPr>
          <w:rFonts w:ascii="宋体" w:eastAsia="宋体" w:cs="宋体" w:hAnsi="宋体" w:hint="eastAsia"/>
          <w:color w:val="auto"/>
          <w:kern w:val="0"/>
          <w:sz w:val="28"/>
          <w:szCs w:val="28"/>
          <w:lang w:eastAsia="zh-CN"/>
        </w:rPr>
        <w:t>与大直</w:t>
      </w:r>
      <w:r>
        <w:rPr>
          <w:rFonts w:ascii="宋体" w:eastAsia="宋体" w:cs="宋体" w:hAnsi="宋体" w:hint="eastAsia"/>
          <w:color w:val="auto"/>
          <w:kern w:val="0"/>
          <w:sz w:val="28"/>
          <w:szCs w:val="28"/>
        </w:rPr>
        <w:t>镇交界处附近。风电场</w:t>
      </w:r>
      <w:r>
        <w:rPr>
          <w:rFonts w:ascii="宋体" w:eastAsia="宋体" w:cs="宋体" w:hAnsi="宋体" w:hint="eastAsia"/>
          <w:color w:val="auto"/>
          <w:kern w:val="0"/>
          <w:sz w:val="28"/>
          <w:szCs w:val="28"/>
          <w:lang w:eastAsia="zh-CN"/>
        </w:rPr>
        <w:t>项目</w:t>
      </w:r>
      <w:r>
        <w:rPr>
          <w:rFonts w:ascii="宋体" w:eastAsia="宋体" w:cs="宋体" w:hAnsi="宋体" w:hint="eastAsia"/>
          <w:color w:val="auto"/>
          <w:kern w:val="0"/>
          <w:sz w:val="28"/>
          <w:szCs w:val="28"/>
        </w:rPr>
        <w:t>场区</w:t>
      </w:r>
      <w:r>
        <w:rPr>
          <w:rFonts w:ascii="宋体" w:eastAsia="宋体" w:cs="宋体" w:hAnsi="宋体" w:hint="eastAsia"/>
          <w:color w:val="auto"/>
          <w:kern w:val="0"/>
          <w:sz w:val="28"/>
          <w:szCs w:val="28"/>
          <w:lang w:eastAsia="zh-CN"/>
        </w:rPr>
        <w:t>附近</w:t>
      </w:r>
      <w:r>
        <w:rPr>
          <w:rFonts w:ascii="宋体" w:eastAsia="宋体" w:cs="宋体" w:hAnsi="宋体" w:hint="eastAsia"/>
          <w:color w:val="auto"/>
          <w:kern w:val="0"/>
          <w:sz w:val="28"/>
          <w:szCs w:val="28"/>
        </w:rPr>
        <w:t>东南部有兰海高速G75</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省道S218</w:t>
      </w:r>
      <w:r>
        <w:rPr>
          <w:rFonts w:ascii="宋体" w:eastAsia="宋体" w:cs="宋体" w:hAnsi="宋体" w:hint="eastAsia"/>
          <w:color w:val="auto"/>
          <w:kern w:val="0"/>
          <w:sz w:val="28"/>
          <w:szCs w:val="28"/>
          <w:lang w:eastAsia="zh-CN"/>
        </w:rPr>
        <w:t>和省道</w:t>
      </w:r>
      <w:r>
        <w:rPr>
          <w:rFonts w:ascii="宋体" w:eastAsia="宋体" w:cs="宋体" w:hAnsi="宋体" w:hint="eastAsia"/>
          <w:color w:val="auto"/>
          <w:kern w:val="0"/>
          <w:sz w:val="28"/>
          <w:szCs w:val="28"/>
          <w:lang w:val="en-US" w:eastAsia="zh-CN"/>
        </w:rPr>
        <w:t>S515</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西</w:t>
      </w:r>
      <w:r>
        <w:rPr>
          <w:rFonts w:ascii="宋体" w:eastAsia="宋体" w:cs="宋体" w:hAnsi="宋体" w:hint="eastAsia"/>
          <w:color w:val="auto"/>
          <w:kern w:val="0"/>
          <w:sz w:val="28"/>
          <w:szCs w:val="28"/>
        </w:rPr>
        <w:t>南部有</w:t>
      </w:r>
      <w:r>
        <w:rPr>
          <w:rFonts w:ascii="宋体" w:eastAsia="宋体" w:cs="宋体" w:hAnsi="宋体" w:hint="eastAsia"/>
          <w:color w:val="auto"/>
          <w:kern w:val="0"/>
          <w:sz w:val="28"/>
          <w:szCs w:val="28"/>
          <w:lang w:eastAsia="zh-CN"/>
        </w:rPr>
        <w:t>合那</w:t>
      </w:r>
      <w:r>
        <w:rPr>
          <w:rFonts w:ascii="宋体" w:eastAsia="宋体" w:cs="宋体" w:hAnsi="宋体" w:hint="eastAsia"/>
          <w:color w:val="auto"/>
          <w:kern w:val="0"/>
          <w:sz w:val="28"/>
          <w:szCs w:val="28"/>
        </w:rPr>
        <w:t>高速</w:t>
      </w:r>
      <w:r>
        <w:rPr>
          <w:rFonts w:ascii="宋体" w:eastAsia="宋体" w:cs="宋体" w:hAnsi="宋体" w:hint="eastAsia"/>
          <w:color w:val="auto"/>
          <w:kern w:val="0"/>
          <w:sz w:val="28"/>
          <w:szCs w:val="28"/>
          <w:lang w:val="en-US" w:eastAsia="zh-CN"/>
        </w:rPr>
        <w:t>S60</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场区</w:t>
      </w:r>
      <w:r>
        <w:rPr>
          <w:rFonts w:hint="eastAsia"/>
          <w:color w:val="auto"/>
          <w:kern w:val="0"/>
          <w:sz w:val="28"/>
          <w:szCs w:val="28"/>
          <w:lang w:val="en-US"/>
        </w:rPr>
        <w:t>距</w:t>
      </w:r>
      <w:r>
        <w:rPr>
          <w:rFonts w:hint="eastAsia"/>
          <w:color w:val="auto"/>
          <w:kern w:val="0"/>
          <w:sz w:val="28"/>
          <w:szCs w:val="28"/>
          <w:lang w:val="en-US" w:eastAsia="zh-CN"/>
        </w:rPr>
        <w:t>S51</w:t>
      </w:r>
      <w:r>
        <w:rPr>
          <w:rFonts w:hint="eastAsia"/>
          <w:color w:val="auto"/>
          <w:kern w:val="0"/>
          <w:sz w:val="28"/>
          <w:szCs w:val="28"/>
          <w:lang w:val="en-US"/>
        </w:rPr>
        <w:t>5</w:t>
      </w:r>
      <w:r>
        <w:rPr>
          <w:rFonts w:hint="eastAsia"/>
          <w:color w:val="auto"/>
          <w:kern w:val="0"/>
          <w:sz w:val="28"/>
          <w:szCs w:val="28"/>
          <w:lang w:val="en-US" w:eastAsia="zh-CN"/>
        </w:rPr>
        <w:t>省</w:t>
      </w:r>
      <w:r>
        <w:rPr>
          <w:rFonts w:hint="eastAsia"/>
          <w:color w:val="auto"/>
          <w:kern w:val="0"/>
          <w:sz w:val="28"/>
          <w:szCs w:val="28"/>
          <w:lang w:val="en-US"/>
        </w:rPr>
        <w:t>道约</w:t>
      </w:r>
      <w:r>
        <w:rPr>
          <w:rFonts w:hint="eastAsia"/>
          <w:color w:val="auto"/>
          <w:kern w:val="0"/>
          <w:sz w:val="28"/>
          <w:szCs w:val="28"/>
          <w:lang w:val="en-US" w:eastAsia="zh-CN"/>
        </w:rPr>
        <w:t>1.5公里，</w:t>
      </w:r>
      <w:r>
        <w:rPr>
          <w:rFonts w:ascii="宋体" w:eastAsia="宋体" w:cs="宋体" w:hAnsi="宋体" w:hint="eastAsia"/>
          <w:color w:val="auto"/>
          <w:kern w:val="0"/>
          <w:sz w:val="28"/>
          <w:szCs w:val="28"/>
        </w:rPr>
        <w:t>至钦州市公路里程约39km。场区内部各</w:t>
      </w:r>
      <w:r>
        <w:rPr>
          <w:rFonts w:ascii="宋体" w:eastAsia="宋体" w:cs="宋体" w:hAnsi="宋体"/>
          <w:color w:val="auto"/>
          <w:kern w:val="0"/>
          <w:sz w:val="28"/>
          <w:szCs w:val="28"/>
        </w:rPr>
        <w:t>条</w:t>
      </w:r>
      <w:r>
        <w:rPr>
          <w:rFonts w:ascii="宋体" w:eastAsia="宋体" w:cs="宋体" w:hAnsi="宋体" w:hint="eastAsia"/>
          <w:color w:val="auto"/>
          <w:kern w:val="0"/>
          <w:sz w:val="28"/>
          <w:szCs w:val="28"/>
        </w:rPr>
        <w:t>县道、乡道交错纵横，风电场对外交通较为便利。风电场改造道路总长度约4.6km，新建道路总长度约18.8km，进站道路长度1671m，以上</w:t>
      </w:r>
      <w:r>
        <w:rPr>
          <w:rFonts w:ascii="宋体" w:eastAsia="宋体" w:cs="宋体" w:hAnsi="宋体" w:hint="eastAsia"/>
          <w:color w:val="auto"/>
          <w:kern w:val="0"/>
          <w:sz w:val="28"/>
          <w:szCs w:val="28"/>
          <w:lang w:val="en-US" w:eastAsia="zh-CN"/>
        </w:rPr>
        <w:t>路段</w:t>
      </w:r>
      <w:r>
        <w:rPr>
          <w:rFonts w:ascii="宋体" w:eastAsia="宋体" w:cs="宋体" w:hAnsi="宋体" w:hint="eastAsia"/>
          <w:color w:val="auto"/>
          <w:kern w:val="0"/>
          <w:sz w:val="28"/>
          <w:szCs w:val="28"/>
        </w:rPr>
        <w:t>路况均良好，路线平坦，公路主干道路面宽度、线路纵坡度、线路横向坡度、竖曲线等均</w:t>
      </w:r>
      <w:r>
        <w:rPr>
          <w:rFonts w:ascii="宋体" w:eastAsia="宋体" w:cs="宋体" w:hAnsi="宋体" w:hint="eastAsia"/>
          <w:color w:val="auto"/>
          <w:kern w:val="0"/>
          <w:sz w:val="28"/>
          <w:szCs w:val="28"/>
          <w:lang w:eastAsia="zh-CN"/>
        </w:rPr>
        <w:t>基本</w:t>
      </w:r>
      <w:r>
        <w:rPr>
          <w:rFonts w:ascii="宋体" w:eastAsia="宋体" w:cs="宋体" w:hAnsi="宋体" w:hint="eastAsia"/>
          <w:color w:val="auto"/>
          <w:kern w:val="0"/>
          <w:sz w:val="28"/>
          <w:szCs w:val="28"/>
        </w:rPr>
        <w:t>能满足</w:t>
      </w:r>
      <w:r>
        <w:rPr>
          <w:rFonts w:ascii="宋体" w:eastAsia="宋体" w:cs="宋体" w:hAnsi="宋体" w:hint="eastAsia"/>
          <w:color w:val="auto"/>
          <w:kern w:val="0"/>
          <w:sz w:val="28"/>
          <w:szCs w:val="28"/>
          <w:lang w:eastAsia="zh-CN"/>
        </w:rPr>
        <w:t>风机等</w:t>
      </w:r>
      <w:r>
        <w:rPr>
          <w:rFonts w:ascii="宋体" w:eastAsia="宋体" w:cs="宋体" w:hAnsi="宋体" w:hint="eastAsia"/>
          <w:color w:val="auto"/>
          <w:kern w:val="0"/>
          <w:sz w:val="28"/>
          <w:szCs w:val="28"/>
        </w:rPr>
        <w:t>大件运输的要求，交通运输条件较好。</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lang w:eastAsia="zh-CN"/>
        </w:rPr>
        <w:t>）场内道路交通规划</w:t>
      </w:r>
    </w:p>
    <w:p>
      <w:pPr>
        <w:widowControl/>
        <w:spacing w:before="4" w:line="360" w:lineRule="auto"/>
        <w:ind w:left="118" w:right="351" w:firstLineChars="200" w:firstLine="560"/>
        <w:jc w:val="left"/>
        <w:rPr>
          <w:rFonts w:eastAsia="宋体" w:hint="eastAsia"/>
          <w:color w:val="auto"/>
          <w:kern w:val="0"/>
          <w:sz w:val="28"/>
          <w:szCs w:val="28"/>
          <w:lang w:val="en-US" w:eastAsia="zh-CN"/>
        </w:rPr>
      </w:pPr>
      <w:r>
        <w:rPr>
          <w:rFonts w:hint="eastAsia"/>
          <w:color w:val="auto"/>
          <w:kern w:val="0"/>
          <w:sz w:val="28"/>
          <w:szCs w:val="28"/>
          <w:lang w:val="en-US"/>
        </w:rPr>
        <w:t>场内交通线路规划：风电场的施工及检修道路同永久道路一同考虑，按通向各机位修建。在风电场中沿风力发电机组沿线修建干道，再由干道修建通向各机位的支路。</w:t>
      </w:r>
      <w:r>
        <w:rPr>
          <w:rFonts w:hint="eastAsia"/>
          <w:color w:val="auto"/>
          <w:kern w:val="0"/>
          <w:sz w:val="28"/>
          <w:szCs w:val="28"/>
          <w:lang w:val="en-US" w:eastAsia="zh-CN"/>
        </w:rPr>
        <w:t>风电场处高山地区，为了节约投资和减少对植被的破坏，</w:t>
      </w:r>
      <w:r>
        <w:rPr>
          <w:rFonts w:hint="eastAsia"/>
          <w:color w:val="auto"/>
          <w:kern w:val="0"/>
          <w:sz w:val="28"/>
          <w:szCs w:val="28"/>
          <w:lang w:val="en-US"/>
        </w:rPr>
        <w:t>根据风电场风力机的布局，场内交通运输线路</w:t>
      </w:r>
      <w:r>
        <w:rPr>
          <w:rFonts w:hint="eastAsia"/>
          <w:color w:val="auto"/>
          <w:kern w:val="0"/>
          <w:sz w:val="28"/>
          <w:szCs w:val="28"/>
          <w:lang w:val="en-US" w:eastAsia="zh-CN"/>
        </w:rPr>
        <w:t>、施工及检修道路</w:t>
      </w:r>
      <w:r>
        <w:rPr>
          <w:rFonts w:hint="eastAsia"/>
          <w:color w:val="auto"/>
          <w:kern w:val="0"/>
          <w:sz w:val="28"/>
          <w:szCs w:val="28"/>
          <w:lang w:val="en-US"/>
        </w:rPr>
        <w:t>在充分利用既有道路的情况下，需</w:t>
      </w:r>
      <w:r>
        <w:rPr>
          <w:rFonts w:hint="eastAsia"/>
          <w:color w:val="auto"/>
          <w:kern w:val="0"/>
          <w:sz w:val="28"/>
          <w:szCs w:val="28"/>
          <w:lang w:val="en-US" w:eastAsia="zh-CN"/>
        </w:rPr>
        <w:t>局部</w:t>
      </w:r>
      <w:r>
        <w:rPr>
          <w:rFonts w:hint="eastAsia"/>
          <w:color w:val="auto"/>
          <w:kern w:val="0"/>
          <w:sz w:val="28"/>
          <w:szCs w:val="28"/>
          <w:lang w:val="en-US"/>
        </w:rPr>
        <w:t>新修及扩宽施工运输道路，</w:t>
      </w:r>
      <w:r>
        <w:rPr>
          <w:rFonts w:hint="eastAsia"/>
          <w:color w:val="auto"/>
          <w:kern w:val="0"/>
          <w:sz w:val="28"/>
          <w:szCs w:val="28"/>
          <w:lang w:val="en-US" w:eastAsia="zh-CN"/>
        </w:rPr>
        <w:t>同时新修连接各台风机的道路，</w:t>
      </w:r>
      <w:r>
        <w:rPr>
          <w:rFonts w:hint="eastAsia"/>
          <w:color w:val="auto"/>
          <w:kern w:val="0"/>
          <w:sz w:val="28"/>
          <w:szCs w:val="28"/>
          <w:lang w:val="en-US"/>
        </w:rPr>
        <w:t>新修道路按照临时用地申报用地。场内道路的土石方开挖等工程修筑局部区域会造成水土流失，项目已编制水土保持方案，并通过当地水利部门的审批，施工时将按照水土保持方案要求，降低水土流失的影响</w:t>
      </w:r>
      <w:r>
        <w:rPr>
          <w:rFonts w:hint="eastAsia"/>
          <w:color w:val="auto"/>
          <w:kern w:val="0"/>
          <w:sz w:val="28"/>
          <w:szCs w:val="28"/>
          <w:lang w:val="en-US" w:eastAsia="zh-CN"/>
        </w:rPr>
        <w:t>。</w:t>
      </w:r>
    </w:p>
    <w:p>
      <w:pPr>
        <w:widowControl/>
        <w:spacing w:before="4" w:line="360" w:lineRule="auto"/>
        <w:ind w:left="118" w:right="351" w:firstLineChars="200" w:firstLine="560"/>
        <w:jc w:val="left"/>
        <w:rPr>
          <w:rFonts w:hint="eastAsia"/>
          <w:color w:val="auto"/>
          <w:kern w:val="0"/>
          <w:sz w:val="28"/>
          <w:szCs w:val="28"/>
          <w:lang w:val="en-US" w:eastAsia="zh-CN"/>
        </w:rPr>
      </w:pPr>
      <w:r>
        <w:rPr>
          <w:rFonts w:hint="eastAsia"/>
          <w:color w:val="auto"/>
          <w:kern w:val="0"/>
          <w:sz w:val="28"/>
          <w:szCs w:val="28"/>
          <w:lang w:val="en-US" w:eastAsia="zh-CN"/>
        </w:rPr>
        <w:t>风电场道路修建后，改善了当地交通条件，道路可以作为公共道路和林业三产道路使用。场内施工及检修道路按永久道路考虑，考虑风力发电设备大件运输，场内施工及检修道路采用宽5.5m的级配石路面，场内新建道路可结合现有林场道路布置。场内道路的一般最小圆曲线半径50m，极限最小圆曲线半径25m。道路坡度考虑车辆长期行驶，不宜过陡，除局部高差比较大的地方的坡度可达到14%外，其余路段坡度均控制在10%以下。</w:t>
      </w:r>
    </w:p>
    <w:p>
      <w:pPr>
        <w:widowControl/>
        <w:numPr>
          <w:ilvl w:val="0"/>
          <w:numId w:val="2"/>
        </w:numPr>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升压站地块内部道路</w:t>
      </w:r>
    </w:p>
    <w:p>
      <w:pPr>
        <w:widowControl/>
        <w:spacing w:before="4" w:line="360" w:lineRule="auto"/>
        <w:ind w:left="0"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lang w:eastAsia="zh-CN"/>
        </w:rPr>
        <w:t>升压</w:t>
      </w:r>
      <w:r>
        <w:rPr>
          <w:rFonts w:ascii="宋体" w:eastAsia="宋体" w:cs="宋体" w:hAnsi="宋体" w:hint="eastAsia"/>
          <w:color w:val="auto"/>
          <w:kern w:val="0"/>
          <w:sz w:val="28"/>
          <w:szCs w:val="28"/>
        </w:rPr>
        <w:t>站是整个风电场的控制中心，</w:t>
      </w:r>
      <w:r>
        <w:rPr>
          <w:rFonts w:ascii="宋体" w:eastAsia="宋体" w:cs="宋体" w:hAnsi="宋体" w:hint="eastAsia"/>
          <w:color w:val="auto"/>
          <w:kern w:val="0"/>
          <w:sz w:val="28"/>
          <w:szCs w:val="28"/>
          <w:lang w:eastAsia="zh-CN"/>
        </w:rPr>
        <w:t>为本次规划研究的独立地块之一，位于风电场场址中部。</w:t>
      </w:r>
      <w:r>
        <w:rPr>
          <w:rFonts w:ascii="宋体" w:eastAsia="宋体" w:cs="宋体" w:hAnsi="宋体" w:hint="eastAsia"/>
          <w:color w:val="auto"/>
          <w:kern w:val="0"/>
          <w:sz w:val="28"/>
          <w:szCs w:val="28"/>
        </w:rPr>
        <w:t>根据</w:t>
      </w:r>
      <w:r>
        <w:rPr>
          <w:rFonts w:ascii="宋体" w:eastAsia="宋体" w:cs="宋体" w:hAnsi="宋体" w:hint="eastAsia"/>
          <w:color w:val="auto"/>
          <w:kern w:val="0"/>
          <w:sz w:val="28"/>
          <w:szCs w:val="28"/>
          <w:lang w:eastAsia="zh-CN"/>
        </w:rPr>
        <w:t>实际地形和周边现状道路情况</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升压站主要</w:t>
      </w:r>
      <w:r>
        <w:rPr>
          <w:rFonts w:ascii="宋体" w:eastAsia="宋体" w:cs="宋体" w:hAnsi="宋体" w:hint="eastAsia"/>
          <w:color w:val="auto"/>
          <w:kern w:val="0"/>
          <w:sz w:val="28"/>
          <w:szCs w:val="28"/>
        </w:rPr>
        <w:t>对外出入口设于</w:t>
      </w:r>
      <w:r>
        <w:rPr>
          <w:rFonts w:ascii="宋体" w:eastAsia="宋体" w:cs="宋体" w:hAnsi="宋体" w:hint="eastAsia"/>
          <w:color w:val="auto"/>
          <w:kern w:val="0"/>
          <w:sz w:val="28"/>
          <w:szCs w:val="28"/>
          <w:lang w:eastAsia="zh-CN"/>
        </w:rPr>
        <w:t>地块</w:t>
      </w:r>
      <w:r>
        <w:rPr>
          <w:rFonts w:ascii="宋体" w:eastAsia="宋体" w:cs="宋体" w:hAnsi="宋体" w:hint="eastAsia"/>
          <w:color w:val="auto"/>
          <w:kern w:val="0"/>
          <w:sz w:val="28"/>
          <w:szCs w:val="28"/>
          <w:lang w:val="en-US" w:eastAsia="zh-CN"/>
        </w:rPr>
        <w:t>东</w:t>
      </w:r>
      <w:r>
        <w:rPr>
          <w:rFonts w:ascii="宋体" w:eastAsia="宋体" w:cs="宋体" w:hAnsi="宋体" w:hint="eastAsia"/>
          <w:color w:val="auto"/>
          <w:kern w:val="0"/>
          <w:sz w:val="28"/>
          <w:szCs w:val="28"/>
        </w:rPr>
        <w:t>侧</w:t>
      </w:r>
      <w:r>
        <w:rPr>
          <w:rFonts w:ascii="宋体" w:eastAsia="宋体" w:cs="宋体" w:hAnsi="宋体" w:hint="eastAsia"/>
          <w:color w:val="auto"/>
          <w:kern w:val="0"/>
          <w:sz w:val="28"/>
          <w:szCs w:val="28"/>
          <w:lang w:eastAsia="zh-CN"/>
        </w:rPr>
        <w:t>通过场区支路</w:t>
      </w:r>
      <w:r>
        <w:rPr>
          <w:rFonts w:ascii="宋体" w:eastAsia="宋体" w:cs="宋体" w:hAnsi="宋体" w:hint="eastAsia"/>
          <w:color w:val="auto"/>
          <w:kern w:val="0"/>
          <w:sz w:val="28"/>
          <w:szCs w:val="28"/>
        </w:rPr>
        <w:t>接出</w:t>
      </w:r>
      <w:r>
        <w:rPr>
          <w:rFonts w:ascii="宋体" w:eastAsia="宋体" w:cs="宋体" w:hAnsi="宋体" w:hint="eastAsia"/>
          <w:color w:val="auto"/>
          <w:kern w:val="0"/>
          <w:sz w:val="28"/>
          <w:szCs w:val="28"/>
          <w:lang w:eastAsia="zh-CN"/>
        </w:rPr>
        <w:t>场区检修主干道。</w:t>
      </w:r>
      <w:r>
        <w:rPr>
          <w:rFonts w:ascii="宋体" w:eastAsia="宋体" w:cs="宋体" w:hAnsi="宋体" w:hint="eastAsia"/>
          <w:color w:val="auto"/>
          <w:kern w:val="0"/>
          <w:sz w:val="28"/>
          <w:szCs w:val="28"/>
        </w:rPr>
        <w:t>地块内道路设计充分结合地形，实行人车混行的交通流线，满足车辆、人员通行</w:t>
      </w:r>
      <w:r>
        <w:rPr>
          <w:rFonts w:ascii="宋体" w:eastAsia="宋体" w:cs="宋体" w:hAnsi="宋体" w:hint="eastAsia"/>
          <w:color w:val="auto"/>
          <w:kern w:val="0"/>
          <w:sz w:val="28"/>
          <w:szCs w:val="28"/>
          <w:lang w:eastAsia="zh-CN"/>
        </w:rPr>
        <w:t>。规划地块内铺设混凝土道路</w:t>
      </w:r>
      <w:r>
        <w:rPr>
          <w:rFonts w:ascii="宋体" w:eastAsia="宋体" w:cs="宋体" w:hAnsi="宋体" w:hint="eastAsia"/>
          <w:color w:val="auto"/>
          <w:kern w:val="0"/>
          <w:sz w:val="28"/>
          <w:szCs w:val="28"/>
          <w:lang w:val="en-US" w:eastAsia="zh-CN"/>
        </w:rPr>
        <w:t>连接至各功能用房</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出入口宽度和主干道</w:t>
      </w:r>
      <w:r>
        <w:rPr>
          <w:rFonts w:ascii="宋体" w:eastAsia="宋体" w:cs="宋体" w:hAnsi="宋体" w:hint="eastAsia"/>
          <w:color w:val="auto"/>
          <w:kern w:val="0"/>
          <w:sz w:val="28"/>
          <w:szCs w:val="28"/>
        </w:rPr>
        <w:t>红线宽度</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4米</w:t>
      </w:r>
      <w:r>
        <w:rPr>
          <w:rFonts w:ascii="宋体" w:eastAsia="宋体" w:cs="宋体" w:hAnsi="宋体" w:hint="eastAsia"/>
          <w:color w:val="auto"/>
          <w:kern w:val="0"/>
          <w:sz w:val="28"/>
          <w:szCs w:val="28"/>
          <w:lang w:eastAsia="zh-CN"/>
        </w:rPr>
        <w:t>，达到消防车通行、大型施工车辆运行、检修等方面的要求，站内支路红线宽度规划为</w:t>
      </w:r>
      <w:r>
        <w:rPr>
          <w:rFonts w:ascii="宋体" w:eastAsia="宋体" w:cs="宋体" w:hAnsi="宋体" w:hint="eastAsia"/>
          <w:color w:val="auto"/>
          <w:kern w:val="0"/>
          <w:sz w:val="28"/>
          <w:szCs w:val="28"/>
          <w:lang w:val="en-US" w:eastAsia="zh-CN"/>
        </w:rPr>
        <w:t>2.5～3米，满足一般车辆和行人的需求</w:t>
      </w:r>
      <w:r>
        <w:rPr>
          <w:rFonts w:ascii="宋体" w:eastAsia="宋体" w:cs="宋体" w:hAnsi="宋体" w:hint="eastAsia"/>
          <w:color w:val="auto"/>
          <w:kern w:val="0"/>
          <w:sz w:val="28"/>
          <w:szCs w:val="28"/>
          <w:lang w:eastAsia="zh-CN"/>
        </w:rPr>
        <w:t>。</w:t>
      </w:r>
    </w:p>
    <w:p>
      <w:pPr>
        <w:pStyle w:val="1"/>
        <w:keepNext/>
        <w:keepLines/>
        <w:widowControl/>
        <w:numPr>
          <w:ilvl w:val="0"/>
          <w:numId w:val="0"/>
        </w:numPr>
        <w:spacing w:before="260" w:line="360" w:lineRule="auto"/>
        <w:ind w:left="0" w:right="351" w:firstLineChars="200" w:firstLine="640"/>
        <w:jc w:val="left"/>
        <w:rPr>
          <w:rFonts w:ascii="宋体" w:eastAsia="宋体" w:cs="宋体" w:hAnsi="宋体" w:hint="eastAsia"/>
          <w:bCs/>
          <w:color w:val="auto"/>
          <w:sz w:val="32"/>
          <w:szCs w:val="32"/>
          <w:lang w:val="en-US" w:eastAsia="zh-CN"/>
        </w:rPr>
      </w:pPr>
      <w:bookmarkStart w:id="46" w:name="_Toc31719"/>
      <w:r>
        <w:rPr>
          <w:rFonts w:ascii="宋体" w:eastAsia="宋体" w:cs="宋体" w:hAnsi="宋体" w:hint="eastAsia"/>
          <w:bCs/>
          <w:color w:val="auto"/>
          <w:sz w:val="32"/>
          <w:szCs w:val="32"/>
          <w:lang w:val="en-US" w:eastAsia="zh-CN"/>
        </w:rPr>
        <w:t>4.2竖向规划</w:t>
      </w:r>
      <w:bookmarkEnd w:id="46"/>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本</w:t>
      </w:r>
      <w:r>
        <w:rPr>
          <w:rFonts w:ascii="宋体" w:eastAsia="宋体" w:cs="宋体" w:hAnsi="宋体" w:hint="eastAsia"/>
          <w:color w:val="auto"/>
          <w:kern w:val="0"/>
          <w:sz w:val="28"/>
          <w:szCs w:val="28"/>
          <w:lang w:eastAsia="zh-CN"/>
        </w:rPr>
        <w:t>项目</w:t>
      </w:r>
      <w:r>
        <w:rPr>
          <w:rFonts w:ascii="宋体" w:eastAsia="宋体" w:cs="宋体" w:hAnsi="宋体" w:hint="eastAsia"/>
          <w:color w:val="auto"/>
          <w:kern w:val="0"/>
          <w:sz w:val="28"/>
          <w:szCs w:val="28"/>
        </w:rPr>
        <w:t>地块</w:t>
      </w:r>
      <w:r>
        <w:rPr>
          <w:rFonts w:ascii="宋体" w:eastAsia="宋体" w:cs="宋体" w:hAnsi="宋体" w:hint="eastAsia"/>
          <w:color w:val="auto"/>
          <w:kern w:val="0"/>
          <w:sz w:val="28"/>
          <w:szCs w:val="28"/>
          <w:lang w:eastAsia="zh-CN"/>
        </w:rPr>
        <w:t>选址主要位于</w:t>
      </w:r>
      <w:r>
        <w:rPr>
          <w:rFonts w:hint="eastAsia"/>
          <w:color w:val="auto"/>
          <w:kern w:val="0"/>
          <w:sz w:val="28"/>
          <w:szCs w:val="28"/>
          <w:lang w:val="en-US"/>
        </w:rPr>
        <w:t>大</w:t>
      </w:r>
      <w:r>
        <w:rPr>
          <w:rFonts w:hint="eastAsia"/>
          <w:color w:val="auto"/>
          <w:kern w:val="0"/>
          <w:sz w:val="28"/>
          <w:szCs w:val="28"/>
          <w:lang w:val="en-US" w:eastAsia="zh-CN"/>
        </w:rPr>
        <w:t>寺</w:t>
      </w:r>
      <w:r>
        <w:rPr>
          <w:rFonts w:hint="eastAsia"/>
          <w:color w:val="auto"/>
          <w:kern w:val="0"/>
          <w:sz w:val="28"/>
          <w:szCs w:val="28"/>
          <w:lang w:val="en-US"/>
        </w:rPr>
        <w:t>镇和</w:t>
      </w:r>
      <w:r>
        <w:rPr>
          <w:rFonts w:hint="eastAsia"/>
          <w:color w:val="auto"/>
          <w:kern w:val="0"/>
          <w:sz w:val="28"/>
          <w:szCs w:val="28"/>
          <w:lang w:val="en-US" w:eastAsia="zh-CN"/>
        </w:rPr>
        <w:t>大直</w:t>
      </w:r>
      <w:r>
        <w:rPr>
          <w:rFonts w:hint="eastAsia"/>
          <w:color w:val="auto"/>
          <w:kern w:val="0"/>
          <w:sz w:val="28"/>
          <w:szCs w:val="28"/>
          <w:lang w:val="en-US"/>
        </w:rPr>
        <w:t>镇行政交界</w:t>
      </w:r>
      <w:r>
        <w:rPr>
          <w:rFonts w:ascii="宋体" w:eastAsia="宋体" w:cs="宋体" w:hAnsi="宋体" w:hint="eastAsia"/>
          <w:color w:val="auto"/>
          <w:kern w:val="0"/>
          <w:sz w:val="28"/>
          <w:szCs w:val="28"/>
          <w:lang w:eastAsia="zh-CN"/>
        </w:rPr>
        <w:t>山脊或山包较高位置且相对较平缓的区域，</w:t>
      </w:r>
      <w:r>
        <w:rPr>
          <w:rFonts w:ascii="宋体" w:eastAsia="宋体" w:cs="宋体" w:hAnsi="宋体" w:hint="eastAsia"/>
          <w:color w:val="auto"/>
          <w:kern w:val="0"/>
          <w:sz w:val="28"/>
          <w:szCs w:val="28"/>
        </w:rPr>
        <w:t>依据周边的现状地势及标高来确定场地内的标高。地块内场地标高均高于周边用地标高，以避免场地内积水。</w:t>
      </w:r>
      <w:r>
        <w:rPr>
          <w:rFonts w:ascii="宋体" w:eastAsia="宋体" w:cs="宋体" w:hAnsi="宋体" w:hint="eastAsia"/>
          <w:color w:val="auto"/>
          <w:kern w:val="0"/>
          <w:sz w:val="28"/>
          <w:szCs w:val="28"/>
          <w:lang w:eastAsia="zh-CN"/>
        </w:rPr>
        <w:t>其中，升压站</w:t>
      </w:r>
      <w:r>
        <w:rPr>
          <w:rFonts w:ascii="宋体" w:eastAsia="宋体" w:cs="宋体" w:hAnsi="宋体" w:hint="eastAsia"/>
          <w:color w:val="auto"/>
          <w:kern w:val="0"/>
          <w:sz w:val="28"/>
          <w:szCs w:val="28"/>
        </w:rPr>
        <w:t>地块场地</w:t>
      </w:r>
      <w:r>
        <w:rPr>
          <w:rFonts w:ascii="宋体" w:eastAsia="宋体" w:cs="宋体" w:hAnsi="宋体" w:hint="eastAsia"/>
          <w:color w:val="auto"/>
          <w:kern w:val="0"/>
          <w:sz w:val="28"/>
          <w:szCs w:val="28"/>
          <w:lang w:eastAsia="zh-CN"/>
        </w:rPr>
        <w:t>内整体呈西北高、东南低，场地</w:t>
      </w:r>
      <w:r>
        <w:rPr>
          <w:rFonts w:ascii="宋体" w:eastAsia="宋体" w:cs="宋体" w:hAnsi="宋体" w:hint="eastAsia"/>
          <w:color w:val="auto"/>
          <w:kern w:val="0"/>
          <w:sz w:val="28"/>
          <w:szCs w:val="28"/>
        </w:rPr>
        <w:t>设计标高</w:t>
      </w:r>
      <w:r>
        <w:rPr>
          <w:rFonts w:ascii="宋体" w:eastAsia="宋体" w:cs="宋体" w:hAnsi="宋体" w:hint="eastAsia"/>
          <w:color w:val="auto"/>
          <w:kern w:val="0"/>
          <w:sz w:val="28"/>
          <w:szCs w:val="28"/>
          <w:lang w:eastAsia="zh-CN"/>
        </w:rPr>
        <w:t>在</w:t>
      </w:r>
      <w:r>
        <w:rPr>
          <w:rFonts w:ascii="宋体" w:eastAsia="宋体" w:cs="宋体" w:hAnsi="宋体" w:hint="eastAsia"/>
          <w:color w:val="auto"/>
          <w:kern w:val="0"/>
          <w:sz w:val="28"/>
          <w:szCs w:val="28"/>
          <w:lang w:val="en-US" w:eastAsia="zh-CN"/>
        </w:rPr>
        <w:t>139.43m</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139.69m</w:t>
      </w:r>
      <w:r>
        <w:rPr>
          <w:rFonts w:ascii="宋体" w:eastAsia="宋体" w:cs="宋体" w:hAnsi="宋体" w:hint="eastAsia"/>
          <w:color w:val="auto"/>
          <w:kern w:val="0"/>
          <w:sz w:val="28"/>
          <w:szCs w:val="28"/>
        </w:rPr>
        <w:t>之间</w:t>
      </w:r>
      <w:r>
        <w:rPr>
          <w:rFonts w:ascii="宋体" w:eastAsia="宋体" w:cs="宋体" w:hAnsi="宋体" w:hint="eastAsia"/>
          <w:color w:val="auto"/>
          <w:kern w:val="0"/>
          <w:sz w:val="28"/>
          <w:szCs w:val="28"/>
          <w:lang w:eastAsia="zh-CN"/>
        </w:rPr>
        <w:t>，平均标高</w:t>
      </w:r>
      <w:r>
        <w:rPr>
          <w:rFonts w:ascii="宋体" w:eastAsia="宋体" w:cs="宋体" w:hAnsi="宋体" w:hint="eastAsia"/>
          <w:color w:val="auto"/>
          <w:kern w:val="0"/>
          <w:sz w:val="28"/>
          <w:szCs w:val="28"/>
          <w:lang w:val="en-US" w:eastAsia="zh-CN"/>
        </w:rPr>
        <w:t>139.50m</w:t>
      </w:r>
      <w:r>
        <w:rPr>
          <w:rFonts w:ascii="宋体" w:eastAsia="宋体" w:cs="宋体" w:hAnsi="宋体" w:hint="eastAsia"/>
          <w:color w:val="auto"/>
          <w:kern w:val="0"/>
          <w:sz w:val="28"/>
          <w:szCs w:val="28"/>
        </w:rPr>
        <w:t>。整个场地较为平缓，高差不大，道路设计坡度在0.</w:t>
      </w:r>
      <w:r>
        <w:rPr>
          <w:rFonts w:ascii="宋体" w:eastAsia="宋体" w:cs="宋体" w:hAnsi="宋体" w:hint="eastAsia"/>
          <w:color w:val="auto"/>
          <w:kern w:val="0"/>
          <w:sz w:val="28"/>
          <w:szCs w:val="28"/>
          <w:lang w:val="en-US" w:eastAsia="zh-CN"/>
        </w:rPr>
        <w:t>6</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rPr>
        <w:t>%之间。</w:t>
      </w:r>
      <w:r>
        <w:rPr>
          <w:rFonts w:ascii="宋体" w:eastAsia="宋体" w:cs="宋体" w:hAnsi="宋体" w:hint="eastAsia"/>
          <w:color w:val="auto"/>
          <w:kern w:val="0"/>
          <w:sz w:val="28"/>
          <w:szCs w:val="28"/>
          <w:lang w:eastAsia="zh-CN"/>
        </w:rPr>
        <w:t>其余风机和箱变用地的场地标高详见图则。</w:t>
      </w:r>
    </w:p>
    <w:p>
      <w:pPr>
        <w:pStyle w:val="1"/>
        <w:numPr>
          <w:ilvl w:val="0"/>
          <w:numId w:val="0"/>
        </w:numPr>
        <w:spacing w:before="260" w:line="360" w:lineRule="auto"/>
        <w:ind w:left="420" w:right="351"/>
        <w:jc w:val="center"/>
        <w:rPr>
          <w:rFonts w:ascii="宋体" w:eastAsia="宋体" w:cs="宋体" w:hAnsi="宋体"/>
          <w:bCs/>
          <w:color w:val="auto"/>
          <w:sz w:val="32"/>
          <w:szCs w:val="32"/>
        </w:rPr>
      </w:pPr>
      <w:bookmarkStart w:id="47" w:name="_Toc6593"/>
      <w:r>
        <w:rPr>
          <w:rFonts w:ascii="宋体" w:eastAsia="宋体" w:cs="宋体" w:hAnsi="宋体" w:hint="eastAsia"/>
          <w:bCs/>
          <w:color w:val="auto"/>
          <w:sz w:val="32"/>
          <w:szCs w:val="32"/>
          <w:lang w:eastAsia="zh-CN"/>
        </w:rPr>
        <w:t>第五章</w:t>
      </w:r>
      <w:r>
        <w:rPr>
          <w:rFonts w:ascii="宋体" w:eastAsia="宋体" w:cs="宋体" w:hAnsi="宋体" w:hint="eastAsia"/>
          <w:bCs/>
          <w:color w:val="auto"/>
          <w:sz w:val="32"/>
          <w:szCs w:val="32"/>
          <w:lang w:val="en-US" w:eastAsia="zh-CN"/>
        </w:rPr>
        <w:t xml:space="preserve"> </w:t>
      </w:r>
      <w:r>
        <w:rPr>
          <w:rFonts w:ascii="宋体" w:eastAsia="宋体" w:cs="宋体" w:hAnsi="宋体" w:hint="eastAsia"/>
          <w:bCs/>
          <w:color w:val="auto"/>
          <w:sz w:val="32"/>
          <w:szCs w:val="32"/>
        </w:rPr>
        <w:t>市政工程规划</w:t>
      </w:r>
      <w:bookmarkEnd w:id="47"/>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48" w:name="_Toc7644"/>
      <w:r>
        <w:rPr>
          <w:rFonts w:ascii="宋体" w:eastAsia="宋体" w:cs="宋体" w:hAnsi="宋体" w:hint="eastAsia"/>
          <w:bCs/>
          <w:color w:val="auto"/>
          <w:sz w:val="32"/>
          <w:szCs w:val="32"/>
          <w:lang w:val="en-US" w:eastAsia="zh-CN"/>
        </w:rPr>
        <w:t>5.1给水工程规划</w:t>
      </w:r>
      <w:bookmarkEnd w:id="48"/>
    </w:p>
    <w:p>
      <w:pPr>
        <w:pStyle w:val="17"/>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5.1.1 </w:t>
      </w:r>
      <w:r>
        <w:rPr>
          <w:rFonts w:hint="eastAsia"/>
          <w:b/>
          <w:bCs/>
          <w:color w:val="auto"/>
          <w:sz w:val="28"/>
          <w:szCs w:val="28"/>
        </w:rPr>
        <w:t>规划依据</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（1）《城市给水工程规划规范》GB50282-2016</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rPr>
        <w:t>）《室外给水设计规范》GB50013-2018</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3</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《城市工程管线综合规划规范》（GB50289-2016）</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4</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《城市供水水质标准》（CJ/T206-2005）</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5</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《钦州市城市规划技术标准与准则》（2015年版）</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6</w:t>
      </w:r>
      <w:r>
        <w:rPr>
          <w:rFonts w:ascii="宋体" w:eastAsia="宋体" w:cs="宋体" w:hAnsi="宋体" w:hint="eastAsia"/>
          <w:color w:val="auto"/>
          <w:kern w:val="0"/>
          <w:sz w:val="28"/>
          <w:szCs w:val="28"/>
        </w:rPr>
        <w:t>）其它有关国家及地方的现行规程、规范及标准</w:t>
      </w:r>
    </w:p>
    <w:p>
      <w:pPr>
        <w:widowControl/>
        <w:spacing w:before="4" w:line="360" w:lineRule="auto"/>
        <w:ind w:left="118" w:right="351" w:firstLineChars="200" w:firstLine="560"/>
        <w:jc w:val="left"/>
        <w:rPr>
          <w:color w:val="auto"/>
        </w:rPr>
      </w:pP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7</w:t>
      </w:r>
      <w:r>
        <w:rPr>
          <w:rFonts w:ascii="宋体" w:eastAsia="宋体" w:cs="宋体" w:hAnsi="宋体" w:hint="eastAsia"/>
          <w:color w:val="auto"/>
          <w:kern w:val="0"/>
          <w:sz w:val="28"/>
          <w:szCs w:val="28"/>
        </w:rPr>
        <w:t>）甲方提供的用地勘测地形图和市政给水基础资料。</w:t>
      </w:r>
    </w:p>
    <w:p>
      <w:pPr>
        <w:pStyle w:val="17"/>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5.1.2 </w:t>
      </w:r>
      <w:r>
        <w:rPr>
          <w:rFonts w:hint="eastAsia"/>
          <w:b/>
          <w:bCs/>
          <w:color w:val="auto"/>
          <w:sz w:val="28"/>
          <w:szCs w:val="28"/>
        </w:rPr>
        <w:t>用水量预测</w:t>
      </w:r>
    </w:p>
    <w:p>
      <w:pPr>
        <w:widowControl/>
        <w:spacing w:before="4" w:line="360" w:lineRule="auto"/>
        <w:ind w:left="118" w:right="351" w:firstLineChars="200" w:firstLine="560"/>
        <w:jc w:val="left"/>
        <w:rPr>
          <w:color w:val="auto"/>
        </w:rPr>
      </w:pPr>
      <w:r>
        <w:rPr>
          <w:rFonts w:ascii="宋体" w:eastAsia="宋体" w:cs="宋体" w:hAnsi="宋体" w:hint="eastAsia"/>
          <w:color w:val="auto"/>
          <w:kern w:val="0"/>
          <w:sz w:val="28"/>
          <w:szCs w:val="28"/>
          <w:lang w:eastAsia="zh-CN"/>
        </w:rPr>
        <w:t>本项目给水工程规划主要为风电场升压站用地用水。</w:t>
      </w:r>
      <w:r>
        <w:rPr>
          <w:rFonts w:ascii="宋体" w:eastAsia="宋体" w:cs="宋体" w:hAnsi="宋体" w:hint="eastAsia"/>
          <w:color w:val="auto"/>
          <w:kern w:val="0"/>
          <w:sz w:val="28"/>
          <w:szCs w:val="28"/>
        </w:rPr>
        <w:t>根据钦北区气候特点，场址地形及给水设施基础条件，参照现行《城市给水工程规划规范》及《钦州市城市规划技术标准与准则》，详细规划的用水量预测采用分类建筑面积指标法，其中，市政公用设施按用地面积计算，用水量指标为2～4L/㎡•d，本规划根据地块实际用途取</w:t>
      </w:r>
      <w:r>
        <w:rPr>
          <w:rFonts w:ascii="宋体" w:eastAsia="宋体" w:cs="宋体" w:hAnsi="宋体" w:hint="eastAsia"/>
          <w:color w:val="auto"/>
          <w:kern w:val="0"/>
          <w:sz w:val="28"/>
          <w:szCs w:val="28"/>
          <w:lang w:val="en-US" w:eastAsia="zh-CN"/>
        </w:rPr>
        <w:t>3</w:t>
      </w:r>
      <w:r>
        <w:rPr>
          <w:rFonts w:ascii="宋体" w:eastAsia="宋体" w:cs="宋体" w:hAnsi="宋体" w:hint="eastAsia"/>
          <w:color w:val="auto"/>
          <w:kern w:val="0"/>
          <w:sz w:val="28"/>
          <w:szCs w:val="28"/>
        </w:rPr>
        <w:t>L/㎡•d，本地块为公用设施用地的供电用地，</w:t>
      </w:r>
      <w:r>
        <w:rPr>
          <w:rFonts w:ascii="宋体" w:eastAsia="宋体" w:cs="宋体" w:hAnsi="宋体" w:hint="eastAsia"/>
          <w:color w:val="auto"/>
          <w:kern w:val="0"/>
          <w:sz w:val="28"/>
          <w:szCs w:val="28"/>
          <w:lang w:eastAsia="zh-CN"/>
        </w:rPr>
        <w:t>升压站</w:t>
      </w:r>
      <w:r>
        <w:rPr>
          <w:rFonts w:ascii="宋体" w:eastAsia="宋体" w:cs="宋体" w:hAnsi="宋体" w:hint="eastAsia"/>
          <w:color w:val="auto"/>
          <w:kern w:val="0"/>
          <w:sz w:val="28"/>
          <w:szCs w:val="28"/>
        </w:rPr>
        <w:t>用地面积为3232.1431平方米，则</w:t>
      </w:r>
      <w:r>
        <w:rPr>
          <w:rFonts w:ascii="宋体" w:eastAsia="宋体" w:cs="宋体" w:hAnsi="宋体" w:hint="eastAsia"/>
          <w:color w:val="auto"/>
          <w:kern w:val="0"/>
          <w:sz w:val="28"/>
          <w:szCs w:val="28"/>
          <w:lang w:eastAsia="zh-CN"/>
        </w:rPr>
        <w:t>升压站</w:t>
      </w:r>
      <w:r>
        <w:rPr>
          <w:rFonts w:ascii="宋体" w:eastAsia="宋体" w:cs="宋体" w:hAnsi="宋体" w:hint="eastAsia"/>
          <w:color w:val="auto"/>
          <w:kern w:val="0"/>
          <w:sz w:val="28"/>
          <w:szCs w:val="28"/>
        </w:rPr>
        <w:t>地块最高日用水量为</w:t>
      </w:r>
      <w:r>
        <w:rPr>
          <w:rFonts w:ascii="宋体" w:eastAsia="宋体" w:cs="宋体" w:hAnsi="宋体" w:hint="eastAsia"/>
          <w:color w:val="auto"/>
          <w:kern w:val="0"/>
          <w:sz w:val="28"/>
          <w:szCs w:val="28"/>
          <w:lang w:val="en-US" w:eastAsia="zh-CN"/>
        </w:rPr>
        <w:t>9.7m³</w:t>
      </w:r>
      <w:r>
        <w:rPr>
          <w:rFonts w:ascii="宋体" w:eastAsia="宋体" w:cs="宋体" w:hAnsi="宋体" w:hint="eastAsia"/>
          <w:color w:val="auto"/>
          <w:kern w:val="0"/>
          <w:sz w:val="28"/>
          <w:szCs w:val="28"/>
        </w:rPr>
        <w:t>/d。</w:t>
      </w:r>
    </w:p>
    <w:p>
      <w:pPr>
        <w:pStyle w:val="17"/>
        <w:autoSpaceDE w:val="0"/>
        <w:autoSpaceDN w:val="0"/>
        <w:spacing w:before="4" w:line="420" w:lineRule="auto"/>
        <w:ind w:left="118" w:right="351" w:firstLine="479"/>
        <w:rPr>
          <w:b/>
          <w:bCs/>
          <w:color w:val="auto"/>
          <w:sz w:val="28"/>
          <w:szCs w:val="28"/>
          <w:lang w:val="en-US"/>
        </w:rPr>
      </w:pPr>
      <w:r>
        <w:rPr>
          <w:rFonts w:hint="eastAsia"/>
          <w:b/>
          <w:bCs/>
          <w:color w:val="auto"/>
          <w:sz w:val="28"/>
          <w:szCs w:val="28"/>
          <w:lang w:val="en-US" w:eastAsia="zh-CN"/>
        </w:rPr>
        <w:t xml:space="preserve">5.1.3 </w:t>
      </w:r>
      <w:r>
        <w:rPr>
          <w:rFonts w:hint="eastAsia"/>
          <w:b/>
          <w:bCs/>
          <w:color w:val="auto"/>
          <w:sz w:val="28"/>
          <w:szCs w:val="28"/>
        </w:rPr>
        <w:t>水源</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项目</w:t>
      </w:r>
      <w:r>
        <w:rPr>
          <w:rFonts w:ascii="宋体" w:eastAsia="宋体" w:cs="宋体" w:hAnsi="宋体" w:hint="eastAsia"/>
          <w:color w:val="auto"/>
          <w:kern w:val="0"/>
          <w:sz w:val="28"/>
          <w:szCs w:val="28"/>
        </w:rPr>
        <w:t>区域地下水资源水量丰富，水质良好，运营期升压站用水主要包括运行人员生活用水、消防补给水，拟</w:t>
      </w:r>
      <w:r>
        <w:rPr>
          <w:rFonts w:ascii="宋体" w:eastAsia="宋体" w:cs="宋体" w:hAnsi="宋体" w:hint="eastAsia"/>
          <w:color w:val="auto"/>
          <w:kern w:val="0"/>
          <w:sz w:val="28"/>
          <w:szCs w:val="28"/>
          <w:lang w:eastAsia="zh-CN"/>
        </w:rPr>
        <w:t>在升压站用地外东面约</w:t>
      </w:r>
      <w:r>
        <w:rPr>
          <w:rFonts w:ascii="宋体" w:eastAsia="宋体" w:cs="宋体" w:hAnsi="宋体" w:hint="eastAsia"/>
          <w:color w:val="auto"/>
          <w:kern w:val="0"/>
          <w:sz w:val="28"/>
          <w:szCs w:val="28"/>
          <w:lang w:val="en-US" w:eastAsia="zh-CN"/>
        </w:rPr>
        <w:t>30米处</w:t>
      </w:r>
      <w:r>
        <w:rPr>
          <w:rFonts w:ascii="宋体" w:eastAsia="宋体" w:cs="宋体" w:hAnsi="宋体" w:hint="eastAsia"/>
          <w:color w:val="auto"/>
          <w:kern w:val="0"/>
          <w:sz w:val="28"/>
          <w:szCs w:val="28"/>
        </w:rPr>
        <w:t>打井取水作为站区供水水源</w:t>
      </w:r>
      <w:r>
        <w:rPr>
          <w:rFonts w:ascii="宋体" w:eastAsia="宋体" w:cs="宋体" w:hAnsi="宋体" w:hint="eastAsia"/>
          <w:color w:val="auto"/>
          <w:kern w:val="0"/>
          <w:sz w:val="28"/>
          <w:szCs w:val="28"/>
          <w:lang w:eastAsia="zh-CN"/>
        </w:rPr>
        <w:t>，管距约</w:t>
      </w:r>
      <w:r>
        <w:rPr>
          <w:rFonts w:ascii="宋体" w:eastAsia="宋体" w:cs="宋体" w:hAnsi="宋体" w:hint="eastAsia"/>
          <w:color w:val="auto"/>
          <w:kern w:val="0"/>
          <w:sz w:val="28"/>
          <w:szCs w:val="28"/>
          <w:lang w:val="en-US" w:eastAsia="zh-CN"/>
        </w:rPr>
        <w:t>80米</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站内设一套生活成套供水设备和消防水池，配置两台深井潜水泵布置在井内，用DN100 给水管将水供至地块内水泵房及消防水池。水泵房内设一套给水处理设备，净化处理后的水经成套供水设备供至站内各个生活用水点。</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49" w:name="_Toc4291"/>
      <w:bookmarkStart w:id="50" w:name="_Toc2595"/>
      <w:r>
        <w:rPr>
          <w:rFonts w:ascii="宋体" w:eastAsia="宋体" w:cs="宋体" w:hAnsi="宋体" w:hint="eastAsia"/>
          <w:bCs/>
          <w:color w:val="auto"/>
          <w:sz w:val="32"/>
          <w:szCs w:val="32"/>
          <w:lang w:val="en-US" w:eastAsia="zh-CN"/>
        </w:rPr>
        <w:t>5.2排水工程规划</w:t>
      </w:r>
      <w:bookmarkEnd w:id="49"/>
      <w:bookmarkEnd w:id="50"/>
    </w:p>
    <w:p>
      <w:pPr>
        <w:pStyle w:val="17"/>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5.2.1 </w:t>
      </w:r>
      <w:r>
        <w:rPr>
          <w:rFonts w:hint="eastAsia"/>
          <w:b/>
          <w:bCs/>
          <w:color w:val="auto"/>
          <w:sz w:val="28"/>
          <w:szCs w:val="28"/>
        </w:rPr>
        <w:t>规划依据</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《城市排水工程规划规范》GB50318-2017</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rPr>
        <w:t>）《室外排水设计规范》GB50014-2016</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3</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《城市工程管线综合规划规范》（GB50289-2016）</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4</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《污水综合排放标准》（GB8978-1996）</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5</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《钦州市城市规划技术标准与准则》（2015年版）</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6</w:t>
      </w:r>
      <w:r>
        <w:rPr>
          <w:rFonts w:ascii="宋体" w:eastAsia="宋体" w:cs="宋体" w:hAnsi="宋体" w:hint="eastAsia"/>
          <w:color w:val="auto"/>
          <w:kern w:val="0"/>
          <w:sz w:val="28"/>
          <w:szCs w:val="28"/>
        </w:rPr>
        <w:t>）其它有关国家及地方的现行规程、规范及标准</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7</w:t>
      </w:r>
      <w:r>
        <w:rPr>
          <w:rFonts w:ascii="宋体" w:eastAsia="宋体" w:cs="宋体" w:hAnsi="宋体" w:hint="eastAsia"/>
          <w:color w:val="auto"/>
          <w:kern w:val="0"/>
          <w:sz w:val="28"/>
          <w:szCs w:val="28"/>
        </w:rPr>
        <w:t>）甲方提供的用地勘测地形图和市政排水基础资料。</w:t>
      </w:r>
    </w:p>
    <w:p>
      <w:pPr>
        <w:pStyle w:val="17"/>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5.2.2 </w:t>
      </w:r>
      <w:r>
        <w:rPr>
          <w:rFonts w:hint="eastAsia"/>
          <w:b/>
          <w:bCs/>
          <w:color w:val="auto"/>
          <w:sz w:val="28"/>
          <w:szCs w:val="28"/>
        </w:rPr>
        <w:t>现状概况</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项目用地</w:t>
      </w:r>
      <w:r>
        <w:rPr>
          <w:rFonts w:ascii="宋体" w:eastAsia="宋体" w:cs="宋体" w:hAnsi="宋体" w:hint="eastAsia"/>
          <w:color w:val="auto"/>
          <w:kern w:val="0"/>
          <w:sz w:val="28"/>
          <w:szCs w:val="28"/>
        </w:rPr>
        <w:t>离城镇中心较远，周边大部分区域未开发，</w:t>
      </w:r>
      <w:r>
        <w:rPr>
          <w:rFonts w:ascii="宋体" w:eastAsia="宋体" w:cs="宋体" w:hAnsi="宋体" w:hint="eastAsia"/>
          <w:color w:val="auto"/>
          <w:kern w:val="0"/>
          <w:sz w:val="28"/>
          <w:szCs w:val="28"/>
          <w:lang w:eastAsia="zh-CN"/>
        </w:rPr>
        <w:t>主要为</w:t>
      </w:r>
      <w:r>
        <w:rPr>
          <w:rFonts w:hint="eastAsia"/>
          <w:color w:val="auto"/>
          <w:kern w:val="0"/>
          <w:sz w:val="28"/>
          <w:szCs w:val="28"/>
          <w:lang w:val="en-US"/>
        </w:rPr>
        <w:t>丘陵谷地</w:t>
      </w:r>
      <w:r>
        <w:rPr>
          <w:rFonts w:hint="eastAsia"/>
          <w:color w:val="auto"/>
          <w:kern w:val="0"/>
          <w:sz w:val="28"/>
          <w:szCs w:val="28"/>
          <w:lang w:val="en-US" w:eastAsia="zh-CN"/>
        </w:rPr>
        <w:t>地貌，</w:t>
      </w:r>
      <w:r>
        <w:rPr>
          <w:rFonts w:ascii="宋体" w:eastAsia="宋体" w:cs="宋体" w:hAnsi="宋体" w:hint="eastAsia"/>
          <w:color w:val="auto"/>
          <w:kern w:val="0"/>
          <w:sz w:val="28"/>
          <w:szCs w:val="28"/>
        </w:rPr>
        <w:t>现状周边</w:t>
      </w:r>
      <w:r>
        <w:rPr>
          <w:rFonts w:ascii="宋体" w:eastAsia="宋体" w:cs="宋体" w:hAnsi="宋体" w:hint="eastAsia"/>
          <w:color w:val="auto"/>
          <w:kern w:val="0"/>
          <w:sz w:val="28"/>
          <w:szCs w:val="28"/>
          <w:lang w:eastAsia="zh-CN"/>
        </w:rPr>
        <w:t>没有</w:t>
      </w:r>
      <w:r>
        <w:rPr>
          <w:rFonts w:ascii="宋体" w:eastAsia="宋体" w:cs="宋体" w:hAnsi="宋体" w:hint="eastAsia"/>
          <w:color w:val="auto"/>
          <w:kern w:val="0"/>
          <w:sz w:val="28"/>
          <w:szCs w:val="28"/>
        </w:rPr>
        <w:t>市政雨污管网和污水处理设施。</w:t>
      </w:r>
    </w:p>
    <w:p>
      <w:pPr>
        <w:pStyle w:val="17"/>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5.2.3 </w:t>
      </w:r>
      <w:r>
        <w:rPr>
          <w:rFonts w:hint="eastAsia"/>
          <w:b/>
          <w:bCs/>
          <w:color w:val="auto"/>
          <w:sz w:val="28"/>
          <w:szCs w:val="28"/>
        </w:rPr>
        <w:t>排水体制</w:t>
      </w:r>
    </w:p>
    <w:p>
      <w:pPr>
        <w:widowControl/>
        <w:spacing w:before="4" w:line="360" w:lineRule="auto"/>
        <w:ind w:left="118" w:right="351" w:firstLineChars="200" w:firstLine="560"/>
        <w:jc w:val="left"/>
        <w:rPr>
          <w:color w:val="auto"/>
        </w:rPr>
      </w:pPr>
      <w:r>
        <w:rPr>
          <w:rFonts w:ascii="宋体" w:eastAsia="宋体" w:cs="宋体" w:hAnsi="宋体" w:hint="eastAsia"/>
          <w:color w:val="auto"/>
          <w:kern w:val="0"/>
          <w:sz w:val="28"/>
          <w:szCs w:val="28"/>
          <w:lang w:eastAsia="zh-CN"/>
        </w:rPr>
        <w:t>本规划</w:t>
      </w:r>
      <w:r>
        <w:rPr>
          <w:rFonts w:ascii="宋体" w:eastAsia="宋体" w:cs="宋体" w:hAnsi="宋体" w:hint="eastAsia"/>
          <w:color w:val="auto"/>
          <w:kern w:val="0"/>
          <w:sz w:val="28"/>
          <w:szCs w:val="28"/>
        </w:rPr>
        <w:t>排水系统主要包括</w:t>
      </w:r>
      <w:r>
        <w:rPr>
          <w:rFonts w:ascii="宋体" w:eastAsia="宋体" w:cs="宋体" w:hAnsi="宋体" w:hint="eastAsia"/>
          <w:color w:val="auto"/>
          <w:kern w:val="0"/>
          <w:sz w:val="28"/>
          <w:szCs w:val="28"/>
          <w:lang w:eastAsia="zh-CN"/>
        </w:rPr>
        <w:t>风电机组场地排水、升压站</w:t>
      </w:r>
      <w:r>
        <w:rPr>
          <w:rFonts w:ascii="宋体" w:eastAsia="宋体" w:cs="宋体" w:hAnsi="宋体" w:hint="eastAsia"/>
          <w:color w:val="auto"/>
          <w:kern w:val="0"/>
          <w:sz w:val="28"/>
          <w:szCs w:val="28"/>
        </w:rPr>
        <w:t>生活污水排水系统</w:t>
      </w:r>
      <w:r>
        <w:rPr>
          <w:rFonts w:ascii="宋体" w:eastAsia="宋体" w:cs="宋体" w:hAnsi="宋体" w:hint="eastAsia"/>
          <w:color w:val="auto"/>
          <w:kern w:val="0"/>
          <w:sz w:val="28"/>
          <w:szCs w:val="28"/>
          <w:lang w:eastAsia="zh-CN"/>
        </w:rPr>
        <w:t>和</w:t>
      </w:r>
      <w:r>
        <w:rPr>
          <w:rFonts w:ascii="宋体" w:eastAsia="宋体" w:cs="宋体" w:hAnsi="宋体" w:hint="eastAsia"/>
          <w:color w:val="auto"/>
          <w:kern w:val="0"/>
          <w:sz w:val="28"/>
          <w:szCs w:val="28"/>
        </w:rPr>
        <w:t>雨水排水系统。</w:t>
      </w:r>
      <w:r>
        <w:rPr>
          <w:rFonts w:ascii="宋体" w:eastAsia="宋体" w:cs="宋体" w:hAnsi="宋体" w:hint="eastAsia"/>
          <w:color w:val="auto"/>
          <w:kern w:val="0"/>
          <w:sz w:val="28"/>
          <w:szCs w:val="28"/>
          <w:lang w:eastAsia="zh-CN"/>
        </w:rPr>
        <w:t>其中，升压站</w:t>
      </w:r>
      <w:r>
        <w:rPr>
          <w:rFonts w:ascii="宋体" w:eastAsia="宋体" w:cs="宋体" w:hAnsi="宋体" w:hint="eastAsia"/>
          <w:color w:val="auto"/>
          <w:kern w:val="0"/>
          <w:sz w:val="28"/>
          <w:szCs w:val="28"/>
        </w:rPr>
        <w:t>排水系统采用</w:t>
      </w:r>
      <w:r>
        <w:rPr>
          <w:rFonts w:ascii="宋体" w:eastAsia="宋体" w:cs="宋体" w:hAnsi="宋体" w:hint="eastAsia"/>
          <w:color w:val="auto"/>
          <w:kern w:val="0"/>
          <w:sz w:val="28"/>
          <w:szCs w:val="28"/>
          <w:lang w:eastAsia="zh-CN"/>
        </w:rPr>
        <w:t>雨污</w:t>
      </w:r>
      <w:r>
        <w:rPr>
          <w:rFonts w:ascii="宋体" w:eastAsia="宋体" w:cs="宋体" w:hAnsi="宋体" w:hint="eastAsia"/>
          <w:color w:val="auto"/>
          <w:kern w:val="0"/>
          <w:sz w:val="28"/>
          <w:szCs w:val="28"/>
        </w:rPr>
        <w:t>分流制。</w:t>
      </w:r>
    </w:p>
    <w:p>
      <w:pPr>
        <w:pStyle w:val="17"/>
        <w:autoSpaceDE w:val="0"/>
        <w:autoSpaceDN w:val="0"/>
        <w:spacing w:before="4" w:line="420" w:lineRule="auto"/>
        <w:ind w:left="0" w:right="351" w:firstLineChars="200" w:firstLine="560"/>
        <w:rPr>
          <w:b/>
          <w:bCs/>
          <w:color w:val="auto"/>
          <w:sz w:val="28"/>
          <w:szCs w:val="28"/>
        </w:rPr>
      </w:pPr>
      <w:r>
        <w:rPr>
          <w:rFonts w:hint="eastAsia"/>
          <w:b/>
          <w:bCs/>
          <w:color w:val="auto"/>
          <w:sz w:val="28"/>
          <w:szCs w:val="28"/>
          <w:lang w:val="en-US" w:eastAsia="zh-CN"/>
        </w:rPr>
        <w:t xml:space="preserve">5.2.4 </w:t>
      </w:r>
      <w:r>
        <w:rPr>
          <w:rFonts w:hint="eastAsia"/>
          <w:b/>
          <w:bCs/>
          <w:color w:val="auto"/>
          <w:sz w:val="28"/>
          <w:szCs w:val="28"/>
        </w:rPr>
        <w:t>雨水工程</w:t>
      </w:r>
    </w:p>
    <w:p>
      <w:pPr>
        <w:widowControl/>
        <w:numPr>
          <w:ilvl w:val="0"/>
          <w:numId w:val="3"/>
        </w:numPr>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雨水量预测</w:t>
      </w:r>
    </w:p>
    <w:p>
      <w:pPr>
        <w:widowControl/>
        <w:spacing w:before="4" w:line="360" w:lineRule="auto"/>
        <w:ind w:leftChars="200" w:left="420" w:right="351" w:firstLine="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雨水量的计算与城市排涝系统规划相协调，雨水规划设计流量按下式计算：</w:t>
      </w:r>
    </w:p>
    <w:p>
      <w:pPr>
        <w:widowControl/>
        <w:spacing w:before="4" w:line="360" w:lineRule="auto"/>
        <w:ind w:leftChars="200" w:left="420" w:right="351" w:firstLine="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 Q=q•ψ•F</w:t>
      </w:r>
    </w:p>
    <w:p>
      <w:pPr>
        <w:widowControl/>
        <w:spacing w:before="4" w:line="360" w:lineRule="auto"/>
        <w:ind w:leftChars="200" w:left="420" w:right="351" w:firstLine="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式中：Q ——雨水设计流量（升/秒）；q ——设计暴雨强度（升/公顷•秒）；ψ ——径流系数；F ——汇水面积（公顷）。</w:t>
      </w:r>
    </w:p>
    <w:p>
      <w:pPr>
        <w:widowControl/>
        <w:spacing w:before="4" w:line="360" w:lineRule="auto"/>
        <w:ind w:leftChars="200" w:left="420" w:right="351" w:firstLine="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设计暴雨强度按钦州市暴雨强度公式计算：</w:t>
      </w:r>
    </w:p>
    <w:p>
      <w:pPr>
        <w:widowControl/>
        <w:spacing w:before="4" w:line="360" w:lineRule="auto"/>
        <w:ind w:leftChars="200" w:left="420" w:right="351" w:firstLine="0"/>
        <w:jc w:val="left"/>
        <w:rPr>
          <w:rFonts w:ascii="宋体" w:eastAsia="宋体" w:cs="宋体" w:hAnsi="宋体"/>
          <w:color w:val="auto"/>
          <w:kern w:val="0"/>
          <w:sz w:val="28"/>
          <w:szCs w:val="28"/>
          <w:vertAlign w:val="superscript"/>
        </w:rPr>
      </w:pPr>
      <w:r>
        <w:rPr>
          <w:rFonts w:ascii="宋体" w:eastAsia="宋体" w:cs="宋体" w:hAnsi="宋体" w:hint="eastAsia"/>
          <w:color w:val="auto"/>
          <w:kern w:val="0"/>
          <w:sz w:val="28"/>
          <w:szCs w:val="28"/>
        </w:rPr>
        <w:t>q=1817(1+0.505LgP)/(t+5.7)</w:t>
      </w:r>
      <w:r>
        <w:rPr>
          <w:rFonts w:ascii="宋体" w:eastAsia="宋体" w:cs="宋体" w:hAnsi="宋体"/>
          <w:color w:val="auto"/>
          <w:kern w:val="0"/>
          <w:sz w:val="28"/>
          <w:szCs w:val="28"/>
          <w:vertAlign w:val="superscript"/>
        </w:rPr>
        <w:t xml:space="preserve"> 0.58</w:t>
      </w:r>
    </w:p>
    <w:p>
      <w:pPr>
        <w:widowControl/>
        <w:spacing w:before="4" w:line="360" w:lineRule="auto"/>
        <w:ind w:leftChars="200" w:left="420" w:right="351" w:firstLine="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式中：q ——设计暴雨强度（升/公顷•秒）；P ——重现期；t ——降雨历时（分钟），t=t</w:t>
      </w:r>
      <w:r>
        <w:rPr>
          <w:rFonts w:ascii="宋体" w:eastAsia="宋体" w:cs="宋体" w:hAnsi="宋体"/>
          <w:color w:val="auto"/>
          <w:kern w:val="0"/>
          <w:sz w:val="28"/>
          <w:szCs w:val="28"/>
          <w:vertAlign w:val="subscript"/>
        </w:rPr>
        <w:t>1</w:t>
      </w:r>
      <w:r>
        <w:rPr>
          <w:rFonts w:ascii="宋体" w:eastAsia="宋体" w:cs="宋体" w:hAnsi="宋体" w:hint="eastAsia"/>
          <w:color w:val="auto"/>
          <w:kern w:val="0"/>
          <w:sz w:val="28"/>
          <w:szCs w:val="28"/>
        </w:rPr>
        <w:t>+t</w:t>
      </w:r>
      <w:r>
        <w:rPr>
          <w:rFonts w:ascii="宋体" w:eastAsia="宋体" w:cs="宋体" w:hAnsi="宋体"/>
          <w:color w:val="auto"/>
          <w:kern w:val="0"/>
          <w:sz w:val="28"/>
          <w:szCs w:val="28"/>
          <w:vertAlign w:val="subscript"/>
        </w:rPr>
        <w:t>2</w:t>
      </w:r>
      <w:r>
        <w:rPr>
          <w:rFonts w:ascii="宋体" w:eastAsia="宋体" w:cs="宋体" w:hAnsi="宋体" w:hint="eastAsia"/>
          <w:color w:val="auto"/>
          <w:kern w:val="0"/>
          <w:sz w:val="28"/>
          <w:szCs w:val="28"/>
        </w:rPr>
        <w:t>。（t</w:t>
      </w:r>
      <w:r>
        <w:rPr>
          <w:rFonts w:ascii="宋体" w:eastAsia="宋体" w:cs="宋体" w:hAnsi="宋体" w:hint="eastAsia"/>
          <w:color w:val="auto"/>
          <w:kern w:val="0"/>
          <w:sz w:val="28"/>
          <w:szCs w:val="28"/>
          <w:vertAlign w:val="subscript"/>
        </w:rPr>
        <w:t>1</w:t>
      </w:r>
      <w:r>
        <w:rPr>
          <w:rFonts w:ascii="宋体" w:eastAsia="宋体" w:cs="宋体" w:hAnsi="宋体" w:hint="eastAsia"/>
          <w:color w:val="auto"/>
          <w:kern w:val="0"/>
          <w:sz w:val="28"/>
          <w:szCs w:val="28"/>
        </w:rPr>
        <w:t xml:space="preserve"> ——地面集水时间，应根据汇水距离，地形坡度和地面种类计算确定，一般采用5～15 分钟；t</w:t>
      </w:r>
      <w:r>
        <w:rPr>
          <w:rFonts w:ascii="宋体" w:eastAsia="宋体" w:cs="宋体" w:hAnsi="宋体" w:hint="eastAsia"/>
          <w:color w:val="auto"/>
          <w:kern w:val="0"/>
          <w:sz w:val="28"/>
          <w:szCs w:val="28"/>
          <w:vertAlign w:val="subscript"/>
        </w:rPr>
        <w:t>2</w:t>
      </w:r>
      <w:r>
        <w:rPr>
          <w:rFonts w:ascii="宋体" w:eastAsia="宋体" w:cs="宋体" w:hAnsi="宋体" w:hint="eastAsia"/>
          <w:color w:val="auto"/>
          <w:kern w:val="0"/>
          <w:sz w:val="28"/>
          <w:szCs w:val="28"/>
        </w:rPr>
        <w:t>——管渠内雨水流行时间。）</w:t>
      </w:r>
    </w:p>
    <w:p>
      <w:pPr>
        <w:widowControl/>
        <w:spacing w:before="4" w:line="360" w:lineRule="auto"/>
        <w:ind w:leftChars="200" w:left="420" w:right="351" w:firstLine="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考虑到规划地块以丘陵谷地地形为主，重现期宜采用3～4年。</w:t>
      </w:r>
    </w:p>
    <w:p>
      <w:pPr>
        <w:widowControl/>
        <w:spacing w:before="4" w:line="360" w:lineRule="auto"/>
        <w:ind w:leftChars="200" w:left="420" w:right="351" w:firstLine="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综合径流系数：=0.45～0.6</w:t>
      </w:r>
    </w:p>
    <w:p>
      <w:pPr>
        <w:widowControl/>
        <w:spacing w:before="4" w:line="360" w:lineRule="auto"/>
        <w:ind w:leftChars="200" w:left="420" w:right="351" w:firstLineChars="200" w:firstLine="560"/>
        <w:jc w:val="left"/>
        <w:rPr>
          <w:rFonts w:ascii="宋体" w:eastAsia="宋体" w:cs="宋体" w:hAnsi="宋体"/>
          <w:b w:val="0"/>
          <w:bCs w:val="0"/>
          <w:color w:val="auto"/>
          <w:kern w:val="0"/>
          <w:sz w:val="28"/>
          <w:szCs w:val="28"/>
        </w:rPr>
      </w:pPr>
      <w:r>
        <w:rPr>
          <w:rFonts w:ascii="宋体" w:eastAsia="宋体" w:cs="宋体" w:hAnsi="宋体" w:hint="eastAsia"/>
          <w:b w:val="0"/>
          <w:bCs w:val="0"/>
          <w:color w:val="auto"/>
          <w:kern w:val="0"/>
          <w:sz w:val="28"/>
          <w:szCs w:val="28"/>
        </w:rPr>
        <w:t>（</w:t>
      </w:r>
      <w:r>
        <w:rPr>
          <w:rFonts w:ascii="宋体" w:eastAsia="宋体" w:cs="宋体" w:hAnsi="宋体"/>
          <w:b w:val="0"/>
          <w:bCs w:val="0"/>
          <w:color w:val="auto"/>
          <w:kern w:val="0"/>
          <w:sz w:val="28"/>
          <w:szCs w:val="28"/>
        </w:rPr>
        <w:t>2</w:t>
      </w:r>
      <w:r>
        <w:rPr>
          <w:rFonts w:ascii="宋体" w:eastAsia="宋体" w:cs="宋体" w:hAnsi="宋体" w:hint="eastAsia"/>
          <w:b w:val="0"/>
          <w:bCs w:val="0"/>
          <w:color w:val="auto"/>
          <w:kern w:val="0"/>
          <w:sz w:val="28"/>
          <w:szCs w:val="28"/>
        </w:rPr>
        <w:t>）雨水分区和管网规划</w:t>
      </w:r>
    </w:p>
    <w:p>
      <w:pPr>
        <w:widowControl/>
        <w:spacing w:before="4" w:line="360" w:lineRule="auto"/>
        <w:ind w:leftChars="200" w:left="420"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1）</w:t>
      </w:r>
      <w:r>
        <w:rPr>
          <w:rFonts w:ascii="宋体" w:eastAsia="宋体" w:cs="宋体" w:hAnsi="宋体" w:hint="eastAsia"/>
          <w:color w:val="auto"/>
          <w:kern w:val="0"/>
          <w:sz w:val="28"/>
          <w:szCs w:val="28"/>
          <w:lang w:eastAsia="zh-CN"/>
        </w:rPr>
        <w:t>规划风电机组用地和升压站用地</w:t>
      </w:r>
      <w:r>
        <w:rPr>
          <w:rFonts w:ascii="宋体" w:eastAsia="宋体" w:cs="宋体" w:hAnsi="宋体" w:hint="eastAsia"/>
          <w:color w:val="auto"/>
          <w:kern w:val="0"/>
          <w:sz w:val="28"/>
          <w:szCs w:val="28"/>
        </w:rPr>
        <w:t>按照高水高排、低水低排的原则，充分利用地形就近排放</w:t>
      </w:r>
      <w:r>
        <w:rPr>
          <w:rFonts w:ascii="宋体" w:eastAsia="宋体" w:cs="宋体" w:hAnsi="宋体" w:hint="eastAsia"/>
          <w:color w:val="auto"/>
          <w:kern w:val="0"/>
          <w:sz w:val="28"/>
          <w:szCs w:val="28"/>
          <w:lang w:eastAsia="zh-CN"/>
        </w:rPr>
        <w:t>。</w:t>
      </w:r>
    </w:p>
    <w:p>
      <w:pPr>
        <w:widowControl/>
        <w:spacing w:before="4" w:line="360" w:lineRule="auto"/>
        <w:ind w:leftChars="200" w:left="420"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2）</w:t>
      </w:r>
      <w:r>
        <w:rPr>
          <w:rFonts w:ascii="宋体" w:eastAsia="宋体" w:cs="宋体" w:hAnsi="宋体" w:hint="eastAsia"/>
          <w:color w:val="auto"/>
          <w:kern w:val="0"/>
          <w:sz w:val="28"/>
          <w:szCs w:val="28"/>
          <w:lang w:eastAsia="zh-CN"/>
        </w:rPr>
        <w:t>升压站建筑物屋面雨水通过雨水斗收集，通过雨水立管引至地面雨水沟，站区场地雨水通过雨水口收集，电缆沟的雨水通过管道排至站内雨水排水系统，通过室外埋地雨水管道排至站外，规划</w:t>
      </w:r>
      <w:r>
        <w:rPr>
          <w:rFonts w:ascii="宋体" w:eastAsia="宋体" w:cs="宋体" w:hAnsi="宋体" w:hint="eastAsia"/>
          <w:color w:val="auto"/>
          <w:kern w:val="0"/>
          <w:sz w:val="28"/>
          <w:szCs w:val="28"/>
        </w:rPr>
        <w:t>雨水管径d400mm-600mm</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以山地冲沟和坑塘河道为主要排水出口迅速将雨水排出。</w:t>
      </w:r>
    </w:p>
    <w:p>
      <w:pPr>
        <w:pStyle w:val="17"/>
        <w:autoSpaceDE w:val="0"/>
        <w:autoSpaceDN w:val="0"/>
        <w:spacing w:before="4" w:line="420" w:lineRule="auto"/>
        <w:ind w:left="597" w:right="351"/>
        <w:rPr>
          <w:rFonts w:ascii="宋体" w:eastAsia="宋体" w:cs="宋体" w:hAnsi="宋体" w:hint="eastAsia"/>
          <w:color w:val="auto"/>
          <w:kern w:val="0"/>
          <w:sz w:val="28"/>
          <w:szCs w:val="28"/>
          <w:lang w:eastAsia="zh-CN"/>
        </w:rPr>
      </w:pPr>
      <w:r>
        <w:rPr>
          <w:rFonts w:hint="eastAsia"/>
          <w:b/>
          <w:bCs/>
          <w:color w:val="auto"/>
          <w:sz w:val="28"/>
          <w:szCs w:val="28"/>
          <w:lang w:val="en-US" w:eastAsia="zh-CN"/>
        </w:rPr>
        <w:t xml:space="preserve">5.2.5 </w:t>
      </w:r>
      <w:r>
        <w:rPr>
          <w:rFonts w:hint="eastAsia"/>
          <w:b/>
          <w:bCs/>
          <w:color w:val="auto"/>
          <w:sz w:val="28"/>
          <w:szCs w:val="28"/>
        </w:rPr>
        <w:t>污水工程</w:t>
      </w:r>
    </w:p>
    <w:p>
      <w:pPr>
        <w:widowControl/>
        <w:spacing w:before="4" w:line="360" w:lineRule="auto"/>
        <w:ind w:leftChars="200" w:left="42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本规划污水工程主要为升压站产生的污水排放，对其进行合理的污水管网和污水处理设施规划。</w:t>
      </w:r>
    </w:p>
    <w:p>
      <w:pPr>
        <w:widowControl/>
        <w:spacing w:before="4" w:line="360" w:lineRule="auto"/>
        <w:ind w:leftChars="200" w:left="420"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污水量预测</w:t>
      </w:r>
    </w:p>
    <w:p>
      <w:pPr>
        <w:widowControl/>
        <w:spacing w:before="4" w:line="360" w:lineRule="auto"/>
        <w:ind w:leftChars="200" w:left="420"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根据</w:t>
      </w:r>
      <w:r>
        <w:rPr>
          <w:rFonts w:ascii="宋体" w:eastAsia="宋体" w:cs="宋体" w:hAnsi="宋体" w:hint="eastAsia"/>
          <w:color w:val="auto"/>
          <w:kern w:val="0"/>
          <w:sz w:val="28"/>
          <w:szCs w:val="28"/>
          <w:lang w:eastAsia="zh-CN"/>
        </w:rPr>
        <w:t>升压站</w:t>
      </w:r>
      <w:r>
        <w:rPr>
          <w:rFonts w:ascii="宋体" w:eastAsia="宋体" w:cs="宋体" w:hAnsi="宋体" w:hint="eastAsia"/>
          <w:color w:val="auto"/>
          <w:kern w:val="0"/>
          <w:sz w:val="28"/>
          <w:szCs w:val="28"/>
        </w:rPr>
        <w:t>平均日用水量情况，按综合污水排放系数80%计算污水量，则整个地块污水量为</w:t>
      </w:r>
      <w:r>
        <w:rPr>
          <w:rFonts w:ascii="宋体" w:eastAsia="宋体" w:cs="宋体" w:hAnsi="宋体" w:hint="eastAsia"/>
          <w:color w:val="auto"/>
          <w:kern w:val="0"/>
          <w:sz w:val="28"/>
          <w:szCs w:val="28"/>
          <w:lang w:val="en-US" w:eastAsia="zh-CN"/>
        </w:rPr>
        <w:t>7.8</w:t>
      </w:r>
      <w:r>
        <w:rPr>
          <w:rFonts w:ascii="宋体" w:eastAsia="宋体" w:cs="宋体" w:hAnsi="宋体" w:hint="eastAsia"/>
          <w:color w:val="auto"/>
          <w:kern w:val="0"/>
          <w:sz w:val="28"/>
          <w:szCs w:val="28"/>
        </w:rPr>
        <w:t>m³/d。</w:t>
      </w:r>
    </w:p>
    <w:p>
      <w:pPr>
        <w:widowControl/>
        <w:spacing w:before="4" w:line="360" w:lineRule="auto"/>
        <w:ind w:leftChars="200" w:left="420"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（2）污水管网规划</w:t>
      </w:r>
    </w:p>
    <w:p>
      <w:pPr>
        <w:widowControl/>
        <w:spacing w:before="4" w:line="360" w:lineRule="auto"/>
        <w:ind w:leftChars="200" w:left="420"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根据</w:t>
      </w:r>
      <w:r>
        <w:rPr>
          <w:rFonts w:ascii="宋体" w:eastAsia="宋体" w:cs="宋体" w:hAnsi="宋体" w:hint="eastAsia"/>
          <w:color w:val="auto"/>
          <w:kern w:val="0"/>
          <w:sz w:val="28"/>
          <w:szCs w:val="28"/>
          <w:lang w:eastAsia="zh-CN"/>
        </w:rPr>
        <w:t>升压站</w:t>
      </w:r>
      <w:r>
        <w:rPr>
          <w:rFonts w:ascii="宋体" w:eastAsia="宋体" w:cs="宋体" w:hAnsi="宋体" w:hint="eastAsia"/>
          <w:color w:val="auto"/>
          <w:kern w:val="0"/>
          <w:sz w:val="28"/>
          <w:szCs w:val="28"/>
        </w:rPr>
        <w:t>地块所处区位实际地形情况，合理规划污水排放设施。本次规划地块内废水主要来自升压站运行人员产生的生活污水，拟选用设备为1 台埋地式一体化污水处理设备（</w:t>
      </w:r>
      <w:r>
        <w:rPr>
          <w:rFonts w:ascii="宋体" w:eastAsia="宋体" w:cs="宋体" w:hAnsi="宋体" w:hint="eastAsia"/>
          <w:color w:val="auto"/>
          <w:kern w:val="0"/>
          <w:sz w:val="28"/>
          <w:szCs w:val="28"/>
          <w:lang w:eastAsia="zh-CN"/>
        </w:rPr>
        <w:t>处理能力约</w:t>
      </w:r>
      <w:r>
        <w:rPr>
          <w:rFonts w:ascii="宋体" w:eastAsia="宋体" w:cs="宋体" w:hAnsi="宋体" w:hint="eastAsia"/>
          <w:color w:val="auto"/>
          <w:kern w:val="0"/>
          <w:sz w:val="28"/>
          <w:szCs w:val="28"/>
        </w:rPr>
        <w:t>0.5 m³/h）</w:t>
      </w:r>
      <w:r>
        <w:rPr>
          <w:rFonts w:ascii="宋体" w:eastAsia="宋体" w:cs="宋体" w:hAnsi="宋体" w:hint="eastAsia"/>
          <w:color w:val="auto"/>
          <w:kern w:val="0"/>
          <w:sz w:val="28"/>
          <w:szCs w:val="28"/>
          <w:lang w:eastAsia="zh-CN"/>
        </w:rPr>
        <w:t>设置于地块西南角地下</w:t>
      </w:r>
      <w:r>
        <w:rPr>
          <w:rFonts w:ascii="宋体" w:eastAsia="宋体" w:cs="宋体" w:hAnsi="宋体" w:hint="eastAsia"/>
          <w:color w:val="auto"/>
          <w:kern w:val="0"/>
          <w:sz w:val="28"/>
          <w:szCs w:val="28"/>
        </w:rPr>
        <w:t>，生活污水经站内化粪池和地埋式一体化污水处理设施处理，达到《污水综合排放标准》（GB8978-1996）一级标准且满足《农田灌溉水质标准》（GB5084-2021）中的相应标准后用于站区周边林草地灌溉。</w:t>
      </w:r>
    </w:p>
    <w:p>
      <w:pPr>
        <w:pStyle w:val="1"/>
        <w:numPr>
          <w:ilvl w:val="0"/>
          <w:numId w:val="0"/>
        </w:numPr>
        <w:autoSpaceDE w:val="0"/>
        <w:autoSpaceDN w:val="0"/>
        <w:spacing w:before="260" w:line="360" w:lineRule="auto"/>
        <w:ind w:left="420" w:right="351"/>
        <w:rPr>
          <w:rFonts w:ascii="宋体" w:eastAsia="宋体" w:cs="宋体" w:hAnsi="宋体" w:hint="eastAsia"/>
          <w:b/>
          <w:bCs/>
          <w:color w:val="auto"/>
          <w:sz w:val="32"/>
          <w:szCs w:val="32"/>
        </w:rPr>
      </w:pPr>
      <w:bookmarkStart w:id="51" w:name="_Toc12761"/>
      <w:r>
        <w:rPr>
          <w:rFonts w:ascii="宋体" w:eastAsia="宋体" w:cs="宋体" w:hAnsi="宋体" w:hint="eastAsia"/>
          <w:bCs/>
          <w:color w:val="auto"/>
          <w:sz w:val="32"/>
          <w:szCs w:val="32"/>
          <w:lang w:val="en-US" w:eastAsia="zh-CN"/>
        </w:rPr>
        <w:t xml:space="preserve">5.3 </w:t>
      </w:r>
      <w:r>
        <w:rPr>
          <w:rFonts w:ascii="宋体" w:eastAsia="宋体" w:cs="宋体" w:hAnsi="宋体" w:hint="eastAsia"/>
          <w:bCs/>
          <w:color w:val="auto"/>
          <w:sz w:val="32"/>
          <w:szCs w:val="32"/>
        </w:rPr>
        <w:t>电力工程规划</w:t>
      </w:r>
      <w:bookmarkEnd w:id="51"/>
    </w:p>
    <w:p>
      <w:pPr>
        <w:pStyle w:val="17"/>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5.3.1 </w:t>
      </w:r>
      <w:r>
        <w:rPr>
          <w:rFonts w:hint="eastAsia"/>
          <w:b/>
          <w:bCs/>
          <w:color w:val="auto"/>
          <w:sz w:val="28"/>
          <w:szCs w:val="28"/>
        </w:rPr>
        <w:t>规划依据</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《风电场工程设计导则</w:t>
      </w:r>
      <w:r>
        <w:rPr>
          <w:rFonts w:ascii="宋体" w:eastAsia="宋体" w:cs="宋体" w:hAnsi="宋体" w:hint="eastAsia"/>
          <w:color w:val="auto"/>
          <w:kern w:val="0"/>
          <w:sz w:val="28"/>
          <w:szCs w:val="28"/>
          <w:lang w:eastAsia="zh-CN"/>
        </w:rPr>
        <w:t>（试行）</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《风</w:t>
      </w:r>
      <w:r>
        <w:rPr>
          <w:rFonts w:ascii="宋体" w:eastAsia="宋体" w:cs="宋体" w:hAnsi="宋体" w:hint="eastAsia"/>
          <w:color w:val="auto"/>
          <w:kern w:val="0"/>
          <w:sz w:val="28"/>
          <w:szCs w:val="28"/>
          <w:lang w:val="en-US" w:eastAsia="zh-CN"/>
        </w:rPr>
        <w:t>力发电场设计规范</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w:t>
      </w:r>
      <w:r>
        <w:rPr>
          <w:rFonts w:ascii="宋体" w:eastAsia="宋体" w:cs="宋体" w:hAnsi="宋体"/>
          <w:color w:val="auto"/>
          <w:kern w:val="0"/>
          <w:sz w:val="28"/>
          <w:szCs w:val="28"/>
        </w:rPr>
        <w:t>GB</w:t>
      </w:r>
      <w:r>
        <w:rPr>
          <w:rFonts w:ascii="宋体" w:eastAsia="宋体" w:cs="宋体" w:hAnsi="宋体" w:hint="eastAsia"/>
          <w:color w:val="auto"/>
          <w:kern w:val="0"/>
          <w:sz w:val="28"/>
          <w:szCs w:val="28"/>
          <w:lang w:eastAsia="zh-CN"/>
        </w:rPr>
        <w:t>5</w:t>
      </w:r>
      <w:r>
        <w:rPr>
          <w:rFonts w:ascii="宋体" w:eastAsia="宋体" w:cs="宋体" w:hAnsi="宋体" w:hint="eastAsia"/>
          <w:color w:val="auto"/>
          <w:kern w:val="0"/>
          <w:sz w:val="28"/>
          <w:szCs w:val="28"/>
          <w:lang w:val="en-US" w:eastAsia="zh-CN"/>
        </w:rPr>
        <w:t>1096</w:t>
      </w:r>
      <w:r>
        <w:rPr>
          <w:rFonts w:ascii="宋体" w:eastAsia="宋体" w:cs="宋体" w:hAnsi="宋体"/>
          <w:color w:val="auto"/>
          <w:kern w:val="0"/>
          <w:sz w:val="28"/>
          <w:szCs w:val="28"/>
        </w:rPr>
        <w:t>-201</w:t>
      </w:r>
      <w:r>
        <w:rPr>
          <w:rFonts w:ascii="宋体" w:eastAsia="宋体" w:cs="宋体" w:hAnsi="宋体" w:hint="eastAsia"/>
          <w:color w:val="auto"/>
          <w:kern w:val="0"/>
          <w:sz w:val="28"/>
          <w:szCs w:val="28"/>
          <w:lang w:val="en-US" w:eastAsia="zh-CN"/>
        </w:rPr>
        <w:t>5</w:t>
      </w:r>
      <w:r>
        <w:rPr>
          <w:rFonts w:ascii="宋体" w:eastAsia="宋体" w:cs="宋体" w:hAnsi="宋体" w:hint="eastAsia"/>
          <w:color w:val="auto"/>
          <w:kern w:val="0"/>
          <w:sz w:val="28"/>
          <w:szCs w:val="28"/>
          <w:lang w:eastAsia="zh-CN"/>
        </w:rPr>
        <w:t>）；</w:t>
      </w:r>
    </w:p>
    <w:p>
      <w:pPr>
        <w:widowControl/>
        <w:spacing w:before="4" w:line="360" w:lineRule="auto"/>
        <w:ind w:left="0"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3</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《中国南方电网城市配电网技术导则》（Q/CSG l0012-2005）；</w:t>
      </w:r>
    </w:p>
    <w:p>
      <w:pPr>
        <w:widowControl/>
        <w:spacing w:before="4" w:line="360" w:lineRule="auto"/>
        <w:ind w:left="0"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4</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《城市电力网规划设计导则》（Q/GDW156-2006）；</w:t>
      </w:r>
    </w:p>
    <w:p>
      <w:pPr>
        <w:widowControl/>
        <w:spacing w:before="4" w:line="360" w:lineRule="auto"/>
        <w:ind w:left="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5</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《城市电力规划规范》( GB50293-2014)</w:t>
      </w:r>
      <w:r>
        <w:rPr>
          <w:rFonts w:ascii="宋体" w:eastAsia="宋体" w:cs="宋体" w:hAnsi="宋体" w:hint="eastAsia"/>
          <w:color w:val="auto"/>
          <w:kern w:val="0"/>
          <w:sz w:val="28"/>
          <w:szCs w:val="28"/>
          <w:lang w:eastAsia="zh-CN"/>
        </w:rPr>
        <w:t>；</w:t>
      </w:r>
    </w:p>
    <w:p>
      <w:pPr>
        <w:widowControl/>
        <w:spacing w:before="4" w:line="360" w:lineRule="auto"/>
        <w:ind w:left="0"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6</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《通用用电设备配电设计规范》GB 50055-2011；</w:t>
      </w:r>
    </w:p>
    <w:p>
      <w:pPr>
        <w:widowControl/>
        <w:spacing w:before="4" w:line="360" w:lineRule="auto"/>
        <w:ind w:left="0"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7</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《电力工程电缆设计</w:t>
      </w:r>
      <w:r>
        <w:rPr>
          <w:rFonts w:ascii="宋体" w:eastAsia="宋体" w:cs="宋体" w:hAnsi="宋体" w:hint="eastAsia"/>
          <w:color w:val="auto"/>
          <w:kern w:val="0"/>
          <w:sz w:val="28"/>
          <w:szCs w:val="28"/>
          <w:lang w:eastAsia="zh-CN"/>
        </w:rPr>
        <w:t>标准</w:t>
      </w:r>
      <w:r>
        <w:rPr>
          <w:rFonts w:ascii="宋体" w:eastAsia="宋体" w:cs="宋体" w:hAnsi="宋体" w:hint="eastAsia"/>
          <w:color w:val="auto"/>
          <w:kern w:val="0"/>
          <w:sz w:val="28"/>
          <w:szCs w:val="28"/>
        </w:rPr>
        <w:t>》GB50217-2018；</w:t>
      </w:r>
    </w:p>
    <w:p>
      <w:pPr>
        <w:widowControl/>
        <w:spacing w:before="4" w:line="360" w:lineRule="auto"/>
        <w:ind w:left="0"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8</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《综合布线系统工程设计规范》GB 50311-2016；</w:t>
      </w:r>
    </w:p>
    <w:p>
      <w:pPr>
        <w:widowControl/>
        <w:spacing w:before="4" w:line="360" w:lineRule="auto"/>
        <w:ind w:left="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9</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《供配电系统设计规范》GB50052-2009</w:t>
      </w:r>
      <w:r>
        <w:rPr>
          <w:rFonts w:ascii="宋体" w:eastAsia="宋体" w:cs="宋体" w:hAnsi="宋体" w:hint="eastAsia"/>
          <w:color w:val="auto"/>
          <w:kern w:val="0"/>
          <w:sz w:val="28"/>
          <w:szCs w:val="28"/>
          <w:lang w:eastAsia="zh-CN"/>
        </w:rPr>
        <w:t>；</w:t>
      </w:r>
    </w:p>
    <w:p>
      <w:pPr>
        <w:widowControl/>
        <w:spacing w:before="4" w:line="360" w:lineRule="auto"/>
        <w:ind w:left="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10</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《35～110</w:t>
      </w:r>
      <w:r>
        <w:rPr>
          <w:rFonts w:ascii="宋体" w:eastAsia="宋体" w:cs="宋体" w:hAnsi="宋体" w:hint="eastAsia"/>
          <w:color w:val="auto"/>
          <w:kern w:val="0"/>
          <w:sz w:val="28"/>
          <w:szCs w:val="28"/>
          <w:lang w:eastAsia="zh-CN"/>
        </w:rPr>
        <w:t>kV</w:t>
      </w:r>
      <w:r>
        <w:rPr>
          <w:rFonts w:ascii="宋体" w:eastAsia="宋体" w:cs="宋体" w:hAnsi="宋体" w:hint="eastAsia"/>
          <w:color w:val="auto"/>
          <w:kern w:val="0"/>
          <w:sz w:val="28"/>
          <w:szCs w:val="28"/>
        </w:rPr>
        <w:t>变电站设计规范》GB50059-2011</w:t>
      </w:r>
      <w:r>
        <w:rPr>
          <w:rFonts w:ascii="宋体" w:eastAsia="宋体" w:cs="宋体" w:hAnsi="宋体" w:hint="eastAsia"/>
          <w:color w:val="auto"/>
          <w:kern w:val="0"/>
          <w:sz w:val="28"/>
          <w:szCs w:val="28"/>
          <w:lang w:eastAsia="zh-CN"/>
        </w:rPr>
        <w:t>；</w:t>
      </w:r>
    </w:p>
    <w:p>
      <w:pPr>
        <w:widowControl/>
        <w:spacing w:before="4" w:line="360" w:lineRule="auto"/>
        <w:ind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11</w:t>
      </w:r>
      <w:r>
        <w:rPr>
          <w:rFonts w:ascii="宋体" w:eastAsia="宋体" w:cs="宋体" w:hAnsi="宋体" w:hint="eastAsia"/>
          <w:color w:val="auto"/>
          <w:kern w:val="0"/>
          <w:sz w:val="28"/>
          <w:szCs w:val="28"/>
        </w:rPr>
        <w:t>）其它有关国家及地方的现行规程、规范及标准</w:t>
      </w:r>
      <w:r>
        <w:rPr>
          <w:rFonts w:ascii="宋体" w:eastAsia="宋体" w:cs="宋体" w:hAnsi="宋体" w:hint="eastAsia"/>
          <w:color w:val="auto"/>
          <w:kern w:val="0"/>
          <w:sz w:val="28"/>
          <w:szCs w:val="28"/>
          <w:lang w:eastAsia="zh-CN"/>
        </w:rPr>
        <w:t>。</w:t>
      </w:r>
    </w:p>
    <w:p>
      <w:pPr>
        <w:pStyle w:val="17"/>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5.3.2 规划原则</w:t>
      </w:r>
    </w:p>
    <w:p>
      <w:pPr>
        <w:widowControl/>
        <w:autoSpaceDE w:val="0"/>
        <w:autoSpaceDN w:val="0"/>
        <w:spacing w:before="4" w:line="360" w:lineRule="auto"/>
        <w:ind w:leftChars="200" w:left="42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lang w:eastAsia="zh-CN"/>
        </w:rPr>
        <w:t>）风电场主接线设计方案根据风电机组单机容量和出口电压等级确定，一般选用一机一变，经过技术经济比较选定若干台风电机组成一组，根据风电场装机容量确定组数，再根据组数确定风电场专用变电站高压进线柜的数量，并根据风电场规划装机容量预留扩建的余地。</w:t>
      </w:r>
    </w:p>
    <w:p>
      <w:pPr>
        <w:widowControl/>
        <w:autoSpaceDE w:val="0"/>
        <w:autoSpaceDN w:val="0"/>
        <w:spacing w:before="4" w:line="360" w:lineRule="auto"/>
        <w:ind w:leftChars="200" w:left="42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在风电场接入电力系统设计完成并通过审查和风电场主接线设计完成后，才能考虑风电厂集电线路、升压变电设备及通信和控制设备的订货</w:t>
      </w:r>
      <w:r>
        <w:rPr>
          <w:rFonts w:ascii="宋体" w:eastAsia="宋体" w:cs="宋体" w:hAnsi="宋体" w:hint="eastAsia"/>
          <w:color w:val="auto"/>
          <w:kern w:val="0"/>
          <w:sz w:val="28"/>
          <w:szCs w:val="28"/>
          <w:lang w:eastAsia="zh-CN"/>
        </w:rPr>
        <w:t>。</w:t>
      </w:r>
    </w:p>
    <w:p>
      <w:pPr>
        <w:widowControl/>
        <w:autoSpaceDE w:val="0"/>
        <w:autoSpaceDN w:val="0"/>
        <w:spacing w:before="4" w:line="360" w:lineRule="auto"/>
        <w:ind w:leftChars="200" w:left="420" w:right="351" w:firstLineChars="200" w:firstLine="560"/>
        <w:jc w:val="left"/>
        <w:rPr>
          <w:rFonts w:hint="eastAsia"/>
          <w:color w:val="auto"/>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3</w:t>
      </w:r>
      <w:r>
        <w:rPr>
          <w:rFonts w:ascii="宋体" w:eastAsia="宋体" w:cs="宋体" w:hAnsi="宋体" w:hint="eastAsia"/>
          <w:color w:val="auto"/>
          <w:kern w:val="0"/>
          <w:sz w:val="28"/>
          <w:szCs w:val="28"/>
          <w:lang w:eastAsia="zh-CN"/>
        </w:rPr>
        <w:t>）集电线路一般采用架空线路形式，当风场环境和景观有特殊要求时可采用电缆</w:t>
      </w:r>
      <w:r>
        <w:rPr>
          <w:rFonts w:ascii="宋体" w:eastAsia="宋体" w:cs="宋体" w:hAnsi="宋体" w:hint="eastAsia"/>
          <w:color w:val="auto"/>
          <w:kern w:val="0"/>
          <w:sz w:val="28"/>
          <w:szCs w:val="28"/>
        </w:rPr>
        <w:t>。</w:t>
      </w:r>
    </w:p>
    <w:p>
      <w:pPr>
        <w:pStyle w:val="17"/>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5.3.3 升压站地块</w:t>
      </w:r>
      <w:r>
        <w:rPr>
          <w:rFonts w:hint="eastAsia"/>
          <w:b/>
          <w:bCs/>
          <w:color w:val="auto"/>
          <w:sz w:val="28"/>
          <w:szCs w:val="28"/>
        </w:rPr>
        <w:t>用电负荷预测</w:t>
      </w:r>
    </w:p>
    <w:p>
      <w:pPr>
        <w:widowControl/>
        <w:autoSpaceDE w:val="0"/>
        <w:autoSpaceDN w:val="0"/>
        <w:spacing w:before="4" w:line="360" w:lineRule="auto"/>
        <w:ind w:leftChars="200" w:left="420" w:right="351" w:firstLineChars="200" w:firstLine="560"/>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eastAsia="zh-CN"/>
        </w:rPr>
        <w:t>升压站</w:t>
      </w:r>
      <w:r>
        <w:rPr>
          <w:rFonts w:ascii="宋体" w:eastAsia="宋体" w:cs="宋体" w:hAnsi="宋体" w:hint="eastAsia"/>
          <w:color w:val="auto"/>
          <w:kern w:val="0"/>
          <w:sz w:val="28"/>
          <w:szCs w:val="28"/>
        </w:rPr>
        <w:t>地块为公用设施用地的供电用地，用地面积为3232.1431平方米，根据《钦州市城市规划技术标准与准则》（2015年版），本地块电力负荷预测以分类的单位用地负荷密度法进行计算，公用设施用地按250kW/hm²标准取值，则计得用地用电负荷约为</w:t>
      </w:r>
      <w:r>
        <w:rPr>
          <w:rFonts w:ascii="宋体" w:eastAsia="宋体" w:cs="宋体" w:hAnsi="宋体" w:hint="eastAsia"/>
          <w:color w:val="auto"/>
          <w:kern w:val="0"/>
          <w:sz w:val="28"/>
          <w:szCs w:val="28"/>
          <w:lang w:val="en-US" w:eastAsia="zh-CN"/>
        </w:rPr>
        <w:t>81</w:t>
      </w:r>
      <w:r>
        <w:rPr>
          <w:rFonts w:ascii="宋体" w:eastAsia="宋体" w:cs="宋体" w:hAnsi="宋体" w:hint="eastAsia"/>
          <w:color w:val="auto"/>
          <w:kern w:val="0"/>
          <w:sz w:val="28"/>
          <w:szCs w:val="28"/>
        </w:rPr>
        <w:t>kW。</w:t>
      </w:r>
    </w:p>
    <w:p>
      <w:pPr>
        <w:pStyle w:val="17"/>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5.3.4 </w:t>
      </w:r>
      <w:r>
        <w:rPr>
          <w:rFonts w:hint="eastAsia"/>
          <w:b/>
          <w:bCs/>
          <w:color w:val="auto"/>
          <w:sz w:val="28"/>
          <w:szCs w:val="28"/>
        </w:rPr>
        <w:t>电源规划</w:t>
      </w:r>
    </w:p>
    <w:p>
      <w:pPr>
        <w:widowControl/>
        <w:spacing w:before="4" w:line="360" w:lineRule="auto"/>
        <w:ind w:leftChars="200" w:left="42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本工程站用电源为双电源，一回从35kV母线引接，另一回从市电</w:t>
      </w:r>
      <w:r>
        <w:rPr>
          <w:rFonts w:ascii="宋体" w:eastAsia="宋体" w:cs="宋体" w:hAnsi="宋体" w:hint="eastAsia"/>
          <w:color w:val="auto"/>
          <w:kern w:val="0"/>
          <w:sz w:val="28"/>
          <w:szCs w:val="28"/>
          <w:lang w:val="en-US" w:eastAsia="zh-CN"/>
        </w:rPr>
        <w:t>10</w:t>
      </w:r>
      <w:r>
        <w:rPr>
          <w:rFonts w:ascii="宋体" w:eastAsia="宋体" w:cs="宋体" w:hAnsi="宋体" w:hint="eastAsia"/>
          <w:color w:val="auto"/>
          <w:kern w:val="0"/>
          <w:sz w:val="28"/>
          <w:szCs w:val="28"/>
          <w:lang w:eastAsia="zh-CN"/>
        </w:rPr>
        <w:t>kV引接作为站用电备用电源。</w:t>
      </w:r>
    </w:p>
    <w:p>
      <w:pPr>
        <w:widowControl/>
        <w:spacing w:before="4" w:line="360" w:lineRule="auto"/>
        <w:ind w:leftChars="200" w:left="420" w:right="351" w:firstLineChars="200" w:firstLine="560"/>
        <w:jc w:val="left"/>
        <w:rPr>
          <w:rFonts w:ascii="宋体" w:eastAsia="宋体" w:cs="宋体" w:hAnsi="宋体" w:hint="eastAsia"/>
          <w:color w:val="auto"/>
          <w:kern w:val="0"/>
          <w:sz w:val="28"/>
          <w:szCs w:val="28"/>
          <w:lang w:eastAsia="zh-CN"/>
        </w:rPr>
      </w:pPr>
    </w:p>
    <w:p>
      <w:pPr>
        <w:widowControl/>
        <w:spacing w:before="4" w:line="360" w:lineRule="auto"/>
        <w:ind w:leftChars="200" w:left="420" w:right="351" w:firstLineChars="200" w:firstLine="560"/>
        <w:jc w:val="left"/>
        <w:rPr>
          <w:rFonts w:ascii="宋体" w:eastAsia="宋体" w:cs="宋体" w:hAnsi="宋体" w:hint="eastAsia"/>
          <w:color w:val="auto"/>
          <w:kern w:val="0"/>
          <w:sz w:val="28"/>
          <w:szCs w:val="28"/>
          <w:lang w:eastAsia="zh-CN"/>
        </w:rPr>
      </w:pPr>
    </w:p>
    <w:p>
      <w:pPr>
        <w:pStyle w:val="17"/>
        <w:autoSpaceDE w:val="0"/>
        <w:autoSpaceDN w:val="0"/>
        <w:spacing w:before="4" w:line="420" w:lineRule="auto"/>
        <w:ind w:left="118" w:right="351" w:firstLine="479"/>
        <w:rPr>
          <w:rFonts w:eastAsia="宋体" w:hint="eastAsia"/>
          <w:b/>
          <w:bCs/>
          <w:color w:val="auto"/>
          <w:sz w:val="28"/>
          <w:szCs w:val="28"/>
          <w:lang w:eastAsia="zh-CN"/>
        </w:rPr>
      </w:pPr>
      <w:r>
        <w:rPr>
          <w:rFonts w:hint="eastAsia"/>
          <w:b/>
          <w:bCs/>
          <w:color w:val="auto"/>
          <w:sz w:val="28"/>
          <w:szCs w:val="28"/>
          <w:lang w:val="en-US" w:eastAsia="zh-CN"/>
        </w:rPr>
        <w:t xml:space="preserve">5.3.5 </w:t>
      </w:r>
      <w:r>
        <w:rPr>
          <w:rFonts w:hint="eastAsia"/>
          <w:b/>
          <w:bCs/>
          <w:color w:val="auto"/>
          <w:sz w:val="28"/>
          <w:szCs w:val="28"/>
          <w:lang w:eastAsia="zh-CN"/>
        </w:rPr>
        <w:t>集电线路用地指标</w:t>
      </w:r>
    </w:p>
    <w:p>
      <w:pPr>
        <w:widowControl/>
        <w:spacing w:before="4" w:line="360" w:lineRule="auto"/>
        <w:ind w:leftChars="200" w:left="42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根据《</w:t>
      </w:r>
      <w:r>
        <w:rPr>
          <w:rFonts w:ascii="宋体" w:eastAsia="宋体" w:cs="宋体" w:hAnsi="宋体" w:hint="eastAsia"/>
          <w:color w:val="auto"/>
          <w:kern w:val="0"/>
          <w:sz w:val="28"/>
          <w:szCs w:val="28"/>
        </w:rPr>
        <w:t>电力工程项目建设用地指标(风电场)</w:t>
      </w:r>
      <w:r>
        <w:rPr>
          <w:rFonts w:ascii="宋体" w:eastAsia="宋体" w:cs="宋体" w:hAnsi="宋体" w:hint="eastAsia"/>
          <w:color w:val="auto"/>
          <w:kern w:val="0"/>
          <w:sz w:val="28"/>
          <w:szCs w:val="28"/>
          <w:lang w:eastAsia="zh-CN"/>
        </w:rPr>
        <w:t>》第</w:t>
      </w:r>
      <w:r>
        <w:rPr>
          <w:rFonts w:ascii="宋体" w:eastAsia="宋体" w:cs="宋体" w:hAnsi="宋体" w:hint="eastAsia"/>
          <w:color w:val="auto"/>
          <w:kern w:val="0"/>
          <w:sz w:val="28"/>
          <w:szCs w:val="28"/>
          <w:lang w:val="en-US" w:eastAsia="zh-CN"/>
        </w:rPr>
        <w:t>4.1.2条相关规定：风电场10kV、35kV集电线路采用直埋电缆敷设方式时，用地为临时用地，不计算在用地指标范围内</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本规划项目</w:t>
      </w:r>
      <w:r>
        <w:rPr>
          <w:rFonts w:ascii="宋体" w:eastAsia="宋体" w:cs="宋体" w:hAnsi="宋体" w:hint="eastAsia"/>
          <w:color w:val="auto"/>
          <w:kern w:val="0"/>
          <w:sz w:val="28"/>
          <w:szCs w:val="28"/>
          <w:lang w:val="en-US" w:eastAsia="zh-CN"/>
        </w:rPr>
        <w:t>35kV集电线路采用直埋电缆敷设方式，因此不计用地指标。</w:t>
      </w:r>
    </w:p>
    <w:p>
      <w:pPr>
        <w:pStyle w:val="17"/>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5.3.6 </w:t>
      </w:r>
      <w:r>
        <w:rPr>
          <w:rFonts w:hint="eastAsia"/>
          <w:b/>
          <w:bCs/>
          <w:color w:val="auto"/>
          <w:sz w:val="28"/>
          <w:szCs w:val="28"/>
        </w:rPr>
        <w:t>配电线路规划</w:t>
      </w:r>
    </w:p>
    <w:p>
      <w:pPr>
        <w:widowControl/>
        <w:spacing w:before="4" w:line="360" w:lineRule="auto"/>
        <w:ind w:left="420"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与本规划地块关联的风机与箱变采用一机一变单元接线，1</w:t>
      </w:r>
      <w:r>
        <w:rPr>
          <w:rFonts w:ascii="宋体" w:eastAsia="宋体" w:cs="宋体" w:hAnsi="宋体" w:hint="eastAsia"/>
          <w:color w:val="auto"/>
          <w:kern w:val="0"/>
          <w:sz w:val="28"/>
          <w:szCs w:val="28"/>
          <w:lang w:val="en-US" w:eastAsia="zh-CN"/>
        </w:rPr>
        <w:t>7</w:t>
      </w:r>
      <w:r>
        <w:rPr>
          <w:rFonts w:ascii="宋体" w:eastAsia="宋体" w:cs="宋体" w:hAnsi="宋体" w:hint="eastAsia"/>
          <w:color w:val="auto"/>
          <w:kern w:val="0"/>
          <w:sz w:val="28"/>
          <w:szCs w:val="28"/>
        </w:rPr>
        <w:t>台风机分别经箱变升压至37</w:t>
      </w:r>
      <w:r>
        <w:rPr>
          <w:rFonts w:ascii="宋体" w:eastAsia="宋体" w:cs="宋体" w:hAnsi="宋体" w:hint="eastAsia"/>
          <w:color w:val="auto"/>
          <w:kern w:val="0"/>
          <w:sz w:val="28"/>
          <w:szCs w:val="28"/>
          <w:lang w:eastAsia="zh-CN"/>
        </w:rPr>
        <w:t>kV</w:t>
      </w:r>
      <w:r>
        <w:rPr>
          <w:rFonts w:ascii="宋体" w:eastAsia="宋体" w:cs="宋体" w:hAnsi="宋体" w:hint="eastAsia"/>
          <w:color w:val="auto"/>
          <w:kern w:val="0"/>
          <w:sz w:val="28"/>
          <w:szCs w:val="28"/>
        </w:rPr>
        <w:t>，分2 回35</w:t>
      </w:r>
      <w:r>
        <w:rPr>
          <w:rFonts w:ascii="宋体" w:eastAsia="宋体" w:cs="宋体" w:hAnsi="宋体" w:hint="eastAsia"/>
          <w:color w:val="auto"/>
          <w:kern w:val="0"/>
          <w:sz w:val="28"/>
          <w:szCs w:val="28"/>
          <w:lang w:eastAsia="zh-CN"/>
        </w:rPr>
        <w:t>kV</w:t>
      </w:r>
      <w:r>
        <w:rPr>
          <w:rFonts w:ascii="宋体" w:eastAsia="宋体" w:cs="宋体" w:hAnsi="宋体" w:hint="eastAsia"/>
          <w:color w:val="auto"/>
          <w:kern w:val="0"/>
          <w:sz w:val="28"/>
          <w:szCs w:val="28"/>
        </w:rPr>
        <w:t>线路接入本地块风电场110</w:t>
      </w:r>
      <w:r>
        <w:rPr>
          <w:rFonts w:ascii="宋体" w:eastAsia="宋体" w:cs="宋体" w:hAnsi="宋体" w:hint="eastAsia"/>
          <w:color w:val="auto"/>
          <w:kern w:val="0"/>
          <w:sz w:val="28"/>
          <w:szCs w:val="28"/>
          <w:lang w:eastAsia="zh-CN"/>
        </w:rPr>
        <w:t>kV</w:t>
      </w:r>
      <w:r>
        <w:rPr>
          <w:rFonts w:ascii="宋体" w:eastAsia="宋体" w:cs="宋体" w:hAnsi="宋体" w:hint="eastAsia"/>
          <w:color w:val="auto"/>
          <w:kern w:val="0"/>
          <w:sz w:val="28"/>
          <w:szCs w:val="28"/>
        </w:rPr>
        <w:t>升压变电站35</w:t>
      </w:r>
      <w:r>
        <w:rPr>
          <w:rFonts w:ascii="宋体" w:eastAsia="宋体" w:cs="宋体" w:hAnsi="宋体" w:hint="eastAsia"/>
          <w:color w:val="auto"/>
          <w:kern w:val="0"/>
          <w:sz w:val="28"/>
          <w:szCs w:val="28"/>
          <w:lang w:eastAsia="zh-CN"/>
        </w:rPr>
        <w:t>kV</w:t>
      </w:r>
      <w:r>
        <w:rPr>
          <w:rFonts w:ascii="宋体" w:eastAsia="宋体" w:cs="宋体" w:hAnsi="宋体" w:hint="eastAsia"/>
          <w:color w:val="auto"/>
          <w:kern w:val="0"/>
          <w:sz w:val="28"/>
          <w:szCs w:val="28"/>
        </w:rPr>
        <w:t xml:space="preserve"> 母线侧。</w:t>
      </w:r>
      <w:r>
        <w:rPr>
          <w:rFonts w:ascii="宋体" w:eastAsia="宋体" w:cs="宋体" w:hAnsi="宋体"/>
          <w:color w:val="auto"/>
          <w:kern w:val="0"/>
          <w:sz w:val="28"/>
          <w:szCs w:val="28"/>
        </w:rPr>
        <w:t>以1 回110</w:t>
      </w:r>
      <w:r>
        <w:rPr>
          <w:rFonts w:ascii="宋体" w:eastAsia="宋体" w:cs="宋体" w:hAnsi="宋体" w:hint="eastAsia"/>
          <w:color w:val="auto"/>
          <w:kern w:val="0"/>
          <w:sz w:val="28"/>
          <w:szCs w:val="28"/>
          <w:lang w:eastAsia="zh-CN"/>
        </w:rPr>
        <w:t>kV</w:t>
      </w:r>
      <w:r>
        <w:rPr>
          <w:rFonts w:ascii="宋体" w:eastAsia="宋体" w:cs="宋体" w:hAnsi="宋体"/>
          <w:color w:val="auto"/>
          <w:kern w:val="0"/>
          <w:sz w:val="28"/>
          <w:szCs w:val="28"/>
        </w:rPr>
        <w:t>线路接</w:t>
      </w:r>
      <w:r>
        <w:rPr>
          <w:rFonts w:ascii="宋体" w:eastAsia="宋体" w:cs="宋体" w:hAnsi="宋体" w:hint="eastAsia"/>
          <w:color w:val="auto"/>
          <w:kern w:val="0"/>
          <w:sz w:val="28"/>
          <w:szCs w:val="28"/>
          <w:lang w:eastAsia="zh-CN"/>
        </w:rPr>
        <w:t>出至那前变电</w:t>
      </w:r>
      <w:r>
        <w:rPr>
          <w:rFonts w:ascii="宋体" w:eastAsia="宋体" w:cs="宋体" w:hAnsi="宋体"/>
          <w:color w:val="auto"/>
          <w:kern w:val="0"/>
          <w:sz w:val="28"/>
          <w:szCs w:val="28"/>
        </w:rPr>
        <w:t>站，线路长度约</w:t>
      </w:r>
      <w:r>
        <w:rPr>
          <w:rFonts w:ascii="宋体" w:eastAsia="宋体" w:cs="宋体" w:hAnsi="宋体" w:hint="eastAsia"/>
          <w:color w:val="auto"/>
          <w:kern w:val="0"/>
          <w:sz w:val="28"/>
          <w:szCs w:val="28"/>
          <w:lang w:val="en-US" w:eastAsia="zh-CN"/>
        </w:rPr>
        <w:t>8.6</w:t>
      </w:r>
      <w:r>
        <w:rPr>
          <w:rFonts w:ascii="宋体" w:eastAsia="宋体" w:cs="宋体" w:hAnsi="宋体"/>
          <w:color w:val="auto"/>
          <w:kern w:val="0"/>
          <w:sz w:val="28"/>
          <w:szCs w:val="28"/>
        </w:rPr>
        <w:t>km</w:t>
      </w:r>
      <w:r>
        <w:rPr>
          <w:rFonts w:ascii="宋体" w:eastAsia="宋体" w:cs="宋体" w:hAnsi="宋体" w:hint="eastAsia"/>
          <w:color w:val="auto"/>
          <w:kern w:val="0"/>
          <w:sz w:val="28"/>
          <w:szCs w:val="28"/>
        </w:rPr>
        <w:t>。</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52" w:name="_Toc15078"/>
      <w:r>
        <w:rPr>
          <w:rFonts w:ascii="宋体" w:eastAsia="宋体" w:cs="宋体" w:hAnsi="宋体" w:hint="eastAsia"/>
          <w:bCs/>
          <w:color w:val="auto"/>
          <w:sz w:val="32"/>
          <w:szCs w:val="32"/>
          <w:lang w:val="en-US" w:eastAsia="zh-CN"/>
        </w:rPr>
        <w:t>5.4通信工程规划</w:t>
      </w:r>
      <w:bookmarkEnd w:id="52"/>
    </w:p>
    <w:p>
      <w:pPr>
        <w:pStyle w:val="17"/>
        <w:autoSpaceDE w:val="0"/>
        <w:autoSpaceDN w:val="0"/>
        <w:spacing w:before="4" w:line="420" w:lineRule="auto"/>
        <w:ind w:left="118" w:right="351" w:firstLine="479"/>
        <w:rPr>
          <w:rFonts w:eastAsia="宋体" w:hint="eastAsia"/>
          <w:b/>
          <w:bCs/>
          <w:color w:val="auto"/>
          <w:sz w:val="28"/>
          <w:szCs w:val="28"/>
          <w:lang w:eastAsia="zh-CN"/>
        </w:rPr>
      </w:pPr>
      <w:r>
        <w:rPr>
          <w:rFonts w:hint="eastAsia"/>
          <w:b/>
          <w:bCs/>
          <w:color w:val="auto"/>
          <w:sz w:val="28"/>
          <w:szCs w:val="28"/>
          <w:lang w:val="en-US" w:eastAsia="zh-CN"/>
        </w:rPr>
        <w:t>5.4.1 自动化监控、</w:t>
      </w:r>
      <w:r>
        <w:rPr>
          <w:rFonts w:hint="eastAsia"/>
          <w:b/>
          <w:bCs/>
          <w:color w:val="auto"/>
          <w:sz w:val="28"/>
          <w:szCs w:val="28"/>
          <w:lang w:eastAsia="zh-CN"/>
        </w:rPr>
        <w:t>通信系统</w:t>
      </w:r>
    </w:p>
    <w:p>
      <w:pPr>
        <w:pStyle w:val="17"/>
        <w:autoSpaceDE w:val="0"/>
        <w:autoSpaceDN w:val="0"/>
        <w:spacing w:before="4" w:line="420" w:lineRule="auto"/>
        <w:ind w:left="118" w:right="351" w:firstLine="479"/>
        <w:rPr>
          <w:rFonts w:hint="eastAsia"/>
          <w:color w:val="auto"/>
          <w:lang w:val="en-US" w:eastAsia="zh-CN"/>
        </w:rPr>
      </w:pPr>
      <w:r>
        <w:rPr>
          <w:rFonts w:ascii="宋体" w:eastAsia="宋体" w:cs="宋体" w:hAnsi="宋体" w:hint="eastAsia"/>
          <w:color w:val="auto"/>
          <w:kern w:val="0"/>
          <w:sz w:val="28"/>
          <w:szCs w:val="28"/>
          <w:lang w:eastAsia="zh-CN"/>
        </w:rPr>
        <w:t>在工程中</w:t>
      </w:r>
      <w:r>
        <w:rPr>
          <w:rFonts w:cs="宋体" w:hint="eastAsia"/>
          <w:color w:val="auto"/>
          <w:kern w:val="0"/>
          <w:sz w:val="28"/>
          <w:szCs w:val="28"/>
          <w:lang w:eastAsia="zh-CN"/>
        </w:rPr>
        <w:t>规划设置</w:t>
      </w:r>
      <w:r>
        <w:rPr>
          <w:rFonts w:ascii="宋体" w:eastAsia="宋体" w:cs="宋体" w:hAnsi="宋体" w:hint="eastAsia"/>
          <w:color w:val="auto"/>
          <w:kern w:val="0"/>
          <w:sz w:val="28"/>
          <w:szCs w:val="28"/>
          <w:lang w:eastAsia="zh-CN"/>
        </w:rPr>
        <w:t>二套综合自动化系统，分别为风电场</w:t>
      </w:r>
      <w:r>
        <w:rPr>
          <w:rFonts w:cs="宋体" w:hint="eastAsia"/>
          <w:color w:val="auto"/>
          <w:kern w:val="0"/>
          <w:sz w:val="28"/>
          <w:szCs w:val="28"/>
          <w:lang w:eastAsia="zh-CN"/>
        </w:rPr>
        <w:t>风机</w:t>
      </w:r>
      <w:r>
        <w:rPr>
          <w:rFonts w:ascii="宋体" w:eastAsia="宋体" w:cs="宋体" w:hAnsi="宋体" w:hint="eastAsia"/>
          <w:color w:val="auto"/>
          <w:kern w:val="0"/>
          <w:sz w:val="28"/>
          <w:szCs w:val="28"/>
          <w:lang w:eastAsia="zh-CN"/>
        </w:rPr>
        <w:t>监控系统及升压站微机监控系统，具有保护、控制、通信、测量等功能，可实现风电场及升压站的全功能自动化管理及风电场与地调端的遥测、遥信功能和与风力发电有限公司总部的监测功能</w:t>
      </w:r>
      <w:r>
        <w:rPr>
          <w:rFonts w:cs="宋体" w:hint="eastAsia"/>
          <w:color w:val="auto"/>
          <w:kern w:val="0"/>
          <w:sz w:val="28"/>
          <w:szCs w:val="28"/>
          <w:lang w:eastAsia="zh-CN"/>
        </w:rPr>
        <w:t>。</w:t>
      </w:r>
    </w:p>
    <w:p>
      <w:pPr>
        <w:pStyle w:val="17"/>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5.4.2 </w:t>
      </w:r>
      <w:r>
        <w:rPr>
          <w:rFonts w:hint="eastAsia"/>
          <w:b/>
          <w:bCs/>
          <w:color w:val="auto"/>
          <w:sz w:val="28"/>
          <w:szCs w:val="28"/>
        </w:rPr>
        <w:t>固话容量预测</w:t>
      </w:r>
    </w:p>
    <w:p>
      <w:pPr>
        <w:widowControl/>
        <w:spacing w:before="4" w:line="360" w:lineRule="auto"/>
        <w:ind w:leftChars="200" w:left="420"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升压站</w:t>
      </w:r>
      <w:r>
        <w:rPr>
          <w:rFonts w:ascii="宋体" w:eastAsia="宋体" w:cs="宋体" w:hAnsi="宋体" w:hint="eastAsia"/>
          <w:color w:val="auto"/>
          <w:kern w:val="0"/>
          <w:sz w:val="28"/>
          <w:szCs w:val="28"/>
        </w:rPr>
        <w:t>地块为公用设施用地的供电用地，用地面积为3232.1431平方米，根据《钦州市城市规划技术标准与准则》（2015年版），固定通信用户预测采用分类用地固定通信用户密度法取值20线/hm²进行计算，则计得</w:t>
      </w:r>
      <w:r>
        <w:rPr>
          <w:rFonts w:ascii="宋体" w:eastAsia="宋体" w:cs="宋体" w:hAnsi="宋体" w:hint="eastAsia"/>
          <w:color w:val="auto"/>
          <w:kern w:val="0"/>
          <w:sz w:val="28"/>
          <w:szCs w:val="28"/>
          <w:lang w:eastAsia="zh-CN"/>
        </w:rPr>
        <w:t>升压站</w:t>
      </w:r>
      <w:r>
        <w:rPr>
          <w:rFonts w:ascii="宋体" w:eastAsia="宋体" w:cs="宋体" w:hAnsi="宋体" w:hint="eastAsia"/>
          <w:color w:val="auto"/>
          <w:kern w:val="0"/>
          <w:sz w:val="28"/>
          <w:szCs w:val="28"/>
        </w:rPr>
        <w:t>固话容量约</w:t>
      </w:r>
      <w:r>
        <w:rPr>
          <w:rFonts w:ascii="宋体" w:eastAsia="宋体" w:cs="宋体" w:hAnsi="宋体" w:hint="eastAsia"/>
          <w:color w:val="auto"/>
          <w:kern w:val="0"/>
          <w:sz w:val="28"/>
          <w:szCs w:val="28"/>
          <w:lang w:val="en-US" w:eastAsia="zh-CN"/>
        </w:rPr>
        <w:t>6</w:t>
      </w:r>
      <w:r>
        <w:rPr>
          <w:rFonts w:ascii="宋体" w:eastAsia="宋体" w:cs="宋体" w:hAnsi="宋体" w:hint="eastAsia"/>
          <w:color w:val="auto"/>
          <w:kern w:val="0"/>
          <w:sz w:val="28"/>
          <w:szCs w:val="28"/>
        </w:rPr>
        <w:t>门。</w:t>
      </w:r>
    </w:p>
    <w:p>
      <w:pPr>
        <w:pStyle w:val="17"/>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5.4.3 </w:t>
      </w:r>
      <w:r>
        <w:rPr>
          <w:rFonts w:hint="eastAsia"/>
          <w:b/>
          <w:bCs/>
          <w:color w:val="auto"/>
          <w:sz w:val="28"/>
          <w:szCs w:val="28"/>
          <w:lang w:eastAsia="zh-CN"/>
        </w:rPr>
        <w:t>通</w:t>
      </w:r>
      <w:r>
        <w:rPr>
          <w:rFonts w:hint="eastAsia"/>
          <w:b/>
          <w:bCs/>
          <w:color w:val="auto"/>
          <w:sz w:val="28"/>
          <w:szCs w:val="28"/>
        </w:rPr>
        <w:t>信管线规划</w:t>
      </w:r>
    </w:p>
    <w:p>
      <w:pPr>
        <w:widowControl/>
        <w:spacing w:before="4" w:line="360" w:lineRule="auto"/>
        <w:ind w:leftChars="200" w:left="420" w:right="351" w:firstLineChars="200" w:firstLine="560"/>
        <w:jc w:val="left"/>
        <w:rPr>
          <w:rFonts w:hint="eastAsia"/>
          <w:color w:val="auto"/>
        </w:rPr>
      </w:pPr>
      <w:r>
        <w:rPr>
          <w:rFonts w:ascii="宋体" w:eastAsia="宋体" w:cs="宋体" w:hAnsi="宋体" w:hint="eastAsia"/>
          <w:color w:val="auto"/>
          <w:kern w:val="0"/>
          <w:sz w:val="28"/>
          <w:szCs w:val="28"/>
        </w:rPr>
        <w:t>为保证重要变电站通信设备不间断供电，应根据通信设备的供电电源要求，设置通信专用的蓄电池组或由交流不停电电源供电。相同直流供电电压的通信设备宜由同一组蓄电池供电。当以专用蓄电池作为备用设备时，其容量宜按1h~3h 计算，组数为一组或两组(当为两组时，每组容量为总容量的50%)。</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53" w:name="_Toc3520"/>
      <w:r>
        <w:rPr>
          <w:rFonts w:ascii="宋体" w:eastAsia="宋体" w:cs="宋体" w:hAnsi="宋体" w:hint="eastAsia"/>
          <w:bCs/>
          <w:color w:val="auto"/>
          <w:sz w:val="32"/>
          <w:szCs w:val="32"/>
          <w:lang w:val="en-US" w:eastAsia="zh-CN"/>
        </w:rPr>
        <w:t>5.5环卫设施规划</w:t>
      </w:r>
      <w:bookmarkEnd w:id="53"/>
    </w:p>
    <w:p>
      <w:pPr>
        <w:pStyle w:val="17"/>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5.5.1 </w:t>
      </w:r>
      <w:r>
        <w:rPr>
          <w:rFonts w:hint="eastAsia"/>
          <w:b/>
          <w:bCs/>
          <w:color w:val="auto"/>
          <w:sz w:val="28"/>
          <w:szCs w:val="28"/>
          <w:lang w:eastAsia="zh-CN"/>
        </w:rPr>
        <w:t>生活产生垃圾量</w:t>
      </w:r>
      <w:r>
        <w:rPr>
          <w:rFonts w:hint="eastAsia"/>
          <w:b/>
          <w:bCs/>
          <w:color w:val="auto"/>
          <w:sz w:val="28"/>
          <w:szCs w:val="28"/>
        </w:rPr>
        <w:t>预测</w:t>
      </w:r>
    </w:p>
    <w:p>
      <w:pPr>
        <w:widowControl/>
        <w:spacing w:before="4" w:line="360" w:lineRule="auto"/>
        <w:ind w:leftChars="200" w:left="420"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参照相关研究成果，采用如下公式预测规划</w:t>
      </w:r>
      <w:r>
        <w:rPr>
          <w:rFonts w:ascii="宋体" w:eastAsia="宋体" w:cs="宋体" w:hAnsi="宋体" w:hint="eastAsia"/>
          <w:color w:val="auto"/>
          <w:kern w:val="0"/>
          <w:sz w:val="28"/>
          <w:szCs w:val="28"/>
          <w:lang w:eastAsia="zh-CN"/>
        </w:rPr>
        <w:t>地块</w:t>
      </w:r>
      <w:r>
        <w:rPr>
          <w:rFonts w:ascii="宋体" w:eastAsia="宋体" w:cs="宋体" w:hAnsi="宋体" w:hint="eastAsia"/>
          <w:color w:val="auto"/>
          <w:kern w:val="0"/>
          <w:sz w:val="28"/>
          <w:szCs w:val="28"/>
        </w:rPr>
        <w:t>的生活垃圾产生量：</w:t>
      </w:r>
    </w:p>
    <w:p>
      <w:pPr>
        <w:widowControl/>
        <w:spacing w:before="4" w:line="360" w:lineRule="auto"/>
        <w:ind w:leftChars="200" w:left="420"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GT=GR×M</w:t>
      </w:r>
    </w:p>
    <w:p>
      <w:pPr>
        <w:widowControl/>
        <w:spacing w:before="4" w:line="360" w:lineRule="auto"/>
        <w:ind w:leftChars="200" w:left="420"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式中：GT——生活垃圾产生量（吨／日）；</w:t>
      </w:r>
    </w:p>
    <w:p>
      <w:pPr>
        <w:widowControl/>
        <w:spacing w:before="4" w:line="360" w:lineRule="auto"/>
        <w:ind w:leftChars="200" w:left="420"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GR——生活垃圾人均产生量（kg／人·日），按</w:t>
      </w:r>
      <w:r>
        <w:rPr>
          <w:rFonts w:ascii="宋体" w:eastAsia="宋体" w:cs="宋体" w:hAnsi="宋体" w:hint="eastAsia"/>
          <w:color w:val="auto"/>
          <w:kern w:val="0"/>
          <w:sz w:val="28"/>
          <w:szCs w:val="28"/>
          <w:lang w:val="en-US" w:eastAsia="zh-CN"/>
        </w:rPr>
        <w:t>0.5</w:t>
      </w:r>
      <w:r>
        <w:rPr>
          <w:rFonts w:ascii="宋体" w:eastAsia="宋体" w:cs="宋体" w:hAnsi="宋体" w:hint="eastAsia"/>
          <w:color w:val="auto"/>
          <w:kern w:val="0"/>
          <w:sz w:val="28"/>
          <w:szCs w:val="28"/>
        </w:rPr>
        <w:t>kg／人·日取值；</w:t>
      </w:r>
    </w:p>
    <w:p>
      <w:pPr>
        <w:widowControl/>
        <w:spacing w:before="4" w:line="360" w:lineRule="auto"/>
        <w:ind w:leftChars="200" w:left="42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M——规划</w:t>
      </w:r>
      <w:r>
        <w:rPr>
          <w:rFonts w:ascii="宋体" w:eastAsia="宋体" w:cs="宋体" w:hAnsi="宋体" w:hint="eastAsia"/>
          <w:color w:val="auto"/>
          <w:kern w:val="0"/>
          <w:sz w:val="28"/>
          <w:szCs w:val="28"/>
          <w:lang w:eastAsia="zh-CN"/>
        </w:rPr>
        <w:t>地块人数</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参照</w:t>
      </w:r>
      <w:r>
        <w:rPr>
          <w:rFonts w:ascii="宋体" w:eastAsia="宋体" w:cs="宋体" w:hAnsi="宋体" w:hint="eastAsia"/>
          <w:color w:val="auto"/>
          <w:kern w:val="0"/>
          <w:sz w:val="28"/>
          <w:szCs w:val="28"/>
        </w:rPr>
        <w:t>《风电场工程设计导则》</w:t>
      </w:r>
      <w:r>
        <w:rPr>
          <w:rFonts w:ascii="宋体" w:eastAsia="宋体" w:cs="宋体" w:hAnsi="宋体" w:hint="eastAsia"/>
          <w:color w:val="auto"/>
          <w:kern w:val="0"/>
          <w:sz w:val="28"/>
          <w:szCs w:val="28"/>
          <w:lang w:eastAsia="zh-CN"/>
        </w:rPr>
        <w:t>风电企业定员测算表，总装机容量</w:t>
      </w:r>
      <w:r>
        <w:rPr>
          <w:rFonts w:ascii="宋体" w:eastAsia="宋体" w:cs="宋体" w:hAnsi="宋体" w:hint="eastAsia"/>
          <w:color w:val="auto"/>
          <w:kern w:val="0"/>
          <w:sz w:val="28"/>
          <w:szCs w:val="28"/>
          <w:lang w:val="en-US" w:eastAsia="zh-CN"/>
        </w:rPr>
        <w:t>50MW的</w:t>
      </w:r>
      <w:r>
        <w:rPr>
          <w:rFonts w:ascii="宋体" w:eastAsia="宋体" w:cs="宋体" w:hAnsi="宋体" w:hint="eastAsia"/>
          <w:color w:val="auto"/>
          <w:kern w:val="0"/>
          <w:sz w:val="28"/>
          <w:szCs w:val="28"/>
          <w:lang w:eastAsia="zh-CN"/>
        </w:rPr>
        <w:t>中型风电场，定员</w:t>
      </w:r>
      <w:r>
        <w:rPr>
          <w:rFonts w:ascii="宋体" w:eastAsia="宋体" w:cs="宋体" w:hAnsi="宋体" w:hint="eastAsia"/>
          <w:color w:val="auto"/>
          <w:kern w:val="0"/>
          <w:sz w:val="28"/>
          <w:szCs w:val="28"/>
        </w:rPr>
        <w:t>规模</w:t>
      </w:r>
      <w:r>
        <w:rPr>
          <w:rFonts w:ascii="宋体" w:eastAsia="宋体" w:cs="宋体" w:hAnsi="宋体" w:hint="eastAsia"/>
          <w:color w:val="auto"/>
          <w:kern w:val="0"/>
          <w:sz w:val="28"/>
          <w:szCs w:val="28"/>
          <w:lang w:eastAsia="zh-CN"/>
        </w:rPr>
        <w:t>约为</w:t>
      </w:r>
      <w:r>
        <w:rPr>
          <w:rFonts w:ascii="宋体" w:eastAsia="宋体" w:cs="宋体" w:hAnsi="宋体" w:hint="eastAsia"/>
          <w:color w:val="auto"/>
          <w:kern w:val="0"/>
          <w:sz w:val="28"/>
          <w:szCs w:val="28"/>
          <w:lang w:val="en-US" w:eastAsia="zh-CN"/>
        </w:rPr>
        <w:t>36</w:t>
      </w:r>
      <w:r>
        <w:rPr>
          <w:rFonts w:ascii="宋体" w:eastAsia="宋体" w:cs="宋体" w:hAnsi="宋体" w:hint="eastAsia"/>
          <w:color w:val="auto"/>
          <w:kern w:val="0"/>
          <w:sz w:val="28"/>
          <w:szCs w:val="28"/>
        </w:rPr>
        <w:t>人</w:t>
      </w:r>
      <w:r>
        <w:rPr>
          <w:rFonts w:ascii="宋体" w:eastAsia="宋体" w:cs="宋体" w:hAnsi="宋体" w:hint="eastAsia"/>
          <w:color w:val="auto"/>
          <w:kern w:val="0"/>
          <w:sz w:val="28"/>
          <w:szCs w:val="28"/>
          <w:lang w:eastAsia="zh-CN"/>
        </w:rPr>
        <w:t>，其中生产人员定员约</w:t>
      </w:r>
      <w:r>
        <w:rPr>
          <w:rFonts w:ascii="宋体" w:eastAsia="宋体" w:cs="宋体" w:hAnsi="宋体" w:hint="eastAsia"/>
          <w:color w:val="auto"/>
          <w:kern w:val="0"/>
          <w:sz w:val="28"/>
          <w:szCs w:val="28"/>
          <w:lang w:val="en-US" w:eastAsia="zh-CN"/>
        </w:rPr>
        <w:t>24人，管理人员定员约12人</w:t>
      </w:r>
      <w:r>
        <w:rPr>
          <w:rFonts w:ascii="宋体" w:eastAsia="宋体" w:cs="宋体" w:hAnsi="宋体" w:hint="eastAsia"/>
          <w:color w:val="auto"/>
          <w:kern w:val="0"/>
          <w:sz w:val="28"/>
          <w:szCs w:val="28"/>
          <w:lang w:eastAsia="zh-CN"/>
        </w:rPr>
        <w:t>。</w:t>
      </w:r>
    </w:p>
    <w:p>
      <w:pPr>
        <w:widowControl/>
        <w:spacing w:before="4" w:line="360" w:lineRule="auto"/>
        <w:ind w:leftChars="200" w:left="420"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按以上方式，预测</w:t>
      </w:r>
      <w:r>
        <w:rPr>
          <w:rFonts w:ascii="宋体" w:eastAsia="宋体" w:cs="宋体" w:hAnsi="宋体" w:hint="eastAsia"/>
          <w:color w:val="auto"/>
          <w:kern w:val="0"/>
          <w:sz w:val="28"/>
          <w:szCs w:val="28"/>
          <w:lang w:eastAsia="zh-CN"/>
        </w:rPr>
        <w:t>本项目场区</w:t>
      </w:r>
      <w:r>
        <w:rPr>
          <w:rFonts w:ascii="宋体" w:eastAsia="宋体" w:cs="宋体" w:hAnsi="宋体" w:hint="eastAsia"/>
          <w:color w:val="auto"/>
          <w:kern w:val="0"/>
          <w:sz w:val="28"/>
          <w:szCs w:val="28"/>
        </w:rPr>
        <w:t>生活垃圾量为</w:t>
      </w:r>
      <w:r>
        <w:rPr>
          <w:rFonts w:ascii="宋体" w:eastAsia="宋体" w:cs="宋体" w:hAnsi="宋体" w:hint="eastAsia"/>
          <w:color w:val="auto"/>
          <w:kern w:val="0"/>
          <w:sz w:val="28"/>
          <w:szCs w:val="28"/>
          <w:lang w:val="en-US" w:eastAsia="zh-CN"/>
        </w:rPr>
        <w:t>18</w:t>
      </w:r>
      <w:r>
        <w:rPr>
          <w:rFonts w:ascii="宋体" w:eastAsia="宋体" w:cs="宋体" w:hAnsi="宋体" w:hint="eastAsia"/>
          <w:color w:val="auto"/>
          <w:kern w:val="0"/>
          <w:sz w:val="28"/>
          <w:szCs w:val="28"/>
        </w:rPr>
        <w:t>kg／日。</w:t>
      </w:r>
    </w:p>
    <w:p>
      <w:pPr>
        <w:widowControl/>
        <w:spacing w:before="4" w:line="360" w:lineRule="auto"/>
        <w:ind w:leftChars="200" w:left="420" w:right="351" w:firstLineChars="200" w:firstLine="560"/>
        <w:jc w:val="left"/>
        <w:rPr>
          <w:rFonts w:ascii="宋体" w:eastAsia="宋体" w:cs="宋体" w:hAnsi="宋体" w:hint="eastAsia"/>
          <w:color w:val="auto"/>
          <w:kern w:val="0"/>
          <w:sz w:val="28"/>
          <w:szCs w:val="28"/>
        </w:rPr>
      </w:pPr>
    </w:p>
    <w:p>
      <w:pPr>
        <w:widowControl/>
        <w:spacing w:before="4" w:line="360" w:lineRule="auto"/>
        <w:ind w:leftChars="200" w:left="420" w:right="351" w:firstLineChars="200" w:firstLine="560"/>
        <w:jc w:val="left"/>
        <w:rPr>
          <w:rFonts w:ascii="宋体" w:eastAsia="宋体" w:cs="宋体" w:hAnsi="宋体" w:hint="eastAsia"/>
          <w:color w:val="auto"/>
          <w:kern w:val="0"/>
          <w:sz w:val="28"/>
          <w:szCs w:val="28"/>
        </w:rPr>
      </w:pPr>
    </w:p>
    <w:p>
      <w:pPr>
        <w:pStyle w:val="27"/>
        <w:rPr>
          <w:rFonts w:hint="eastAsia"/>
          <w:color w:val="auto"/>
        </w:rPr>
      </w:pPr>
    </w:p>
    <w:p>
      <w:pPr>
        <w:pStyle w:val="17"/>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5.5.2 </w:t>
      </w:r>
      <w:r>
        <w:rPr>
          <w:rFonts w:hint="eastAsia"/>
          <w:b/>
          <w:bCs/>
          <w:color w:val="auto"/>
          <w:sz w:val="28"/>
          <w:szCs w:val="28"/>
          <w:lang w:eastAsia="zh-CN"/>
        </w:rPr>
        <w:t>垃圾转运系统</w:t>
      </w:r>
    </w:p>
    <w:p>
      <w:pPr>
        <w:widowControl/>
        <w:spacing w:before="4" w:line="360" w:lineRule="auto"/>
        <w:ind w:leftChars="200" w:left="420" w:right="351" w:firstLineChars="200" w:firstLine="560"/>
        <w:jc w:val="left"/>
        <w:rPr>
          <w:rFonts w:hint="eastAsia"/>
          <w:color w:val="auto"/>
        </w:rPr>
      </w:pPr>
      <w:r>
        <w:rPr>
          <w:rFonts w:ascii="宋体" w:eastAsia="宋体" w:cs="宋体" w:hAnsi="宋体" w:hint="eastAsia"/>
          <w:color w:val="auto"/>
          <w:kern w:val="0"/>
          <w:sz w:val="28"/>
          <w:szCs w:val="28"/>
        </w:rPr>
        <w:t>建立垃圾收集点--》垃圾转运站--》无害化垃圾处理场的收集处理体系。</w:t>
      </w:r>
      <w:r>
        <w:rPr>
          <w:rFonts w:ascii="宋体" w:eastAsia="宋体" w:cs="宋体" w:hAnsi="宋体" w:hint="eastAsia"/>
          <w:color w:val="auto"/>
          <w:kern w:val="0"/>
          <w:sz w:val="28"/>
          <w:szCs w:val="28"/>
          <w:lang w:eastAsia="zh-CN"/>
        </w:rPr>
        <w:t>规划在升压站地块内设置垃圾收集池，在风电机组地块内设置垃圾箱，风电场维护的工作人员</w:t>
      </w:r>
      <w:r>
        <w:rPr>
          <w:rFonts w:ascii="宋体" w:eastAsia="宋体" w:cs="宋体" w:hAnsi="宋体" w:hint="eastAsia"/>
          <w:color w:val="auto"/>
          <w:kern w:val="0"/>
          <w:sz w:val="28"/>
          <w:szCs w:val="28"/>
        </w:rPr>
        <w:t>把</w:t>
      </w:r>
      <w:r>
        <w:rPr>
          <w:rFonts w:ascii="宋体" w:eastAsia="宋体" w:cs="宋体" w:hAnsi="宋体" w:hint="eastAsia"/>
          <w:color w:val="auto"/>
          <w:kern w:val="0"/>
          <w:sz w:val="28"/>
          <w:szCs w:val="28"/>
          <w:lang w:eastAsia="zh-CN"/>
        </w:rPr>
        <w:t>日常生活</w:t>
      </w:r>
      <w:r>
        <w:rPr>
          <w:rFonts w:ascii="宋体" w:eastAsia="宋体" w:cs="宋体" w:hAnsi="宋体" w:hint="eastAsia"/>
          <w:color w:val="auto"/>
          <w:kern w:val="0"/>
          <w:sz w:val="28"/>
          <w:szCs w:val="28"/>
        </w:rPr>
        <w:t>垃圾集中在垃圾收集</w:t>
      </w:r>
      <w:r>
        <w:rPr>
          <w:rFonts w:ascii="宋体" w:eastAsia="宋体" w:cs="宋体" w:hAnsi="宋体" w:hint="eastAsia"/>
          <w:color w:val="auto"/>
          <w:kern w:val="0"/>
          <w:sz w:val="28"/>
          <w:szCs w:val="28"/>
          <w:lang w:eastAsia="zh-CN"/>
        </w:rPr>
        <w:t>池或垃圾箱内</w:t>
      </w:r>
      <w:r>
        <w:rPr>
          <w:rFonts w:ascii="宋体" w:eastAsia="宋体" w:cs="宋体" w:hAnsi="宋体" w:hint="eastAsia"/>
          <w:color w:val="auto"/>
          <w:kern w:val="0"/>
          <w:sz w:val="28"/>
          <w:szCs w:val="28"/>
        </w:rPr>
        <w:t>，由环卫工人用人力车或者机动车统一收集后运至</w:t>
      </w:r>
      <w:r>
        <w:rPr>
          <w:rFonts w:ascii="宋体" w:eastAsia="宋体" w:cs="宋体" w:hAnsi="宋体" w:hint="eastAsia"/>
          <w:color w:val="auto"/>
          <w:kern w:val="0"/>
          <w:sz w:val="28"/>
          <w:szCs w:val="28"/>
          <w:lang w:eastAsia="zh-CN"/>
        </w:rPr>
        <w:t>大寺镇或大直镇</w:t>
      </w:r>
      <w:r>
        <w:rPr>
          <w:rFonts w:ascii="宋体" w:eastAsia="宋体" w:cs="宋体" w:hAnsi="宋体" w:hint="eastAsia"/>
          <w:color w:val="auto"/>
          <w:kern w:val="0"/>
          <w:sz w:val="28"/>
          <w:szCs w:val="28"/>
        </w:rPr>
        <w:t>垃圾转运站，垃圾转运站把垃圾压缩后密闭化运输至钦州市垃圾处理中心进行无害化处理。</w:t>
      </w:r>
    </w:p>
    <w:p>
      <w:pPr>
        <w:pStyle w:val="1"/>
        <w:numPr>
          <w:ilvl w:val="0"/>
          <w:numId w:val="0"/>
        </w:numPr>
        <w:spacing w:before="260" w:line="360" w:lineRule="auto"/>
        <w:ind w:left="420" w:right="351"/>
        <w:jc w:val="center"/>
        <w:rPr>
          <w:rFonts w:ascii="宋体" w:eastAsia="宋体" w:cs="宋体" w:hAnsi="宋体"/>
          <w:bCs/>
          <w:color w:val="auto"/>
          <w:sz w:val="32"/>
          <w:szCs w:val="32"/>
        </w:rPr>
      </w:pPr>
      <w:bookmarkStart w:id="54" w:name="_Toc29281"/>
      <w:r>
        <w:rPr>
          <w:rFonts w:ascii="宋体" w:eastAsia="宋体" w:cs="宋体" w:hAnsi="宋体" w:hint="eastAsia"/>
          <w:bCs/>
          <w:color w:val="auto"/>
          <w:sz w:val="32"/>
          <w:szCs w:val="32"/>
          <w:lang w:eastAsia="zh-CN"/>
        </w:rPr>
        <w:t>第六章</w:t>
      </w:r>
      <w:r>
        <w:rPr>
          <w:rFonts w:ascii="宋体" w:eastAsia="宋体" w:cs="宋体" w:hAnsi="宋体" w:hint="eastAsia"/>
          <w:bCs/>
          <w:color w:val="auto"/>
          <w:sz w:val="32"/>
          <w:szCs w:val="32"/>
          <w:lang w:val="en-US" w:eastAsia="zh-CN"/>
        </w:rPr>
        <w:t xml:space="preserve"> </w:t>
      </w:r>
      <w:r>
        <w:rPr>
          <w:rFonts w:ascii="宋体" w:eastAsia="宋体" w:cs="宋体" w:hAnsi="宋体" w:hint="eastAsia"/>
          <w:bCs/>
          <w:color w:val="auto"/>
          <w:sz w:val="32"/>
          <w:szCs w:val="32"/>
        </w:rPr>
        <w:t>综合防灾规划</w:t>
      </w:r>
      <w:bookmarkEnd w:id="54"/>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55" w:name="_Toc30560"/>
      <w:r>
        <w:rPr>
          <w:rFonts w:ascii="宋体" w:eastAsia="宋体" w:cs="宋体" w:hAnsi="宋体" w:hint="eastAsia"/>
          <w:bCs/>
          <w:color w:val="auto"/>
          <w:sz w:val="32"/>
          <w:szCs w:val="32"/>
          <w:lang w:val="en-US" w:eastAsia="zh-CN"/>
        </w:rPr>
        <w:t>6.1消防规划</w:t>
      </w:r>
      <w:bookmarkEnd w:id="55"/>
    </w:p>
    <w:p>
      <w:pPr>
        <w:pStyle w:val="17"/>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6.1.</w:t>
      </w:r>
      <w:r>
        <w:rPr>
          <w:rFonts w:hint="eastAsia"/>
          <w:b/>
          <w:bCs/>
          <w:color w:val="auto"/>
          <w:sz w:val="28"/>
          <w:szCs w:val="28"/>
          <w:lang w:val="en-US"/>
        </w:rPr>
        <w:t>1</w:t>
      </w:r>
      <w:r>
        <w:rPr>
          <w:rFonts w:hint="eastAsia"/>
          <w:b/>
          <w:bCs/>
          <w:color w:val="auto"/>
          <w:sz w:val="28"/>
          <w:szCs w:val="28"/>
          <w:lang w:val="en-US" w:eastAsia="zh-CN"/>
        </w:rPr>
        <w:t xml:space="preserve"> </w:t>
      </w:r>
      <w:r>
        <w:rPr>
          <w:rFonts w:hint="eastAsia"/>
          <w:b/>
          <w:bCs/>
          <w:color w:val="auto"/>
          <w:sz w:val="28"/>
          <w:szCs w:val="28"/>
        </w:rPr>
        <w:t>规划依据</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（1）《中华人民共和国消防法》（</w:t>
      </w:r>
      <w:r>
        <w:rPr>
          <w:rFonts w:ascii="宋体" w:eastAsia="宋体" w:cs="宋体" w:hAnsi="宋体"/>
          <w:color w:val="auto"/>
          <w:kern w:val="0"/>
          <w:sz w:val="28"/>
          <w:szCs w:val="28"/>
        </w:rPr>
        <w:t>2019年修订）</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（2）《城市消防站建设标准》（建标152-2011）</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（3）《建筑设计防火规范》（GB50016-2014）（2018年版）</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4</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《建筑防火通用规范》</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GB55037-2022</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5</w:t>
      </w:r>
      <w:r>
        <w:rPr>
          <w:rFonts w:ascii="宋体" w:eastAsia="宋体" w:cs="宋体" w:hAnsi="宋体" w:hint="eastAsia"/>
          <w:color w:val="auto"/>
          <w:kern w:val="0"/>
          <w:sz w:val="28"/>
          <w:szCs w:val="28"/>
        </w:rPr>
        <w:t>）《风电场设计防火规范》NB31089-2016</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6</w:t>
      </w:r>
      <w:r>
        <w:rPr>
          <w:rFonts w:ascii="宋体" w:eastAsia="宋体" w:cs="宋体" w:hAnsi="宋体" w:hint="eastAsia"/>
          <w:color w:val="auto"/>
          <w:kern w:val="0"/>
          <w:sz w:val="28"/>
          <w:szCs w:val="28"/>
          <w:lang w:eastAsia="zh-CN"/>
        </w:rPr>
        <w:t>）《35kV</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110kV变电站设计规范》GB50059</w:t>
      </w:r>
      <w:r>
        <w:rPr>
          <w:rFonts w:ascii="宋体" w:eastAsia="宋体" w:cs="宋体" w:hAnsi="宋体" w:hint="eastAsia"/>
          <w:color w:val="auto"/>
          <w:kern w:val="0"/>
          <w:sz w:val="28"/>
          <w:szCs w:val="28"/>
          <w:lang w:val="en-US" w:eastAsia="zh-CN"/>
        </w:rPr>
        <w:t>-2011</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7</w:t>
      </w:r>
      <w:r>
        <w:rPr>
          <w:rFonts w:ascii="宋体" w:eastAsia="宋体" w:cs="宋体" w:hAnsi="宋体" w:hint="eastAsia"/>
          <w:color w:val="auto"/>
          <w:kern w:val="0"/>
          <w:sz w:val="28"/>
          <w:szCs w:val="28"/>
        </w:rPr>
        <w:t>）《火力发电厂与变电站设计防火规范》GB50229-2006</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8</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《电力工程电缆设计</w:t>
      </w:r>
      <w:r>
        <w:rPr>
          <w:rFonts w:ascii="宋体" w:eastAsia="宋体" w:cs="宋体" w:hAnsi="宋体" w:hint="eastAsia"/>
          <w:color w:val="auto"/>
          <w:kern w:val="0"/>
          <w:sz w:val="28"/>
          <w:szCs w:val="28"/>
          <w:lang w:eastAsia="zh-CN"/>
        </w:rPr>
        <w:t>标准</w:t>
      </w:r>
      <w:r>
        <w:rPr>
          <w:rFonts w:ascii="宋体" w:eastAsia="宋体" w:cs="宋体" w:hAnsi="宋体" w:hint="eastAsia"/>
          <w:color w:val="auto"/>
          <w:kern w:val="0"/>
          <w:sz w:val="28"/>
          <w:szCs w:val="28"/>
        </w:rPr>
        <w:t>》GB50217-2018</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9</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《建筑灭火器配置设计规范》GB50140-2005。</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p>
    <w:p>
      <w:pPr>
        <w:pStyle w:val="17"/>
        <w:widowControl/>
        <w:autoSpaceDE w:val="0"/>
        <w:autoSpaceDN w:val="0"/>
        <w:spacing w:before="4" w:line="420" w:lineRule="auto"/>
        <w:ind w:left="118" w:right="351" w:firstLineChars="200" w:firstLine="560"/>
        <w:jc w:val="left"/>
        <w:rPr>
          <w:color w:val="auto"/>
          <w:kern w:val="0"/>
          <w:sz w:val="28"/>
          <w:szCs w:val="28"/>
        </w:rPr>
      </w:pPr>
      <w:r>
        <w:rPr>
          <w:rFonts w:hint="eastAsia"/>
          <w:b/>
          <w:bCs/>
          <w:color w:val="auto"/>
          <w:sz w:val="28"/>
          <w:szCs w:val="28"/>
          <w:lang w:val="en-US" w:eastAsia="zh-CN"/>
        </w:rPr>
        <w:t xml:space="preserve">6.1.2 </w:t>
      </w:r>
      <w:r>
        <w:rPr>
          <w:rFonts w:hint="eastAsia"/>
          <w:b/>
          <w:bCs/>
          <w:color w:val="auto"/>
          <w:sz w:val="28"/>
          <w:szCs w:val="28"/>
        </w:rPr>
        <w:t>规划原则</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（1）贯彻“预防为主、防消结合”的消防工作方针，做到防患于未“燃”。严格按照规程规范的要求设计，采取“一防、二断、三灭、四排”的综合消防技术措施。</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（2）工程消防设计与总平面布置统筹考虑，保证消防车道、防火间距、安全出口等各项要求。</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（3）规划地块应合理划分防火分区。新建筑按照一、二级耐火等级设计，建筑防火间距符合《建筑设计防火规范》（GB50016-2014）（2018年版）的要求。</w:t>
      </w:r>
    </w:p>
    <w:p>
      <w:pPr>
        <w:pStyle w:val="17"/>
        <w:widowControl/>
        <w:autoSpaceDE w:val="0"/>
        <w:autoSpaceDN w:val="0"/>
        <w:spacing w:before="4" w:line="420" w:lineRule="auto"/>
        <w:ind w:left="118" w:right="351" w:firstLineChars="200" w:firstLine="560"/>
        <w:jc w:val="left"/>
        <w:rPr>
          <w:color w:val="auto"/>
          <w:kern w:val="0"/>
          <w:sz w:val="28"/>
          <w:szCs w:val="28"/>
        </w:rPr>
      </w:pPr>
      <w:r>
        <w:rPr>
          <w:rFonts w:hint="eastAsia"/>
          <w:b/>
          <w:bCs/>
          <w:color w:val="auto"/>
          <w:sz w:val="28"/>
          <w:szCs w:val="28"/>
          <w:lang w:val="en-US" w:eastAsia="zh-CN"/>
        </w:rPr>
        <w:t xml:space="preserve">6.1.3 </w:t>
      </w:r>
      <w:r>
        <w:rPr>
          <w:rFonts w:hint="eastAsia"/>
          <w:b/>
          <w:bCs/>
          <w:color w:val="auto"/>
          <w:sz w:val="28"/>
          <w:szCs w:val="28"/>
        </w:rPr>
        <w:t>消防</w:t>
      </w:r>
      <w:r>
        <w:rPr>
          <w:rFonts w:hint="eastAsia"/>
          <w:b/>
          <w:bCs/>
          <w:color w:val="auto"/>
          <w:sz w:val="28"/>
          <w:szCs w:val="28"/>
          <w:lang w:eastAsia="zh-CN"/>
        </w:rPr>
        <w:t>总体</w:t>
      </w:r>
      <w:r>
        <w:rPr>
          <w:rFonts w:hint="eastAsia"/>
          <w:b/>
          <w:bCs/>
          <w:color w:val="auto"/>
          <w:sz w:val="28"/>
          <w:szCs w:val="28"/>
        </w:rPr>
        <w:t>布局规划</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规划风电场内配备1～2名工作人员兼职消防人员，初期火灾由站内兼职消防人员自行组织灭火，同时通知当地消防队支援共同扑灭火灾。消防总体设计采用综合消防技术措施，从防火、监测、报警、控制、灭火、排烟、逃生等各方面入手，力争减少火灾发生的可能性，一旦火灾发生也能在短时间内予以扑灭，使损失减少到最低，同时确保火灾时人员的安全疏散。</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本风电场项目</w:t>
      </w:r>
      <w:r>
        <w:rPr>
          <w:rFonts w:ascii="宋体" w:eastAsia="宋体" w:cs="宋体" w:hAnsi="宋体" w:hint="eastAsia"/>
          <w:color w:val="auto"/>
          <w:kern w:val="0"/>
          <w:sz w:val="28"/>
          <w:szCs w:val="28"/>
        </w:rPr>
        <w:t>地块</w:t>
      </w:r>
      <w:r>
        <w:rPr>
          <w:rFonts w:ascii="宋体" w:eastAsia="宋体" w:cs="宋体" w:hAnsi="宋体" w:hint="eastAsia"/>
          <w:color w:val="auto"/>
          <w:kern w:val="0"/>
          <w:sz w:val="28"/>
          <w:szCs w:val="28"/>
          <w:lang w:eastAsia="zh-CN"/>
        </w:rPr>
        <w:t>分布于大寺镇与大直镇行政交界处区域，大寺镇和大直镇镇区距场地的对外交通出入口均</w:t>
      </w:r>
      <w:r>
        <w:rPr>
          <w:rFonts w:ascii="宋体" w:eastAsia="宋体" w:cs="宋体" w:hAnsi="宋体" w:hint="eastAsia"/>
          <w:color w:val="auto"/>
          <w:kern w:val="0"/>
          <w:sz w:val="28"/>
          <w:szCs w:val="28"/>
        </w:rPr>
        <w:t>较近，</w:t>
      </w:r>
      <w:r>
        <w:rPr>
          <w:rFonts w:ascii="宋体" w:eastAsia="宋体" w:cs="宋体" w:hAnsi="宋体" w:hint="eastAsia"/>
          <w:color w:val="auto"/>
          <w:kern w:val="0"/>
          <w:sz w:val="28"/>
          <w:szCs w:val="28"/>
          <w:lang w:eastAsia="zh-CN"/>
        </w:rPr>
        <w:t>场区中心</w:t>
      </w:r>
      <w:r>
        <w:rPr>
          <w:rFonts w:ascii="宋体" w:eastAsia="宋体" w:cs="宋体" w:hAnsi="宋体" w:hint="eastAsia"/>
          <w:color w:val="auto"/>
          <w:kern w:val="0"/>
          <w:sz w:val="28"/>
          <w:szCs w:val="28"/>
        </w:rPr>
        <w:t>距</w:t>
      </w:r>
      <w:r>
        <w:rPr>
          <w:rFonts w:ascii="宋体" w:eastAsia="宋体" w:cs="宋体" w:hAnsi="宋体" w:hint="eastAsia"/>
          <w:color w:val="auto"/>
          <w:kern w:val="0"/>
          <w:sz w:val="28"/>
          <w:szCs w:val="28"/>
          <w:lang w:eastAsia="zh-CN"/>
        </w:rPr>
        <w:t>大寺</w:t>
      </w:r>
      <w:r>
        <w:rPr>
          <w:rFonts w:ascii="宋体" w:eastAsia="宋体" w:cs="宋体" w:hAnsi="宋体" w:hint="eastAsia"/>
          <w:color w:val="auto"/>
          <w:kern w:val="0"/>
          <w:sz w:val="28"/>
          <w:szCs w:val="28"/>
        </w:rPr>
        <w:t>镇区直线距离约</w:t>
      </w:r>
      <w:r>
        <w:rPr>
          <w:rFonts w:ascii="宋体" w:eastAsia="宋体" w:cs="宋体" w:hAnsi="宋体" w:hint="eastAsia"/>
          <w:color w:val="auto"/>
          <w:kern w:val="0"/>
          <w:sz w:val="28"/>
          <w:szCs w:val="28"/>
          <w:lang w:val="en-US" w:eastAsia="zh-CN"/>
        </w:rPr>
        <w:t>7</w:t>
      </w:r>
      <w:r>
        <w:rPr>
          <w:rFonts w:ascii="宋体" w:eastAsia="宋体" w:cs="宋体" w:hAnsi="宋体" w:hint="eastAsia"/>
          <w:color w:val="auto"/>
          <w:kern w:val="0"/>
          <w:sz w:val="28"/>
          <w:szCs w:val="28"/>
        </w:rPr>
        <w:t>公里，</w:t>
      </w:r>
      <w:r>
        <w:rPr>
          <w:rFonts w:ascii="宋体" w:eastAsia="宋体" w:cs="宋体" w:hAnsi="宋体" w:hint="eastAsia"/>
          <w:color w:val="auto"/>
          <w:kern w:val="0"/>
          <w:sz w:val="28"/>
          <w:szCs w:val="28"/>
          <w:lang w:eastAsia="zh-CN"/>
        </w:rPr>
        <w:t>距大直镇直线距离约</w:t>
      </w:r>
      <w:r>
        <w:rPr>
          <w:rFonts w:ascii="宋体" w:eastAsia="宋体" w:cs="宋体" w:hAnsi="宋体" w:hint="eastAsia"/>
          <w:color w:val="auto"/>
          <w:kern w:val="0"/>
          <w:sz w:val="28"/>
          <w:szCs w:val="28"/>
          <w:lang w:val="en-US" w:eastAsia="zh-CN"/>
        </w:rPr>
        <w:t>8公里。</w:t>
      </w:r>
      <w:r>
        <w:rPr>
          <w:rFonts w:ascii="宋体" w:eastAsia="宋体" w:cs="宋体" w:hAnsi="宋体" w:hint="eastAsia"/>
          <w:color w:val="auto"/>
          <w:kern w:val="0"/>
          <w:sz w:val="28"/>
          <w:szCs w:val="28"/>
        </w:rPr>
        <w:t>当</w:t>
      </w:r>
      <w:r>
        <w:rPr>
          <w:rFonts w:ascii="宋体" w:eastAsia="宋体" w:cs="宋体" w:hAnsi="宋体" w:hint="eastAsia"/>
          <w:color w:val="auto"/>
          <w:kern w:val="0"/>
          <w:sz w:val="28"/>
          <w:szCs w:val="28"/>
          <w:lang w:eastAsia="zh-CN"/>
        </w:rPr>
        <w:t>本项目</w:t>
      </w:r>
      <w:r>
        <w:rPr>
          <w:rFonts w:ascii="宋体" w:eastAsia="宋体" w:cs="宋体" w:hAnsi="宋体" w:hint="eastAsia"/>
          <w:color w:val="auto"/>
          <w:kern w:val="0"/>
          <w:sz w:val="28"/>
          <w:szCs w:val="28"/>
        </w:rPr>
        <w:t>地块发生火灾时，</w:t>
      </w:r>
      <w:r>
        <w:rPr>
          <w:rFonts w:ascii="宋体" w:eastAsia="宋体" w:cs="宋体" w:hAnsi="宋体" w:hint="eastAsia"/>
          <w:color w:val="auto"/>
          <w:kern w:val="0"/>
          <w:sz w:val="28"/>
          <w:szCs w:val="28"/>
          <w:lang w:eastAsia="zh-CN"/>
        </w:rPr>
        <w:t>在启用本项目的消防设施的同时</w:t>
      </w:r>
      <w:r>
        <w:rPr>
          <w:rFonts w:ascii="宋体" w:eastAsia="宋体" w:cs="宋体" w:hAnsi="宋体" w:hint="eastAsia"/>
          <w:color w:val="auto"/>
          <w:kern w:val="0"/>
          <w:sz w:val="28"/>
          <w:szCs w:val="28"/>
        </w:rPr>
        <w:t>借助社会消防力量，快速到达火场</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p>
    <w:p>
      <w:pPr>
        <w:pStyle w:val="17"/>
        <w:autoSpaceDE w:val="0"/>
        <w:autoSpaceDN w:val="0"/>
        <w:spacing w:before="4" w:line="420" w:lineRule="auto"/>
        <w:ind w:left="118" w:right="351" w:firstLineChars="200" w:firstLine="560"/>
        <w:rPr>
          <w:rFonts w:eastAsia="宋体" w:hint="eastAsia"/>
          <w:color w:val="auto"/>
          <w:kern w:val="0"/>
          <w:sz w:val="28"/>
          <w:szCs w:val="28"/>
          <w:lang w:val="en-US" w:eastAsia="zh-CN"/>
        </w:rPr>
      </w:pPr>
      <w:r>
        <w:rPr>
          <w:rFonts w:hint="eastAsia"/>
          <w:b/>
          <w:bCs/>
          <w:color w:val="auto"/>
          <w:sz w:val="28"/>
          <w:szCs w:val="28"/>
          <w:lang w:val="en-US" w:eastAsia="zh-CN"/>
        </w:rPr>
        <w:t xml:space="preserve">6.1.4 </w:t>
      </w:r>
      <w:r>
        <w:rPr>
          <w:rFonts w:hint="eastAsia"/>
          <w:b/>
          <w:bCs/>
          <w:color w:val="auto"/>
          <w:sz w:val="28"/>
          <w:szCs w:val="28"/>
        </w:rPr>
        <w:t>主要生产场所及机电设备消防</w:t>
      </w:r>
      <w:r>
        <w:rPr>
          <w:rFonts w:hint="eastAsia"/>
          <w:b/>
          <w:bCs/>
          <w:color w:val="auto"/>
          <w:sz w:val="28"/>
          <w:szCs w:val="28"/>
          <w:lang w:eastAsia="zh-CN"/>
        </w:rPr>
        <w:t>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lang w:eastAsia="zh-CN"/>
        </w:rPr>
        <w:t>）主要场所消防措施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根据《35kV</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110kV变电站设计规范》GB50059、</w:t>
      </w:r>
      <w:r>
        <w:rPr>
          <w:rFonts w:ascii="宋体" w:eastAsia="宋体" w:cs="宋体" w:hAnsi="宋体" w:hint="eastAsia"/>
          <w:color w:val="auto"/>
          <w:kern w:val="0"/>
          <w:sz w:val="28"/>
          <w:szCs w:val="28"/>
        </w:rPr>
        <w:t>《火力发电厂与变电站设计防火规范》GB50229</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《风电场设计防火规范》NB31089</w:t>
      </w:r>
      <w:r>
        <w:rPr>
          <w:rFonts w:ascii="宋体" w:eastAsia="宋体" w:cs="宋体" w:hAnsi="宋体" w:hint="eastAsia"/>
          <w:color w:val="auto"/>
          <w:kern w:val="0"/>
          <w:sz w:val="28"/>
          <w:szCs w:val="28"/>
          <w:lang w:eastAsia="zh-CN"/>
        </w:rPr>
        <w:t>、《建筑灭火器配置设计规范》GB50140等相关消防规范，本项目的主要生产建筑和辅助生产建筑以及生活服务设施用房室内按规范要求配置一定数量的手提式磷酸铵盐干粉灭火器</w:t>
      </w:r>
      <w:r>
        <w:rPr>
          <w:rFonts w:ascii="宋体" w:eastAsia="宋体" w:cs="宋体" w:hAnsi="宋体" w:hint="eastAsia"/>
          <w:color w:val="auto"/>
          <w:kern w:val="0"/>
          <w:sz w:val="28"/>
          <w:szCs w:val="28"/>
        </w:rPr>
        <w:t>。在室外配置有消火栓、砂箱以及建筑灭火器</w:t>
      </w:r>
      <w:r>
        <w:rPr>
          <w:rFonts w:ascii="宋体" w:eastAsia="宋体" w:cs="宋体" w:hAnsi="宋体" w:hint="eastAsia"/>
          <w:color w:val="auto"/>
          <w:kern w:val="0"/>
          <w:sz w:val="28"/>
          <w:szCs w:val="28"/>
          <w:lang w:eastAsia="zh-CN"/>
        </w:rPr>
        <w:t>等消防设施。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lang w:eastAsia="zh-CN"/>
        </w:rPr>
        <w:t>）户外主变压器、无功补偿装置消防措施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lang w:eastAsia="zh-CN"/>
        </w:rPr>
        <w:t>规划</w:t>
      </w:r>
      <w:r>
        <w:rPr>
          <w:rFonts w:ascii="宋体" w:eastAsia="宋体" w:cs="宋体" w:hAnsi="宋体" w:hint="eastAsia"/>
          <w:color w:val="auto"/>
          <w:kern w:val="0"/>
          <w:sz w:val="28"/>
          <w:szCs w:val="28"/>
        </w:rPr>
        <w:t>升压站</w:t>
      </w:r>
      <w:r>
        <w:rPr>
          <w:rFonts w:ascii="宋体" w:eastAsia="宋体" w:cs="宋体" w:hAnsi="宋体" w:hint="eastAsia"/>
          <w:color w:val="auto"/>
          <w:kern w:val="0"/>
          <w:sz w:val="28"/>
          <w:szCs w:val="28"/>
          <w:lang w:eastAsia="zh-CN"/>
        </w:rPr>
        <w:t>西北面</w:t>
      </w:r>
      <w:r>
        <w:rPr>
          <w:rFonts w:ascii="宋体" w:eastAsia="宋体" w:cs="宋体" w:hAnsi="宋体" w:hint="eastAsia"/>
          <w:color w:val="auto"/>
          <w:kern w:val="0"/>
          <w:sz w:val="28"/>
          <w:szCs w:val="28"/>
        </w:rPr>
        <w:t>配置1 台容量为</w:t>
      </w:r>
      <w:r>
        <w:rPr>
          <w:rFonts w:ascii="宋体" w:eastAsia="宋体" w:cs="宋体" w:hAnsi="宋体" w:hint="eastAsia"/>
          <w:color w:val="auto"/>
          <w:kern w:val="0"/>
          <w:sz w:val="28"/>
          <w:szCs w:val="28"/>
          <w:lang w:val="en-US" w:eastAsia="zh-CN"/>
        </w:rPr>
        <w:t>5</w:t>
      </w:r>
      <w:r>
        <w:rPr>
          <w:rFonts w:ascii="宋体" w:eastAsia="宋体" w:cs="宋体" w:hAnsi="宋体" w:hint="eastAsia"/>
          <w:color w:val="auto"/>
          <w:kern w:val="0"/>
          <w:sz w:val="28"/>
          <w:szCs w:val="28"/>
        </w:rPr>
        <w:t>0MVA</w:t>
      </w:r>
      <w:r>
        <w:rPr>
          <w:rFonts w:ascii="宋体" w:eastAsia="宋体" w:cs="宋体" w:hAnsi="宋体" w:hint="eastAsia"/>
          <w:color w:val="auto"/>
          <w:kern w:val="0"/>
          <w:sz w:val="28"/>
          <w:szCs w:val="28"/>
          <w:lang w:eastAsia="zh-CN"/>
        </w:rPr>
        <w:t>的</w:t>
      </w:r>
      <w:r>
        <w:rPr>
          <w:rFonts w:ascii="宋体" w:eastAsia="宋体" w:cs="宋体" w:hAnsi="宋体" w:hint="eastAsia"/>
          <w:color w:val="auto"/>
          <w:kern w:val="0"/>
          <w:sz w:val="28"/>
          <w:szCs w:val="28"/>
          <w:lang w:val="en-US" w:eastAsia="zh-CN"/>
        </w:rPr>
        <w:t>110kV</w:t>
      </w:r>
      <w:r>
        <w:rPr>
          <w:rFonts w:ascii="宋体" w:eastAsia="宋体" w:cs="宋体" w:hAnsi="宋体" w:hint="eastAsia"/>
          <w:color w:val="auto"/>
          <w:kern w:val="0"/>
          <w:sz w:val="28"/>
          <w:szCs w:val="28"/>
        </w:rPr>
        <w:t>主变压器，根据规范要求，主变压器采用干粉灭火及干砂灭火</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主变压器旁设2具推车式干粉灭火器，1个消防砂箱</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1m</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，并配置5把消防铲</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户外无功补偿装置设2具推车式干粉灭火器。</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主变压器布置在户外，变压器底部设有贮油坑，贮油坑容积为主变压器油量的20%设计。主变油坑铺设厚度不小于250mm的卵石，卵石</w:t>
      </w:r>
      <w:r>
        <w:rPr>
          <w:rFonts w:ascii="宋体" w:eastAsia="宋体" w:cs="宋体" w:hAnsi="宋体" w:hint="eastAsia"/>
          <w:color w:val="auto"/>
          <w:kern w:val="0"/>
          <w:sz w:val="28"/>
          <w:szCs w:val="28"/>
          <w:lang w:eastAsia="zh-CN"/>
        </w:rPr>
        <w:t>粒</w:t>
      </w:r>
      <w:r>
        <w:rPr>
          <w:rFonts w:ascii="宋体" w:eastAsia="宋体" w:cs="宋体" w:hAnsi="宋体" w:hint="eastAsia"/>
          <w:color w:val="auto"/>
          <w:kern w:val="0"/>
          <w:sz w:val="28"/>
          <w:szCs w:val="28"/>
        </w:rPr>
        <w:t>径为50～80mm。贮油坑尺寸大于主变压器外廓线各1m。坑底设有排油管，在主变压器附近设置事故油池,容量按单台变压器最大油量的100</w:t>
      </w:r>
      <w:r>
        <w:rPr>
          <w:rFonts w:ascii="宋体" w:eastAsia="宋体" w:cs="宋体" w:hAnsi="宋体" w:hint="eastAsia"/>
          <w:color w:val="auto"/>
          <w:kern w:val="0"/>
          <w:sz w:val="28"/>
          <w:szCs w:val="28"/>
          <w:lang w:val="en-US" w:eastAsia="zh-CN"/>
        </w:rPr>
        <w:t>%</w:t>
      </w:r>
      <w:r>
        <w:rPr>
          <w:rFonts w:ascii="宋体" w:eastAsia="宋体" w:cs="宋体" w:hAnsi="宋体" w:hint="eastAsia"/>
          <w:color w:val="auto"/>
          <w:kern w:val="0"/>
          <w:sz w:val="28"/>
          <w:szCs w:val="28"/>
        </w:rPr>
        <w:t>确定，事故油池有油水分离的功能。变压器事故状态下需排油时，经主变下部的贮油坑与排油管排至事故油池。</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p>
    <w:p>
      <w:pPr>
        <w:widowControl/>
        <w:spacing w:before="4" w:line="360" w:lineRule="auto"/>
        <w:ind w:left="0"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3</w:t>
      </w:r>
      <w:r>
        <w:rPr>
          <w:rFonts w:ascii="宋体" w:eastAsia="宋体" w:cs="宋体" w:hAnsi="宋体" w:hint="eastAsia"/>
          <w:color w:val="auto"/>
          <w:kern w:val="0"/>
          <w:sz w:val="28"/>
          <w:szCs w:val="28"/>
          <w:lang w:eastAsia="zh-CN"/>
        </w:rPr>
        <w:t>）电缆消防措施</w:t>
      </w:r>
    </w:p>
    <w:p>
      <w:pPr>
        <w:widowControl/>
        <w:spacing w:before="4" w:line="360" w:lineRule="auto"/>
        <w:ind w:left="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从室外进入室内的电缆入口处、电缆竖井的出入口处、电缆接头处、长度超过100m 的电缆沟道，均采取防止电缆火灾蔓延的封堵或分隔措施。</w:t>
      </w:r>
    </w:p>
    <w:p>
      <w:pPr>
        <w:widowControl/>
        <w:spacing w:before="4" w:line="360" w:lineRule="auto"/>
        <w:ind w:left="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1）采用防火隔墙或隔板，并用防火堵料封堵电缆通过的孔洞。</w:t>
      </w:r>
    </w:p>
    <w:p>
      <w:pPr>
        <w:widowControl/>
        <w:spacing w:before="4" w:line="360" w:lineRule="auto"/>
        <w:ind w:left="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2）电力电缆与控制电缆或通信电缆敷设在同一电缆沟，采取防火分隔措施。隔板的耐火极限不低于0.75h。</w:t>
      </w:r>
    </w:p>
    <w:p>
      <w:pPr>
        <w:widowControl/>
        <w:spacing w:before="4" w:line="360" w:lineRule="auto"/>
        <w:ind w:left="0"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lang w:eastAsia="zh-CN"/>
        </w:rPr>
        <w:t>3）开关柜、端子箱、控制屏以及本期未上设备的下部开孔与电缆沟接口处均用防火堵料进行封堵</w:t>
      </w:r>
      <w:r>
        <w:rPr>
          <w:rFonts w:ascii="宋体" w:eastAsia="宋体" w:cs="宋体" w:hAnsi="宋体" w:hint="eastAsia"/>
          <w:color w:val="auto"/>
          <w:kern w:val="0"/>
          <w:sz w:val="28"/>
          <w:szCs w:val="28"/>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4</w:t>
      </w:r>
      <w:r>
        <w:rPr>
          <w:rFonts w:ascii="宋体" w:eastAsia="宋体" w:cs="宋体" w:hAnsi="宋体" w:hint="eastAsia"/>
          <w:color w:val="auto"/>
          <w:kern w:val="0"/>
          <w:sz w:val="28"/>
          <w:szCs w:val="28"/>
          <w:lang w:eastAsia="zh-CN"/>
        </w:rPr>
        <w:t>）风力发电机组及箱变消防措施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风力发电机组、箱变分布较广且风力发电机舱是在几十米以上的高空，发生火灾时消防人员不可能及时扑救。因此，风力发电机组及箱变的防火措施主要以预防为主，同时配备相应的灭火器及自动灭火装置，灭火设施由供货商配套供应</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1</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风机机舱内含油及容易引发火灾部位(含齿轮箱、液压制动器、制动盘等)安装一套火探管式自动灭火系统</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在塔筒内设2具手提式干粉灭火器</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塔筒外箱变设2具手提式干粉灭火器。</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2</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在风力发电机内部作业时，保持内部卫生，禁止在风机内部遗留杂物，特别是油污棉丝等易燃物，对于机舱内部泄</w:t>
      </w:r>
      <w:r>
        <w:rPr>
          <w:rFonts w:ascii="宋体" w:eastAsia="宋体" w:cs="宋体" w:hAnsi="宋体"/>
          <w:color w:val="auto"/>
          <w:kern w:val="0"/>
          <w:sz w:val="28"/>
          <w:szCs w:val="28"/>
        </w:rPr>
        <w:t>漏</w:t>
      </w:r>
      <w:r>
        <w:rPr>
          <w:rFonts w:ascii="宋体" w:eastAsia="宋体" w:cs="宋体" w:hAnsi="宋体" w:hint="eastAsia"/>
          <w:color w:val="auto"/>
          <w:kern w:val="0"/>
          <w:sz w:val="28"/>
          <w:szCs w:val="28"/>
        </w:rPr>
        <w:t>的齿轮油、液压油等必须及时清理，以减少火险隐患</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3</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定期检查电器、电缆、电源主回路电缆端子的联接质量，以防电源回路虚接而引发的电气火灾。</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4</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编制风力发电机组火灾应急预案，</w:t>
      </w:r>
      <w:r>
        <w:rPr>
          <w:rFonts w:ascii="宋体" w:eastAsia="宋体" w:cs="宋体" w:hAnsi="宋体" w:hint="eastAsia"/>
          <w:color w:val="auto"/>
          <w:kern w:val="0"/>
          <w:sz w:val="28"/>
          <w:szCs w:val="28"/>
          <w:lang w:eastAsia="zh-CN"/>
        </w:rPr>
        <w:t>一</w:t>
      </w:r>
      <w:r>
        <w:rPr>
          <w:rFonts w:ascii="宋体" w:eastAsia="宋体" w:cs="宋体" w:hAnsi="宋体" w:hint="eastAsia"/>
          <w:color w:val="auto"/>
          <w:kern w:val="0"/>
          <w:sz w:val="28"/>
          <w:szCs w:val="28"/>
        </w:rPr>
        <w:t>旦发生风力发电机起火，火灾信号应远传至消防控制室，由风电场运行人员迅速切断集电线路的电源防止场内电网短路事故并派人控制现场，同时通知当地消防队控制起火范围并进行灭火。</w:t>
      </w:r>
    </w:p>
    <w:p>
      <w:pPr>
        <w:pStyle w:val="17"/>
        <w:autoSpaceDE w:val="0"/>
        <w:autoSpaceDN w:val="0"/>
        <w:spacing w:before="4" w:line="420" w:lineRule="auto"/>
        <w:ind w:left="118" w:right="351" w:firstLineChars="200" w:firstLine="560"/>
        <w:rPr>
          <w:color w:val="auto"/>
          <w:kern w:val="0"/>
          <w:sz w:val="28"/>
          <w:szCs w:val="28"/>
          <w:lang w:val="en-US"/>
        </w:rPr>
      </w:pPr>
      <w:r>
        <w:rPr>
          <w:rFonts w:hint="eastAsia"/>
          <w:b/>
          <w:bCs/>
          <w:color w:val="auto"/>
          <w:sz w:val="28"/>
          <w:szCs w:val="28"/>
          <w:lang w:val="en-US" w:eastAsia="zh-CN"/>
        </w:rPr>
        <w:t xml:space="preserve">6.1.5 </w:t>
      </w:r>
      <w:r>
        <w:rPr>
          <w:rFonts w:hint="eastAsia"/>
          <w:b/>
          <w:bCs/>
          <w:color w:val="auto"/>
          <w:sz w:val="28"/>
          <w:szCs w:val="28"/>
        </w:rPr>
        <w:t>消防用水</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本风电场内的</w:t>
      </w:r>
      <w:r>
        <w:rPr>
          <w:rFonts w:ascii="宋体" w:eastAsia="宋体" w:cs="宋体" w:hAnsi="宋体" w:hint="eastAsia"/>
          <w:color w:val="auto"/>
          <w:kern w:val="0"/>
          <w:sz w:val="28"/>
          <w:szCs w:val="28"/>
        </w:rPr>
        <w:t>地块用水主要为</w:t>
      </w:r>
      <w:r>
        <w:rPr>
          <w:rFonts w:ascii="宋体" w:eastAsia="宋体" w:cs="宋体" w:hAnsi="宋体" w:hint="eastAsia"/>
          <w:color w:val="auto"/>
          <w:kern w:val="0"/>
          <w:sz w:val="28"/>
          <w:szCs w:val="28"/>
          <w:lang w:eastAsia="zh-CN"/>
        </w:rPr>
        <w:t>升压站的</w:t>
      </w:r>
      <w:r>
        <w:rPr>
          <w:rFonts w:ascii="宋体" w:eastAsia="宋体" w:cs="宋体" w:hAnsi="宋体" w:hint="eastAsia"/>
          <w:color w:val="auto"/>
          <w:kern w:val="0"/>
          <w:sz w:val="28"/>
          <w:szCs w:val="28"/>
        </w:rPr>
        <w:t>生活和消防用水。根据用地情况，通过在</w:t>
      </w:r>
      <w:r>
        <w:rPr>
          <w:rFonts w:ascii="宋体" w:eastAsia="宋体" w:cs="宋体" w:hAnsi="宋体" w:hint="eastAsia"/>
          <w:color w:val="auto"/>
          <w:kern w:val="0"/>
          <w:sz w:val="28"/>
          <w:szCs w:val="28"/>
          <w:lang w:eastAsia="zh-CN"/>
        </w:rPr>
        <w:t>升压站东面</w:t>
      </w:r>
      <w:r>
        <w:rPr>
          <w:rFonts w:ascii="宋体" w:eastAsia="宋体" w:cs="宋体" w:hAnsi="宋体" w:hint="eastAsia"/>
          <w:color w:val="auto"/>
          <w:kern w:val="0"/>
          <w:sz w:val="28"/>
          <w:szCs w:val="28"/>
        </w:rPr>
        <w:t>附近</w:t>
      </w:r>
      <w:r>
        <w:rPr>
          <w:rFonts w:ascii="宋体" w:eastAsia="宋体" w:cs="宋体" w:hAnsi="宋体" w:hint="eastAsia"/>
          <w:color w:val="auto"/>
          <w:kern w:val="0"/>
          <w:sz w:val="28"/>
          <w:szCs w:val="28"/>
          <w:lang w:eastAsia="zh-CN"/>
        </w:rPr>
        <w:t>约</w:t>
      </w:r>
      <w:r>
        <w:rPr>
          <w:rFonts w:ascii="宋体" w:eastAsia="宋体" w:cs="宋体" w:hAnsi="宋体" w:hint="eastAsia"/>
          <w:color w:val="auto"/>
          <w:kern w:val="0"/>
          <w:sz w:val="28"/>
          <w:szCs w:val="28"/>
          <w:lang w:val="en-US" w:eastAsia="zh-CN"/>
        </w:rPr>
        <w:t>30米处</w:t>
      </w:r>
      <w:r>
        <w:rPr>
          <w:rFonts w:ascii="宋体" w:eastAsia="宋体" w:cs="宋体" w:hAnsi="宋体" w:hint="eastAsia"/>
          <w:color w:val="auto"/>
          <w:kern w:val="0"/>
          <w:sz w:val="28"/>
          <w:szCs w:val="28"/>
        </w:rPr>
        <w:t>打深井的方式为地块供水。地块内生活、消防给水管网分开独立设置，生活给水由生活水泵经站内给水管网直接供给，消防给水系统包括消防蓄水池、联合泵房、消防水泵、消防稳压设备及消防给水管网等。</w:t>
      </w:r>
    </w:p>
    <w:p>
      <w:pPr>
        <w:widowControl/>
        <w:spacing w:before="4" w:line="360" w:lineRule="auto"/>
        <w:ind w:left="118" w:right="351" w:firstLineChars="200" w:firstLine="560"/>
        <w:jc w:val="left"/>
        <w:rPr>
          <w:rFonts w:hint="eastAsia"/>
          <w:color w:val="auto"/>
          <w:lang w:eastAsia="zh-CN"/>
        </w:rPr>
      </w:pPr>
      <w:r>
        <w:rPr>
          <w:rFonts w:ascii="宋体" w:eastAsia="宋体" w:cs="宋体" w:hAnsi="宋体" w:hint="eastAsia"/>
          <w:color w:val="auto"/>
          <w:kern w:val="0"/>
          <w:sz w:val="28"/>
          <w:szCs w:val="28"/>
        </w:rPr>
        <w:t>消防用水量及水压：</w:t>
      </w:r>
      <w:r>
        <w:rPr>
          <w:rFonts w:ascii="宋体" w:eastAsia="宋体" w:cs="宋体" w:hAnsi="宋体" w:hint="eastAsia"/>
          <w:color w:val="auto"/>
          <w:kern w:val="0"/>
          <w:sz w:val="28"/>
          <w:szCs w:val="28"/>
          <w:lang w:eastAsia="zh-CN"/>
        </w:rPr>
        <w:t>参考</w:t>
      </w:r>
      <w:r>
        <w:rPr>
          <w:rFonts w:ascii="宋体" w:eastAsia="宋体" w:cs="宋体" w:hAnsi="宋体" w:hint="eastAsia"/>
          <w:color w:val="auto"/>
          <w:kern w:val="0"/>
          <w:sz w:val="28"/>
          <w:szCs w:val="28"/>
        </w:rPr>
        <w:t>《火力发电厂与变电站设计防火规范》GB50229—2006 规定，工程按最大建筑物计，室外消火栓消防用水量15L/s，室内消火栓消防用水量10L/s。因此升压站一次消防最大用水量为90m³/h，消防延续时间按2 小时计算，消防用水量180m³。当发生火灾时，启动消防水泵，同时关闭洒水栓，以保证消防水量，消防水泵从蓄水池吸水升压后送至消防给水管网。</w:t>
      </w:r>
    </w:p>
    <w:p>
      <w:pPr>
        <w:pStyle w:val="17"/>
        <w:autoSpaceDE w:val="0"/>
        <w:autoSpaceDN w:val="0"/>
        <w:spacing w:before="4" w:line="420" w:lineRule="auto"/>
        <w:ind w:left="118" w:right="351" w:firstLineChars="200" w:firstLine="560"/>
        <w:rPr>
          <w:color w:val="auto"/>
          <w:kern w:val="0"/>
          <w:sz w:val="28"/>
          <w:szCs w:val="28"/>
          <w:lang w:val="en-US"/>
        </w:rPr>
      </w:pPr>
      <w:r>
        <w:rPr>
          <w:rFonts w:hint="eastAsia"/>
          <w:b/>
          <w:bCs/>
          <w:color w:val="auto"/>
          <w:sz w:val="28"/>
          <w:szCs w:val="28"/>
          <w:lang w:val="en-US" w:eastAsia="zh-CN"/>
        </w:rPr>
        <w:t xml:space="preserve">6.1.6 </w:t>
      </w:r>
      <w:r>
        <w:rPr>
          <w:rFonts w:hint="eastAsia"/>
          <w:b/>
          <w:bCs/>
          <w:color w:val="auto"/>
          <w:sz w:val="28"/>
          <w:szCs w:val="28"/>
        </w:rPr>
        <w:t>消防通道规划</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通过对外交通公路，消防车可快速到达</w:t>
      </w:r>
      <w:r>
        <w:rPr>
          <w:rFonts w:ascii="宋体" w:eastAsia="宋体" w:cs="宋体" w:hAnsi="宋体" w:hint="eastAsia"/>
          <w:color w:val="auto"/>
          <w:kern w:val="0"/>
          <w:sz w:val="28"/>
          <w:szCs w:val="28"/>
          <w:lang w:eastAsia="zh-CN"/>
        </w:rPr>
        <w:t>风电场各风电机组</w:t>
      </w:r>
      <w:r>
        <w:rPr>
          <w:rFonts w:ascii="宋体" w:eastAsia="宋体" w:cs="宋体" w:hAnsi="宋体" w:hint="eastAsia"/>
          <w:color w:val="auto"/>
          <w:kern w:val="0"/>
          <w:sz w:val="28"/>
          <w:szCs w:val="28"/>
        </w:rPr>
        <w:t>地块</w:t>
      </w:r>
      <w:r>
        <w:rPr>
          <w:rFonts w:ascii="宋体" w:eastAsia="宋体" w:cs="宋体" w:hAnsi="宋体" w:hint="eastAsia"/>
          <w:color w:val="auto"/>
          <w:kern w:val="0"/>
          <w:sz w:val="28"/>
          <w:szCs w:val="28"/>
          <w:lang w:eastAsia="zh-CN"/>
        </w:rPr>
        <w:t>和升压站地块。根据本项目升压站</w:t>
      </w:r>
      <w:r>
        <w:rPr>
          <w:rFonts w:ascii="宋体" w:eastAsia="宋体" w:cs="宋体" w:hAnsi="宋体" w:hint="eastAsia"/>
          <w:color w:val="auto"/>
          <w:kern w:val="0"/>
          <w:sz w:val="28"/>
          <w:szCs w:val="28"/>
        </w:rPr>
        <w:t>地块</w:t>
      </w:r>
      <w:r>
        <w:rPr>
          <w:rFonts w:ascii="宋体" w:eastAsia="宋体" w:cs="宋体" w:hAnsi="宋体" w:hint="eastAsia"/>
          <w:color w:val="auto"/>
          <w:kern w:val="0"/>
          <w:sz w:val="28"/>
          <w:szCs w:val="28"/>
          <w:lang w:eastAsia="zh-CN"/>
        </w:rPr>
        <w:t>规划布局，由于场地设置</w:t>
      </w:r>
      <w:r>
        <w:rPr>
          <w:rFonts w:ascii="宋体" w:eastAsia="宋体" w:cs="宋体" w:hAnsi="宋体" w:hint="eastAsia"/>
          <w:color w:val="auto"/>
          <w:kern w:val="0"/>
          <w:sz w:val="28"/>
          <w:szCs w:val="28"/>
        </w:rPr>
        <w:t>环形消防车道</w:t>
      </w:r>
      <w:r>
        <w:rPr>
          <w:rFonts w:ascii="宋体" w:eastAsia="宋体" w:cs="宋体" w:hAnsi="宋体" w:hint="eastAsia"/>
          <w:color w:val="auto"/>
          <w:kern w:val="0"/>
          <w:sz w:val="28"/>
          <w:szCs w:val="28"/>
          <w:lang w:eastAsia="zh-CN"/>
        </w:rPr>
        <w:t>受限，因此在该地块中部布置一个消防车回车场，尺寸≥</w:t>
      </w:r>
      <w:r>
        <w:rPr>
          <w:rFonts w:ascii="宋体" w:eastAsia="宋体" w:cs="宋体" w:hAnsi="宋体" w:hint="eastAsia"/>
          <w:color w:val="auto"/>
          <w:kern w:val="0"/>
          <w:sz w:val="28"/>
          <w:szCs w:val="28"/>
          <w:lang w:val="en-US" w:eastAsia="zh-CN"/>
        </w:rPr>
        <w:t>12m×12m；</w:t>
      </w:r>
      <w:r>
        <w:rPr>
          <w:rFonts w:ascii="宋体" w:eastAsia="宋体" w:cs="宋体" w:hAnsi="宋体" w:hint="eastAsia"/>
          <w:color w:val="auto"/>
          <w:kern w:val="0"/>
          <w:sz w:val="28"/>
          <w:szCs w:val="28"/>
          <w:lang w:eastAsia="zh-CN"/>
        </w:rPr>
        <w:t>进站</w:t>
      </w:r>
      <w:r>
        <w:rPr>
          <w:rFonts w:ascii="宋体" w:eastAsia="宋体" w:cs="宋体" w:hAnsi="宋体" w:hint="eastAsia"/>
          <w:color w:val="auto"/>
          <w:kern w:val="0"/>
          <w:sz w:val="28"/>
          <w:szCs w:val="28"/>
        </w:rPr>
        <w:t>消防车道宽度均≥4米，消防车道转弯半径≥9米、坡度≤8%，并且消防车道的地下管道或暗沟，应能满足大型消防车辆的压力。</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56" w:name="_Toc12402"/>
      <w:r>
        <w:rPr>
          <w:rFonts w:ascii="宋体" w:eastAsia="宋体" w:cs="宋体" w:hAnsi="宋体" w:hint="eastAsia"/>
          <w:bCs/>
          <w:color w:val="auto"/>
          <w:sz w:val="32"/>
          <w:szCs w:val="32"/>
          <w:lang w:val="en-US" w:eastAsia="zh-CN"/>
        </w:rPr>
        <w:t>6.2抗震防灾规划</w:t>
      </w:r>
      <w:bookmarkEnd w:id="56"/>
    </w:p>
    <w:p>
      <w:pPr>
        <w:pStyle w:val="17"/>
        <w:autoSpaceDE w:val="0"/>
        <w:autoSpaceDN w:val="0"/>
        <w:spacing w:before="4" w:line="420" w:lineRule="auto"/>
        <w:ind w:left="118" w:right="351" w:firstLine="479"/>
        <w:rPr>
          <w:rFonts w:hint="eastAsia"/>
          <w:b/>
          <w:bCs/>
          <w:color w:val="auto"/>
          <w:sz w:val="28"/>
          <w:szCs w:val="28"/>
        </w:rPr>
      </w:pPr>
      <w:r>
        <w:rPr>
          <w:rFonts w:hint="eastAsia"/>
          <w:b/>
          <w:bCs/>
          <w:color w:val="auto"/>
          <w:sz w:val="28"/>
          <w:szCs w:val="28"/>
          <w:lang w:val="en-US" w:eastAsia="zh-CN"/>
        </w:rPr>
        <w:t xml:space="preserve">6.2.1 </w:t>
      </w:r>
      <w:r>
        <w:rPr>
          <w:rFonts w:hint="eastAsia"/>
          <w:b/>
          <w:bCs/>
          <w:color w:val="auto"/>
          <w:sz w:val="28"/>
          <w:szCs w:val="28"/>
        </w:rPr>
        <w:t>规划依据</w:t>
      </w:r>
    </w:p>
    <w:p>
      <w:pPr>
        <w:pStyle w:val="17"/>
        <w:autoSpaceDE w:val="0"/>
        <w:autoSpaceDN w:val="0"/>
        <w:spacing w:before="4" w:line="420" w:lineRule="auto"/>
        <w:ind w:left="118" w:right="351" w:firstLine="479"/>
        <w:rPr>
          <w:rFonts w:eastAsia="宋体" w:hint="eastAsia"/>
          <w:color w:val="auto"/>
          <w:kern w:val="0"/>
          <w:sz w:val="28"/>
          <w:szCs w:val="28"/>
          <w:lang w:eastAsia="zh-CN"/>
        </w:rPr>
      </w:pPr>
      <w:r>
        <w:rPr>
          <w:rFonts w:hint="eastAsia"/>
          <w:color w:val="auto"/>
          <w:kern w:val="0"/>
          <w:sz w:val="28"/>
          <w:szCs w:val="28"/>
        </w:rPr>
        <w:t>《中华人民共和国防震减灾法》</w:t>
      </w:r>
      <w:r>
        <w:rPr>
          <w:rFonts w:hint="eastAsia"/>
          <w:color w:val="auto"/>
          <w:kern w:val="0"/>
          <w:sz w:val="28"/>
          <w:szCs w:val="28"/>
          <w:lang w:eastAsia="zh-CN"/>
        </w:rPr>
        <w:t>；</w:t>
      </w:r>
    </w:p>
    <w:p>
      <w:pPr>
        <w:pStyle w:val="17"/>
        <w:autoSpaceDE w:val="0"/>
        <w:autoSpaceDN w:val="0"/>
        <w:spacing w:before="4" w:line="420" w:lineRule="auto"/>
        <w:ind w:left="118" w:right="351" w:firstLine="479"/>
        <w:rPr>
          <w:rFonts w:eastAsia="宋体" w:hint="eastAsia"/>
          <w:color w:val="auto"/>
          <w:kern w:val="0"/>
          <w:sz w:val="28"/>
          <w:szCs w:val="28"/>
          <w:lang w:eastAsia="zh-CN"/>
        </w:rPr>
      </w:pPr>
      <w:r>
        <w:rPr>
          <w:rFonts w:hint="eastAsia"/>
          <w:color w:val="auto"/>
          <w:kern w:val="0"/>
          <w:sz w:val="28"/>
          <w:szCs w:val="28"/>
        </w:rPr>
        <w:t>《中国地震动参数区划图》（GB18306-2015）</w:t>
      </w:r>
      <w:r>
        <w:rPr>
          <w:rFonts w:hint="eastAsia"/>
          <w:color w:val="auto"/>
          <w:kern w:val="0"/>
          <w:sz w:val="28"/>
          <w:szCs w:val="28"/>
          <w:lang w:eastAsia="zh-CN"/>
        </w:rPr>
        <w:t>；</w:t>
      </w:r>
    </w:p>
    <w:p>
      <w:pPr>
        <w:pStyle w:val="17"/>
        <w:autoSpaceDE w:val="0"/>
        <w:autoSpaceDN w:val="0"/>
        <w:spacing w:before="4" w:line="420" w:lineRule="auto"/>
        <w:ind w:left="118" w:right="351" w:firstLine="479"/>
        <w:rPr>
          <w:rFonts w:eastAsia="宋体" w:hint="eastAsia"/>
          <w:color w:val="auto"/>
          <w:kern w:val="0"/>
          <w:sz w:val="28"/>
          <w:szCs w:val="28"/>
          <w:lang w:eastAsia="zh-CN"/>
        </w:rPr>
      </w:pPr>
      <w:r>
        <w:rPr>
          <w:rFonts w:hint="eastAsia"/>
          <w:color w:val="auto"/>
          <w:kern w:val="0"/>
          <w:sz w:val="28"/>
          <w:szCs w:val="28"/>
        </w:rPr>
        <w:t>《建筑工程抗震设防分类标准》（GB50223-2008）</w:t>
      </w:r>
      <w:r>
        <w:rPr>
          <w:rFonts w:hint="eastAsia"/>
          <w:color w:val="auto"/>
          <w:kern w:val="0"/>
          <w:sz w:val="28"/>
          <w:szCs w:val="28"/>
          <w:lang w:eastAsia="zh-CN"/>
        </w:rPr>
        <w:t>；</w:t>
      </w:r>
    </w:p>
    <w:p>
      <w:pPr>
        <w:pStyle w:val="17"/>
        <w:autoSpaceDE w:val="0"/>
        <w:autoSpaceDN w:val="0"/>
        <w:spacing w:before="4" w:line="420" w:lineRule="auto"/>
        <w:ind w:left="118" w:right="351" w:firstLine="479"/>
        <w:rPr>
          <w:rFonts w:eastAsia="宋体" w:hint="eastAsia"/>
          <w:color w:val="auto"/>
          <w:kern w:val="0"/>
          <w:sz w:val="28"/>
          <w:szCs w:val="28"/>
          <w:lang w:eastAsia="zh-CN"/>
        </w:rPr>
      </w:pPr>
      <w:r>
        <w:rPr>
          <w:rFonts w:hint="eastAsia"/>
          <w:color w:val="auto"/>
          <w:kern w:val="0"/>
          <w:sz w:val="28"/>
          <w:szCs w:val="28"/>
        </w:rPr>
        <w:t>《镇（乡）村建筑抗震技术规程》（JGJ161-2008）</w:t>
      </w:r>
      <w:r>
        <w:rPr>
          <w:rFonts w:hint="eastAsia"/>
          <w:color w:val="auto"/>
          <w:kern w:val="0"/>
          <w:sz w:val="28"/>
          <w:szCs w:val="28"/>
          <w:lang w:eastAsia="zh-CN"/>
        </w:rPr>
        <w:t>；</w:t>
      </w:r>
    </w:p>
    <w:p>
      <w:pPr>
        <w:pStyle w:val="17"/>
        <w:autoSpaceDE w:val="0"/>
        <w:autoSpaceDN w:val="0"/>
        <w:spacing w:before="4" w:line="420" w:lineRule="auto"/>
        <w:ind w:left="118" w:right="351" w:firstLine="479"/>
        <w:rPr>
          <w:rFonts w:hint="eastAsia"/>
          <w:color w:val="auto"/>
          <w:kern w:val="0"/>
          <w:sz w:val="28"/>
          <w:szCs w:val="28"/>
          <w:lang w:eastAsia="zh-CN"/>
        </w:rPr>
      </w:pPr>
      <w:r>
        <w:rPr>
          <w:rFonts w:hint="eastAsia"/>
          <w:color w:val="auto"/>
          <w:kern w:val="0"/>
          <w:sz w:val="28"/>
          <w:szCs w:val="28"/>
        </w:rPr>
        <w:t>《建筑抗震设计规范》（GB50011-2010）(2016年版)</w:t>
      </w:r>
      <w:r>
        <w:rPr>
          <w:rFonts w:hint="eastAsia"/>
          <w:color w:val="auto"/>
          <w:kern w:val="0"/>
          <w:sz w:val="28"/>
          <w:szCs w:val="28"/>
          <w:lang w:eastAsia="zh-CN"/>
        </w:rPr>
        <w:t>；</w:t>
      </w:r>
    </w:p>
    <w:p>
      <w:pPr>
        <w:pStyle w:val="17"/>
        <w:autoSpaceDE w:val="0"/>
        <w:autoSpaceDN w:val="0"/>
        <w:spacing w:before="4" w:line="420" w:lineRule="auto"/>
        <w:ind w:left="118" w:right="351" w:firstLine="479"/>
        <w:rPr>
          <w:rFonts w:hint="eastAsia"/>
          <w:color w:val="auto"/>
          <w:lang w:eastAsia="zh-CN"/>
        </w:rPr>
      </w:pPr>
      <w:r>
        <w:rPr>
          <w:rFonts w:hint="eastAsia"/>
          <w:color w:val="auto"/>
          <w:kern w:val="0"/>
          <w:sz w:val="28"/>
          <w:szCs w:val="28"/>
          <w:lang w:eastAsia="zh-CN"/>
        </w:rPr>
        <w:t>《风电场工程等级划分及设计安全标准》（NB/T 10101-2018）。</w:t>
      </w:r>
    </w:p>
    <w:p>
      <w:pPr>
        <w:pStyle w:val="17"/>
        <w:widowControl/>
        <w:autoSpaceDE w:val="0"/>
        <w:autoSpaceDN w:val="0"/>
        <w:spacing w:before="4" w:line="420" w:lineRule="auto"/>
        <w:ind w:left="118" w:right="351" w:firstLineChars="200" w:firstLine="560"/>
        <w:jc w:val="left"/>
        <w:rPr>
          <w:rFonts w:ascii="宋体" w:eastAsia="宋体" w:cs="宋体" w:hAnsi="宋体" w:hint="eastAsia"/>
          <w:b/>
          <w:bCs/>
          <w:color w:val="auto"/>
          <w:kern w:val="0"/>
          <w:sz w:val="28"/>
          <w:szCs w:val="28"/>
        </w:rPr>
      </w:pPr>
      <w:r>
        <w:rPr>
          <w:rFonts w:hint="eastAsia"/>
          <w:b/>
          <w:bCs/>
          <w:color w:val="auto"/>
          <w:sz w:val="28"/>
          <w:szCs w:val="28"/>
          <w:lang w:val="en-US" w:eastAsia="zh-CN"/>
        </w:rPr>
        <w:t xml:space="preserve">6.2.2 </w:t>
      </w:r>
      <w:r>
        <w:rPr>
          <w:rFonts w:hint="eastAsia"/>
          <w:b/>
          <w:bCs/>
          <w:color w:val="auto"/>
          <w:sz w:val="28"/>
          <w:szCs w:val="28"/>
        </w:rPr>
        <w:t>抗震设防标准</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本项目用地</w:t>
      </w:r>
      <w:r>
        <w:rPr>
          <w:rFonts w:ascii="宋体" w:eastAsia="宋体" w:cs="宋体" w:hAnsi="宋体" w:hint="eastAsia"/>
          <w:color w:val="auto"/>
          <w:kern w:val="0"/>
          <w:sz w:val="28"/>
          <w:szCs w:val="28"/>
        </w:rPr>
        <w:t>位于钦州市钦北区</w:t>
      </w:r>
      <w:r>
        <w:rPr>
          <w:rFonts w:ascii="宋体" w:eastAsia="宋体" w:cs="宋体" w:hAnsi="宋体" w:hint="eastAsia"/>
          <w:color w:val="auto"/>
          <w:kern w:val="0"/>
          <w:sz w:val="28"/>
          <w:szCs w:val="28"/>
          <w:lang w:eastAsia="zh-CN"/>
        </w:rPr>
        <w:t>大寺镇与大直镇交界区域</w:t>
      </w:r>
      <w:r>
        <w:rPr>
          <w:rFonts w:ascii="宋体" w:eastAsia="宋体" w:cs="宋体" w:hAnsi="宋体" w:hint="eastAsia"/>
          <w:color w:val="auto"/>
          <w:kern w:val="0"/>
          <w:sz w:val="28"/>
          <w:szCs w:val="28"/>
        </w:rPr>
        <w:t>，场址区和近场区无大的活动性断裂通</w:t>
      </w:r>
      <w:r>
        <w:rPr>
          <w:rFonts w:ascii="宋体" w:eastAsia="宋体" w:cs="宋体" w:hAnsi="宋体" w:hint="eastAsia"/>
          <w:color w:val="auto"/>
          <w:kern w:val="0"/>
          <w:sz w:val="28"/>
          <w:szCs w:val="28"/>
          <w:lang w:eastAsia="zh-CN"/>
        </w:rPr>
        <w:t>过。</w:t>
      </w:r>
      <w:r>
        <w:rPr>
          <w:rFonts w:ascii="宋体" w:eastAsia="宋体" w:cs="宋体" w:hAnsi="宋体" w:hint="eastAsia"/>
          <w:color w:val="auto"/>
          <w:kern w:val="0"/>
          <w:sz w:val="28"/>
          <w:szCs w:val="28"/>
        </w:rPr>
        <w:t>根据《建筑抗震设计规范》（GB50011-2010）(2016年版)附录A和《中国地震动参数区划图》（GB18306-2015），工程区在Ⅱ类场地条件下基本地震动峰值加速度为0.</w:t>
      </w: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rPr>
        <w:t>g，相应的地震基本烈度为Ⅶ度，地震动加速度反应谱特征周期0.35s，区域构造</w:t>
      </w:r>
      <w:r>
        <w:rPr>
          <w:rFonts w:ascii="宋体" w:eastAsia="宋体" w:cs="宋体" w:hAnsi="宋体" w:hint="eastAsia"/>
          <w:color w:val="auto"/>
          <w:kern w:val="0"/>
          <w:sz w:val="28"/>
          <w:szCs w:val="28"/>
          <w:lang w:eastAsia="zh-CN"/>
        </w:rPr>
        <w:t>较</w:t>
      </w:r>
      <w:r>
        <w:rPr>
          <w:rFonts w:ascii="宋体" w:eastAsia="宋体" w:cs="宋体" w:hAnsi="宋体" w:hint="eastAsia"/>
          <w:color w:val="auto"/>
          <w:kern w:val="0"/>
          <w:sz w:val="28"/>
          <w:szCs w:val="28"/>
        </w:rPr>
        <w:t>稳定</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hint="eastAsia"/>
          <w:color w:val="auto"/>
          <w:kern w:val="0"/>
          <w:sz w:val="28"/>
          <w:szCs w:val="28"/>
          <w:lang w:eastAsia="zh-CN"/>
        </w:rPr>
      </w:pPr>
      <w:r>
        <w:rPr>
          <w:rFonts w:ascii="宋体" w:eastAsia="宋体" w:cs="宋体" w:hAnsi="宋体" w:hint="eastAsia"/>
          <w:color w:val="auto"/>
          <w:kern w:val="0"/>
          <w:sz w:val="28"/>
          <w:szCs w:val="28"/>
          <w:lang w:eastAsia="zh-CN"/>
        </w:rPr>
        <w:t>根据</w:t>
      </w:r>
      <w:r>
        <w:rPr>
          <w:rFonts w:hint="eastAsia"/>
          <w:color w:val="auto"/>
          <w:kern w:val="0"/>
          <w:sz w:val="28"/>
          <w:szCs w:val="28"/>
          <w:lang w:eastAsia="zh-CN"/>
        </w:rPr>
        <w:t>《风电场工程等级划分及设计安全标准》（NB/T 10101-2018），风电机组地基基础的抗震设防类别应为标准设防类，也称为丙类。</w:t>
      </w:r>
    </w:p>
    <w:p>
      <w:pPr>
        <w:widowControl/>
        <w:spacing w:before="4" w:line="360" w:lineRule="auto"/>
        <w:ind w:left="118" w:right="351" w:firstLineChars="200" w:firstLine="560"/>
        <w:jc w:val="left"/>
        <w:rPr>
          <w:rFonts w:hint="eastAsia"/>
          <w:color w:val="auto"/>
          <w:kern w:val="0"/>
          <w:sz w:val="28"/>
          <w:szCs w:val="28"/>
          <w:lang w:eastAsia="zh-CN"/>
        </w:rPr>
      </w:pPr>
      <w:r>
        <w:rPr>
          <w:rFonts w:hint="eastAsia"/>
          <w:color w:val="auto"/>
          <w:kern w:val="0"/>
          <w:sz w:val="28"/>
          <w:szCs w:val="28"/>
          <w:lang w:eastAsia="zh-CN"/>
        </w:rPr>
        <w:t>风电场变电站的抗震设防类别应根据其电压等级和建（构）筑物的重要性确定，并应符合《风电场工程等级划分及设计安全标准》表7.0.2的规定。</w:t>
      </w:r>
    </w:p>
    <w:p>
      <w:pPr>
        <w:widowControl/>
        <w:spacing w:before="4" w:line="360" w:lineRule="auto"/>
        <w:ind w:right="351"/>
        <w:jc w:val="left"/>
        <w:rPr>
          <w:rFonts w:ascii="宋体" w:eastAsia="宋体" w:cs="宋体" w:hAnsi="宋体" w:hint="eastAsia"/>
          <w:color w:val="auto"/>
          <w:kern w:val="0"/>
          <w:sz w:val="28"/>
          <w:szCs w:val="28"/>
        </w:rPr>
      </w:pPr>
      <w:r>
        <w:rPr>
          <w:color w:val="auto"/>
        </w:rPr>
        <w:drawing>
          <wp:inline distT="0" distB="0" distL="114300" distR="114300">
            <wp:extent cx="5274310" cy="2235835"/>
            <wp:effectExtent l="0" t="0" r="17" b="29"/>
            <wp:docPr id="51" name="图片 3"/>
            <wp:cNvGraphicFramePr>
              <a:graphicFrameLocks noChangeAspect="1"/>
            </wp:cNvGraphicFramePr>
            <a:graphic>
              <a:graphicData uri="http://schemas.openxmlformats.org/drawingml/2006/picture">
                <pic:pic>
                  <pic:nvPicPr>
                    <pic:cNvPr id="53" name="图片 3 53"/>
                    <pic:cNvPicPr/>
                  </pic:nvPicPr>
                  <pic:blipFill>
                    <a:blip r:embed="rId20"/>
                    <a:stretch>
                      <a:fillRect/>
                    </a:stretch>
                  </pic:blipFill>
                  <pic:spPr>
                    <a:xfrm rot="0">
                      <a:off x="0" y="0"/>
                      <a:ext cx="5274310" cy="2235835"/>
                    </a:xfrm>
                    <a:prstGeom prst="rect"/>
                    <a:noFill/>
                    <a:ln w="9525" cmpd="sng" cap="flat">
                      <a:noFill/>
                      <a:prstDash val="solid"/>
                      <a:round/>
                    </a:ln>
                  </pic:spPr>
                </pic:pic>
              </a:graphicData>
            </a:graphic>
          </wp:inline>
        </w:drawing>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lang w:eastAsia="zh-CN"/>
        </w:rPr>
        <w:t>本项目</w:t>
      </w:r>
      <w:r>
        <w:rPr>
          <w:rFonts w:ascii="宋体" w:eastAsia="宋体" w:cs="宋体" w:hAnsi="宋体" w:hint="eastAsia"/>
          <w:color w:val="auto"/>
          <w:kern w:val="0"/>
          <w:sz w:val="28"/>
          <w:szCs w:val="28"/>
        </w:rPr>
        <w:t>场地内未发现影响场地稳定的断裂构造和不良物理地质现象，场地稳定性好，基本适宜</w:t>
      </w:r>
      <w:r>
        <w:rPr>
          <w:rFonts w:ascii="宋体" w:eastAsia="宋体" w:cs="宋体" w:hAnsi="宋体" w:hint="eastAsia"/>
          <w:color w:val="auto"/>
          <w:kern w:val="0"/>
          <w:sz w:val="28"/>
          <w:szCs w:val="28"/>
          <w:lang w:eastAsia="zh-CN"/>
        </w:rPr>
        <w:t>项目工程</w:t>
      </w:r>
      <w:r>
        <w:rPr>
          <w:rFonts w:ascii="宋体" w:eastAsia="宋体" w:cs="宋体" w:hAnsi="宋体" w:hint="eastAsia"/>
          <w:color w:val="auto"/>
          <w:kern w:val="0"/>
          <w:sz w:val="28"/>
          <w:szCs w:val="28"/>
        </w:rPr>
        <w:t>建设。</w:t>
      </w:r>
      <w:r>
        <w:rPr>
          <w:rFonts w:ascii="宋体" w:eastAsia="宋体" w:cs="宋体" w:hAnsi="宋体" w:hint="eastAsia"/>
          <w:color w:val="auto"/>
          <w:kern w:val="0"/>
          <w:sz w:val="28"/>
          <w:szCs w:val="28"/>
          <w:lang w:eastAsia="zh-CN"/>
        </w:rPr>
        <w:t>规划的升压站</w:t>
      </w:r>
      <w:r>
        <w:rPr>
          <w:rFonts w:ascii="宋体" w:eastAsia="宋体" w:cs="宋体" w:hAnsi="宋体" w:hint="eastAsia"/>
          <w:color w:val="auto"/>
          <w:kern w:val="0"/>
          <w:sz w:val="28"/>
          <w:szCs w:val="28"/>
        </w:rPr>
        <w:t>地块</w:t>
      </w:r>
      <w:r>
        <w:rPr>
          <w:rFonts w:ascii="宋体" w:eastAsia="宋体" w:cs="宋体" w:hAnsi="宋体" w:hint="eastAsia"/>
          <w:color w:val="auto"/>
          <w:kern w:val="0"/>
          <w:sz w:val="28"/>
          <w:szCs w:val="28"/>
          <w:lang w:eastAsia="zh-CN"/>
        </w:rPr>
        <w:t>电压等级为</w:t>
      </w:r>
      <w:r>
        <w:rPr>
          <w:rFonts w:ascii="宋体" w:eastAsia="宋体" w:cs="宋体" w:hAnsi="宋体" w:hint="eastAsia"/>
          <w:color w:val="auto"/>
          <w:kern w:val="0"/>
          <w:sz w:val="28"/>
          <w:szCs w:val="28"/>
          <w:lang w:val="en-US" w:eastAsia="zh-CN"/>
        </w:rPr>
        <w:t>110kV，</w:t>
      </w:r>
      <w:r>
        <w:rPr>
          <w:rFonts w:ascii="宋体" w:eastAsia="宋体" w:cs="宋体" w:hAnsi="宋体" w:hint="eastAsia"/>
          <w:color w:val="auto"/>
          <w:kern w:val="0"/>
          <w:sz w:val="28"/>
          <w:szCs w:val="28"/>
        </w:rPr>
        <w:t>为</w:t>
      </w:r>
      <w:r>
        <w:rPr>
          <w:rFonts w:ascii="宋体" w:eastAsia="宋体" w:cs="宋体" w:hAnsi="宋体" w:hint="eastAsia"/>
          <w:color w:val="auto"/>
          <w:kern w:val="0"/>
          <w:sz w:val="28"/>
          <w:szCs w:val="28"/>
          <w:lang w:eastAsia="zh-CN"/>
        </w:rPr>
        <w:t>公用设施的</w:t>
      </w:r>
      <w:r>
        <w:rPr>
          <w:rFonts w:ascii="宋体" w:eastAsia="宋体" w:cs="宋体" w:hAnsi="宋体" w:hint="eastAsia"/>
          <w:color w:val="auto"/>
          <w:kern w:val="0"/>
          <w:sz w:val="28"/>
          <w:szCs w:val="28"/>
        </w:rPr>
        <w:t>供电用地，为生命线工程，</w:t>
      </w:r>
      <w:r>
        <w:rPr>
          <w:rFonts w:ascii="宋体" w:eastAsia="宋体" w:cs="宋体" w:hAnsi="宋体" w:hint="eastAsia"/>
          <w:color w:val="auto"/>
          <w:kern w:val="0"/>
          <w:sz w:val="28"/>
          <w:szCs w:val="28"/>
          <w:lang w:eastAsia="zh-CN"/>
        </w:rPr>
        <w:t>根据上表分析属标准</w:t>
      </w:r>
      <w:r>
        <w:rPr>
          <w:rFonts w:ascii="宋体" w:eastAsia="宋体" w:cs="宋体" w:hAnsi="宋体" w:hint="eastAsia"/>
          <w:color w:val="auto"/>
          <w:kern w:val="0"/>
          <w:sz w:val="28"/>
          <w:szCs w:val="28"/>
        </w:rPr>
        <w:t>设防类，应按本地区抗震设防烈度确定其抗震措施和地震作用，达到在遭遇高于当地抗震设防烈度的预估罕遇地震影响时不致倒塌或发生危及生命安全的严重破坏的抗震设防目标</w:t>
      </w:r>
      <w:r>
        <w:rPr>
          <w:rFonts w:ascii="宋体" w:eastAsia="宋体" w:cs="宋体" w:hAnsi="宋体" w:hint="eastAsia"/>
          <w:color w:val="auto"/>
          <w:kern w:val="0"/>
          <w:sz w:val="28"/>
          <w:szCs w:val="28"/>
          <w:lang w:eastAsia="zh-CN"/>
        </w:rPr>
        <w:t>，规划的</w:t>
      </w:r>
      <w:r>
        <w:rPr>
          <w:rFonts w:ascii="宋体" w:eastAsia="宋体" w:cs="宋体" w:hAnsi="宋体" w:hint="eastAsia"/>
          <w:color w:val="auto"/>
          <w:kern w:val="0"/>
          <w:sz w:val="28"/>
          <w:szCs w:val="28"/>
          <w:lang w:val="en-US" w:eastAsia="zh-CN"/>
        </w:rPr>
        <w:t>110kV</w:t>
      </w:r>
      <w:r>
        <w:rPr>
          <w:rFonts w:ascii="宋体" w:eastAsia="宋体" w:cs="宋体" w:hAnsi="宋体" w:hint="eastAsia"/>
          <w:color w:val="auto"/>
          <w:kern w:val="0"/>
          <w:sz w:val="28"/>
          <w:szCs w:val="28"/>
          <w:lang w:eastAsia="zh-CN"/>
        </w:rPr>
        <w:t>升压站</w:t>
      </w:r>
      <w:r>
        <w:rPr>
          <w:rFonts w:ascii="宋体" w:eastAsia="宋体" w:cs="宋体" w:hAnsi="宋体" w:hint="eastAsia"/>
          <w:color w:val="auto"/>
          <w:kern w:val="0"/>
          <w:sz w:val="28"/>
          <w:szCs w:val="28"/>
        </w:rPr>
        <w:t>抗震设防烈度按</w:t>
      </w:r>
      <w:r>
        <w:rPr>
          <w:rFonts w:ascii="宋体" w:eastAsia="宋体" w:cs="宋体" w:hAnsi="宋体" w:hint="eastAsia"/>
          <w:color w:val="auto"/>
          <w:kern w:val="0"/>
          <w:sz w:val="28"/>
          <w:szCs w:val="28"/>
          <w:lang w:val="en-US" w:eastAsia="zh-CN"/>
        </w:rPr>
        <w:t>7</w:t>
      </w:r>
      <w:r>
        <w:rPr>
          <w:rFonts w:ascii="宋体" w:eastAsia="宋体" w:cs="宋体" w:hAnsi="宋体" w:hint="eastAsia"/>
          <w:color w:val="auto"/>
          <w:kern w:val="0"/>
          <w:sz w:val="28"/>
          <w:szCs w:val="28"/>
        </w:rPr>
        <w:t>度设防。</w:t>
      </w:r>
    </w:p>
    <w:p>
      <w:pPr>
        <w:pStyle w:val="1"/>
        <w:numPr>
          <w:ilvl w:val="0"/>
          <w:numId w:val="0"/>
        </w:numPr>
        <w:spacing w:before="260" w:line="360" w:lineRule="auto"/>
        <w:ind w:left="420" w:firstLineChars="100" w:firstLine="320"/>
        <w:rPr>
          <w:rFonts w:ascii="宋体" w:eastAsia="宋体" w:cs="宋体" w:hAnsi="宋体" w:hint="eastAsia"/>
          <w:bCs/>
          <w:color w:val="auto"/>
          <w:sz w:val="32"/>
          <w:szCs w:val="32"/>
          <w:lang w:val="en-US" w:eastAsia="zh-CN"/>
        </w:rPr>
      </w:pPr>
      <w:bookmarkStart w:id="57" w:name="_Toc19199"/>
      <w:r>
        <w:rPr>
          <w:rFonts w:ascii="宋体" w:eastAsia="宋体" w:cs="宋体" w:hAnsi="宋体" w:hint="eastAsia"/>
          <w:bCs/>
          <w:color w:val="auto"/>
          <w:sz w:val="32"/>
          <w:szCs w:val="32"/>
          <w:lang w:val="en-US" w:eastAsia="zh-CN"/>
        </w:rPr>
        <w:t>6.3防洪排涝规划</w:t>
      </w:r>
      <w:bookmarkEnd w:id="57"/>
    </w:p>
    <w:p>
      <w:pPr>
        <w:pStyle w:val="17"/>
        <w:autoSpaceDE w:val="0"/>
        <w:autoSpaceDN w:val="0"/>
        <w:spacing w:before="4" w:line="420" w:lineRule="auto"/>
        <w:ind w:left="118" w:right="351" w:firstLine="479"/>
        <w:rPr>
          <w:rFonts w:hint="eastAsia"/>
          <w:b/>
          <w:bCs/>
          <w:color w:val="auto"/>
          <w:sz w:val="28"/>
          <w:szCs w:val="28"/>
        </w:rPr>
      </w:pPr>
      <w:r>
        <w:rPr>
          <w:rFonts w:hint="eastAsia"/>
          <w:b/>
          <w:bCs/>
          <w:color w:val="auto"/>
          <w:sz w:val="28"/>
          <w:szCs w:val="28"/>
          <w:lang w:val="en-US" w:eastAsia="zh-CN"/>
        </w:rPr>
        <w:t xml:space="preserve">6.3.1 </w:t>
      </w:r>
      <w:r>
        <w:rPr>
          <w:rFonts w:hint="eastAsia"/>
          <w:b/>
          <w:bCs/>
          <w:color w:val="auto"/>
          <w:sz w:val="28"/>
          <w:szCs w:val="28"/>
        </w:rPr>
        <w:t>规划依据</w:t>
      </w:r>
    </w:p>
    <w:p>
      <w:pPr>
        <w:ind w:firstLineChars="200" w:firstLine="560"/>
        <w:jc w:val="left"/>
        <w:rPr>
          <w:rFonts w:eastAsia="宋体" w:hint="eastAsia"/>
          <w:color w:val="auto"/>
          <w:kern w:val="0"/>
          <w:sz w:val="28"/>
          <w:szCs w:val="28"/>
          <w:lang w:eastAsia="zh-CN"/>
        </w:rPr>
      </w:pPr>
      <w:r>
        <w:rPr>
          <w:rFonts w:hint="eastAsia"/>
          <w:color w:val="auto"/>
          <w:kern w:val="0"/>
          <w:sz w:val="28"/>
          <w:szCs w:val="28"/>
        </w:rPr>
        <w:t>（1）《中华人民共和国防洪法（</w:t>
      </w:r>
      <w:r>
        <w:rPr>
          <w:rFonts w:hint="eastAsia"/>
          <w:color w:val="auto"/>
          <w:kern w:val="0"/>
          <w:sz w:val="28"/>
          <w:szCs w:val="28"/>
          <w:lang w:val="en-US" w:eastAsia="zh-CN"/>
        </w:rPr>
        <w:t>2016修正</w:t>
      </w:r>
      <w:r>
        <w:rPr>
          <w:rFonts w:hint="eastAsia"/>
          <w:color w:val="auto"/>
          <w:kern w:val="0"/>
          <w:sz w:val="28"/>
          <w:szCs w:val="28"/>
        </w:rPr>
        <w:t>）》</w:t>
      </w:r>
      <w:r>
        <w:rPr>
          <w:rFonts w:hint="eastAsia"/>
          <w:color w:val="auto"/>
          <w:kern w:val="0"/>
          <w:sz w:val="28"/>
          <w:szCs w:val="28"/>
          <w:lang w:eastAsia="zh-CN"/>
        </w:rPr>
        <w:t>；</w:t>
      </w:r>
    </w:p>
    <w:p>
      <w:pPr>
        <w:ind w:firstLineChars="200" w:firstLine="560"/>
        <w:jc w:val="left"/>
        <w:rPr>
          <w:rFonts w:hint="eastAsia"/>
          <w:color w:val="auto"/>
          <w:kern w:val="0"/>
          <w:sz w:val="28"/>
          <w:szCs w:val="28"/>
          <w:lang w:eastAsia="zh-CN"/>
        </w:rPr>
      </w:pPr>
      <w:r>
        <w:rPr>
          <w:rFonts w:hint="eastAsia"/>
          <w:color w:val="auto"/>
          <w:kern w:val="0"/>
          <w:sz w:val="28"/>
          <w:szCs w:val="28"/>
        </w:rPr>
        <w:t>（</w:t>
      </w:r>
      <w:r>
        <w:rPr>
          <w:rFonts w:hint="eastAsia"/>
          <w:color w:val="auto"/>
          <w:kern w:val="0"/>
          <w:sz w:val="28"/>
          <w:szCs w:val="28"/>
          <w:lang w:val="en-US" w:eastAsia="zh-CN"/>
        </w:rPr>
        <w:t>2</w:t>
      </w:r>
      <w:r>
        <w:rPr>
          <w:rFonts w:hint="eastAsia"/>
          <w:color w:val="auto"/>
          <w:kern w:val="0"/>
          <w:sz w:val="28"/>
          <w:szCs w:val="28"/>
        </w:rPr>
        <w:t>）《防洪标准》</w:t>
      </w:r>
      <w:r>
        <w:rPr>
          <w:rFonts w:hint="eastAsia"/>
          <w:color w:val="auto"/>
          <w:kern w:val="0"/>
          <w:sz w:val="28"/>
          <w:szCs w:val="28"/>
          <w:lang w:eastAsia="zh-CN"/>
        </w:rPr>
        <w:t>（</w:t>
      </w:r>
      <w:r>
        <w:rPr>
          <w:rFonts w:hint="eastAsia"/>
          <w:color w:val="auto"/>
          <w:kern w:val="0"/>
          <w:sz w:val="28"/>
          <w:szCs w:val="28"/>
        </w:rPr>
        <w:t>GB50201-</w:t>
      </w:r>
      <w:r>
        <w:rPr>
          <w:rFonts w:hint="eastAsia"/>
          <w:color w:val="auto"/>
          <w:kern w:val="0"/>
          <w:sz w:val="28"/>
          <w:szCs w:val="28"/>
          <w:lang w:val="en-US" w:eastAsia="zh-CN"/>
        </w:rPr>
        <w:t>2014</w:t>
      </w:r>
      <w:r>
        <w:rPr>
          <w:rFonts w:hint="eastAsia"/>
          <w:color w:val="auto"/>
          <w:kern w:val="0"/>
          <w:sz w:val="28"/>
          <w:szCs w:val="28"/>
          <w:lang w:eastAsia="zh-CN"/>
        </w:rPr>
        <w:t>）；</w:t>
      </w:r>
    </w:p>
    <w:p>
      <w:pPr>
        <w:ind w:firstLineChars="200" w:firstLine="560"/>
        <w:jc w:val="left"/>
        <w:rPr>
          <w:rFonts w:hint="eastAsia"/>
          <w:color w:val="auto"/>
          <w:kern w:val="0"/>
          <w:sz w:val="28"/>
          <w:szCs w:val="28"/>
        </w:rPr>
      </w:pPr>
      <w:r>
        <w:rPr>
          <w:rFonts w:hint="eastAsia"/>
          <w:color w:val="auto"/>
          <w:kern w:val="0"/>
          <w:sz w:val="28"/>
          <w:szCs w:val="28"/>
          <w:lang w:eastAsia="zh-CN"/>
        </w:rPr>
        <w:t>（</w:t>
      </w:r>
      <w:r>
        <w:rPr>
          <w:rFonts w:hint="eastAsia"/>
          <w:color w:val="auto"/>
          <w:kern w:val="0"/>
          <w:sz w:val="28"/>
          <w:szCs w:val="28"/>
          <w:lang w:val="en-US" w:eastAsia="zh-CN"/>
        </w:rPr>
        <w:t>3</w:t>
      </w:r>
      <w:r>
        <w:rPr>
          <w:rFonts w:hint="eastAsia"/>
          <w:color w:val="auto"/>
          <w:kern w:val="0"/>
          <w:sz w:val="28"/>
          <w:szCs w:val="28"/>
          <w:lang w:eastAsia="zh-CN"/>
        </w:rPr>
        <w:t>）《风电场工程等级划分及设计安全标准》（NB/T 10101-2018）；</w:t>
      </w:r>
    </w:p>
    <w:p>
      <w:pPr>
        <w:ind w:firstLineChars="200" w:firstLine="560"/>
        <w:jc w:val="left"/>
        <w:rPr>
          <w:rFonts w:hint="eastAsia"/>
          <w:color w:val="auto"/>
          <w:kern w:val="0"/>
          <w:sz w:val="28"/>
          <w:szCs w:val="28"/>
        </w:rPr>
      </w:pPr>
      <w:r>
        <w:rPr>
          <w:rFonts w:hint="eastAsia"/>
          <w:color w:val="auto"/>
          <w:kern w:val="0"/>
          <w:sz w:val="28"/>
          <w:szCs w:val="28"/>
        </w:rPr>
        <w:t>（</w:t>
      </w:r>
      <w:r>
        <w:rPr>
          <w:rFonts w:hint="eastAsia"/>
          <w:color w:val="auto"/>
          <w:kern w:val="0"/>
          <w:sz w:val="28"/>
          <w:szCs w:val="28"/>
          <w:lang w:val="en-US" w:eastAsia="zh-CN"/>
        </w:rPr>
        <w:t>4</w:t>
      </w:r>
      <w:r>
        <w:rPr>
          <w:rFonts w:hint="eastAsia"/>
          <w:color w:val="auto"/>
          <w:kern w:val="0"/>
          <w:sz w:val="28"/>
          <w:szCs w:val="28"/>
        </w:rPr>
        <w:t>）《城市防洪工程设计规范》</w:t>
      </w:r>
      <w:r>
        <w:rPr>
          <w:rFonts w:hint="eastAsia"/>
          <w:color w:val="auto"/>
          <w:kern w:val="0"/>
          <w:sz w:val="28"/>
          <w:szCs w:val="28"/>
          <w:lang w:eastAsia="zh-CN"/>
        </w:rPr>
        <w:t>（</w:t>
      </w:r>
      <w:r>
        <w:rPr>
          <w:rFonts w:hint="eastAsia"/>
          <w:color w:val="auto"/>
          <w:kern w:val="0"/>
          <w:sz w:val="28"/>
          <w:szCs w:val="28"/>
        </w:rPr>
        <w:t>GB/T50805-2012</w:t>
      </w:r>
      <w:r>
        <w:rPr>
          <w:rFonts w:hint="eastAsia"/>
          <w:color w:val="auto"/>
          <w:kern w:val="0"/>
          <w:sz w:val="28"/>
          <w:szCs w:val="28"/>
          <w:lang w:eastAsia="zh-CN"/>
        </w:rPr>
        <w:t>）；</w:t>
      </w:r>
    </w:p>
    <w:p>
      <w:pPr>
        <w:ind w:firstLineChars="200" w:firstLine="560"/>
        <w:jc w:val="left"/>
        <w:rPr>
          <w:rFonts w:eastAsia="宋体" w:hint="eastAsia"/>
          <w:color w:val="auto"/>
          <w:kern w:val="0"/>
          <w:sz w:val="28"/>
          <w:szCs w:val="28"/>
          <w:lang w:eastAsia="zh-CN"/>
        </w:rPr>
      </w:pPr>
      <w:r>
        <w:rPr>
          <w:rFonts w:hint="eastAsia"/>
          <w:color w:val="auto"/>
          <w:kern w:val="0"/>
          <w:sz w:val="28"/>
          <w:szCs w:val="28"/>
        </w:rPr>
        <w:t>（</w:t>
      </w:r>
      <w:r>
        <w:rPr>
          <w:rFonts w:hint="eastAsia"/>
          <w:color w:val="auto"/>
          <w:kern w:val="0"/>
          <w:sz w:val="28"/>
          <w:szCs w:val="28"/>
          <w:lang w:val="en-US" w:eastAsia="zh-CN"/>
        </w:rPr>
        <w:t>5</w:t>
      </w:r>
      <w:r>
        <w:rPr>
          <w:rFonts w:hint="eastAsia"/>
          <w:color w:val="auto"/>
          <w:kern w:val="0"/>
          <w:sz w:val="28"/>
          <w:szCs w:val="28"/>
        </w:rPr>
        <w:t>）《堤防工程设计规范》</w:t>
      </w:r>
      <w:r>
        <w:rPr>
          <w:rFonts w:hint="eastAsia"/>
          <w:color w:val="auto"/>
          <w:kern w:val="0"/>
          <w:sz w:val="28"/>
          <w:szCs w:val="28"/>
          <w:lang w:eastAsia="zh-CN"/>
        </w:rPr>
        <w:t>（</w:t>
      </w:r>
      <w:r>
        <w:rPr>
          <w:rFonts w:hint="eastAsia"/>
          <w:color w:val="auto"/>
          <w:kern w:val="0"/>
          <w:sz w:val="28"/>
          <w:szCs w:val="28"/>
        </w:rPr>
        <w:t>GB50286-2013</w:t>
      </w:r>
      <w:r>
        <w:rPr>
          <w:rFonts w:hint="eastAsia"/>
          <w:color w:val="auto"/>
          <w:kern w:val="0"/>
          <w:sz w:val="28"/>
          <w:szCs w:val="28"/>
          <w:lang w:eastAsia="zh-CN"/>
        </w:rPr>
        <w:t>）。</w:t>
      </w:r>
    </w:p>
    <w:p>
      <w:pPr>
        <w:pStyle w:val="17"/>
        <w:autoSpaceDE w:val="0"/>
        <w:autoSpaceDN w:val="0"/>
        <w:spacing w:before="4" w:line="420" w:lineRule="auto"/>
        <w:ind w:left="118" w:right="351" w:firstLine="479"/>
        <w:rPr>
          <w:rFonts w:hint="eastAsia"/>
          <w:color w:val="auto"/>
          <w:kern w:val="0"/>
          <w:sz w:val="28"/>
          <w:szCs w:val="28"/>
        </w:rPr>
      </w:pPr>
      <w:r>
        <w:rPr>
          <w:rFonts w:hint="eastAsia"/>
          <w:b/>
          <w:bCs/>
          <w:color w:val="auto"/>
          <w:sz w:val="28"/>
          <w:szCs w:val="28"/>
          <w:lang w:val="en-US" w:eastAsia="zh-CN"/>
        </w:rPr>
        <w:t xml:space="preserve">6.3.2 </w:t>
      </w:r>
      <w:r>
        <w:rPr>
          <w:rFonts w:hint="eastAsia"/>
          <w:b/>
          <w:bCs/>
          <w:color w:val="auto"/>
          <w:sz w:val="28"/>
          <w:szCs w:val="28"/>
          <w:lang w:eastAsia="zh-CN"/>
        </w:rPr>
        <w:t>防洪规划</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eastAsia="zh-CN"/>
        </w:rPr>
        <w:t>本</w:t>
      </w:r>
      <w:r>
        <w:rPr>
          <w:rFonts w:ascii="宋体" w:eastAsia="宋体" w:cs="宋体" w:hAnsi="宋体" w:hint="eastAsia"/>
          <w:color w:val="auto"/>
          <w:kern w:val="0"/>
          <w:sz w:val="28"/>
          <w:szCs w:val="28"/>
          <w:lang w:val="en-US" w:eastAsia="zh-CN"/>
        </w:rPr>
        <w:t>项目规划用地的地势相对所在镇区较高，该区域海拔在100-400m之间，属山区风力发电场。根据《风电场工程等级划分及设计安全标准》（NB/T 10101-2018）的规定，风电场工程建筑物应根据工程所处位置确定其洪(潮)水设计标准。本风电场位于广西</w:t>
      </w:r>
      <w:r>
        <w:rPr>
          <w:rFonts w:ascii="宋体" w:eastAsia="宋体" w:cs="宋体" w:hAnsi="宋体" w:hint="eastAsia"/>
          <w:color w:val="auto"/>
          <w:kern w:val="0"/>
          <w:sz w:val="28"/>
          <w:szCs w:val="28"/>
        </w:rPr>
        <w:t>钦州市钦北区</w:t>
      </w:r>
      <w:r>
        <w:rPr>
          <w:rFonts w:ascii="宋体" w:eastAsia="宋体" w:cs="宋体" w:hAnsi="宋体" w:hint="eastAsia"/>
          <w:color w:val="auto"/>
          <w:kern w:val="0"/>
          <w:sz w:val="28"/>
          <w:szCs w:val="28"/>
          <w:lang w:eastAsia="zh-CN"/>
        </w:rPr>
        <w:t>大寺镇与大直镇交界处山脊</w:t>
      </w:r>
      <w:r>
        <w:rPr>
          <w:rFonts w:ascii="宋体" w:eastAsia="宋体" w:cs="宋体" w:hAnsi="宋体" w:hint="eastAsia"/>
          <w:color w:val="auto"/>
          <w:kern w:val="0"/>
          <w:sz w:val="28"/>
          <w:szCs w:val="28"/>
          <w:lang w:val="en-US" w:eastAsia="zh-CN"/>
        </w:rPr>
        <w:t>上，属于山区的洪水设计标准。</w:t>
      </w:r>
    </w:p>
    <w:p>
      <w:pPr>
        <w:widowControl/>
        <w:spacing w:before="4" w:line="360" w:lineRule="auto"/>
        <w:ind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风电机组地基基础的洪水设计标准，应根据风电机组地基基础的设计等级确定，并符合《风电场工程等级划分及设计安全标准》（NB/T 10101-2018）表6.0.1的要求。</w:t>
      </w:r>
    </w:p>
    <w:p>
      <w:pPr>
        <w:widowControl/>
        <w:spacing w:before="4" w:line="360" w:lineRule="auto"/>
        <w:ind w:right="351"/>
        <w:jc w:val="left"/>
        <w:rPr>
          <w:color w:val="auto"/>
        </w:rPr>
      </w:pPr>
      <w:r>
        <w:rPr>
          <w:color w:val="auto"/>
        </w:rPr>
        <w:drawing>
          <wp:inline distT="0" distB="0" distL="114300" distR="114300">
            <wp:extent cx="5272404" cy="1203960"/>
            <wp:effectExtent l="0" t="0" r="16" b="19"/>
            <wp:docPr id="54" name="图片 2"/>
            <wp:cNvGraphicFramePr>
              <a:graphicFrameLocks noChangeAspect="1"/>
            </wp:cNvGraphicFramePr>
            <a:graphic>
              <a:graphicData uri="http://schemas.openxmlformats.org/drawingml/2006/picture">
                <pic:pic>
                  <pic:nvPicPr>
                    <pic:cNvPr id="56" name="图片 2 56"/>
                    <pic:cNvPicPr/>
                  </pic:nvPicPr>
                  <pic:blipFill>
                    <a:blip r:embed="rId21"/>
                    <a:stretch>
                      <a:fillRect/>
                    </a:stretch>
                  </pic:blipFill>
                  <pic:spPr>
                    <a:xfrm rot="0">
                      <a:off x="0" y="0"/>
                      <a:ext cx="5272404" cy="1203960"/>
                    </a:xfrm>
                    <a:prstGeom prst="rect"/>
                    <a:noFill/>
                    <a:ln w="9525" cmpd="sng" cap="flat">
                      <a:noFill/>
                      <a:prstDash val="solid"/>
                      <a:round/>
                    </a:ln>
                  </pic:spPr>
                </pic:pic>
              </a:graphicData>
            </a:graphic>
          </wp:inline>
        </w:drawing>
      </w:r>
    </w:p>
    <w:p>
      <w:pPr>
        <w:widowControl/>
        <w:spacing w:before="4" w:line="360" w:lineRule="auto"/>
        <w:ind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根据上表，本规划风电机组地基基础设计等级为甲级，洪水设计标准按50年重现期计。</w:t>
      </w:r>
    </w:p>
    <w:p>
      <w:pPr>
        <w:widowControl/>
        <w:spacing w:before="4" w:line="360" w:lineRule="auto"/>
        <w:ind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hint="eastAsia"/>
          <w:color w:val="auto"/>
          <w:kern w:val="0"/>
          <w:sz w:val="28"/>
          <w:szCs w:val="28"/>
          <w:lang w:val="en-US" w:eastAsia="zh-CN"/>
        </w:rPr>
        <w:t>风电场变电站的洪水设计标准，应根据风电场变电站的电压等级，按《风电场工程等级划分及设计安全标准》（NB/T 10101-2018）表6.0.2确定。</w:t>
      </w:r>
    </w:p>
    <w:p>
      <w:pPr>
        <w:widowControl/>
        <w:spacing w:before="4" w:line="360" w:lineRule="auto"/>
        <w:ind w:right="351"/>
        <w:jc w:val="left"/>
        <w:rPr>
          <w:rFonts w:ascii="宋体" w:eastAsia="宋体" w:cs="宋体" w:hAnsi="宋体" w:hint="eastAsia"/>
          <w:color w:val="auto"/>
          <w:kern w:val="0"/>
          <w:sz w:val="28"/>
          <w:szCs w:val="28"/>
          <w:lang w:val="en-US" w:eastAsia="zh-CN"/>
        </w:rPr>
      </w:pPr>
      <w:r>
        <w:rPr>
          <w:color w:val="auto"/>
        </w:rPr>
        <w:drawing>
          <wp:inline distT="0" distB="0" distL="114300" distR="114300">
            <wp:extent cx="5269230" cy="1201420"/>
            <wp:effectExtent l="0" t="0" r="15" b="45"/>
            <wp:docPr id="57" name="图片 1"/>
            <wp:cNvGraphicFramePr>
              <a:graphicFrameLocks noChangeAspect="1"/>
            </wp:cNvGraphicFramePr>
            <a:graphic>
              <a:graphicData uri="http://schemas.openxmlformats.org/drawingml/2006/picture">
                <pic:pic>
                  <pic:nvPicPr>
                    <pic:cNvPr id="59" name="图片 1 59"/>
                    <pic:cNvPicPr/>
                  </pic:nvPicPr>
                  <pic:blipFill>
                    <a:blip r:embed="rId22"/>
                    <a:stretch>
                      <a:fillRect/>
                    </a:stretch>
                  </pic:blipFill>
                  <pic:spPr>
                    <a:xfrm rot="0">
                      <a:off x="0" y="0"/>
                      <a:ext cx="5269230" cy="1201420"/>
                    </a:xfrm>
                    <a:prstGeom prst="rect"/>
                    <a:noFill/>
                    <a:ln w="9525" cmpd="sng" cap="flat">
                      <a:noFill/>
                      <a:prstDash val="solid"/>
                      <a:round/>
                    </a:ln>
                  </pic:spPr>
                </pic:pic>
              </a:graphicData>
            </a:graphic>
          </wp:inline>
        </w:drawing>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根据上表，本规划升压站的电压等级为110kV，洪水设计标准按50年重现期计。</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风电场项目属</w:t>
      </w:r>
      <w:r>
        <w:rPr>
          <w:rFonts w:ascii="宋体" w:eastAsia="宋体" w:cs="宋体" w:hAnsi="宋体" w:hint="eastAsia"/>
          <w:color w:val="auto"/>
          <w:kern w:val="0"/>
          <w:sz w:val="28"/>
          <w:szCs w:val="28"/>
        </w:rPr>
        <w:t>生命线工程</w:t>
      </w:r>
      <w:r>
        <w:rPr>
          <w:rFonts w:ascii="宋体" w:eastAsia="宋体" w:cs="宋体" w:hAnsi="宋体" w:hint="eastAsia"/>
          <w:color w:val="auto"/>
          <w:kern w:val="0"/>
          <w:sz w:val="28"/>
          <w:szCs w:val="28"/>
          <w:lang w:eastAsia="zh-CN"/>
        </w:rPr>
        <w:t>，应制定严格的防洪、防淹管理制度：</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（1）风电场升压站</w:t>
      </w:r>
      <w:r>
        <w:rPr>
          <w:rFonts w:ascii="宋体" w:eastAsia="宋体" w:cs="宋体" w:hAnsi="宋体" w:hint="eastAsia"/>
          <w:color w:val="auto"/>
          <w:kern w:val="0"/>
          <w:sz w:val="28"/>
          <w:szCs w:val="28"/>
          <w:lang w:val="en-US" w:eastAsia="zh-CN"/>
        </w:rPr>
        <w:t>及各风电机组</w:t>
      </w:r>
      <w:r>
        <w:rPr>
          <w:rFonts w:ascii="宋体" w:eastAsia="宋体" w:cs="宋体" w:hAnsi="宋体"/>
          <w:color w:val="auto"/>
          <w:kern w:val="0"/>
          <w:sz w:val="28"/>
          <w:szCs w:val="28"/>
          <w:lang w:val="en-US" w:eastAsia="zh-CN"/>
        </w:rPr>
        <w:t>建设选择地势较高处，区域内地面设有排水设施。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color w:val="auto"/>
          <w:kern w:val="0"/>
          <w:sz w:val="28"/>
          <w:szCs w:val="28"/>
          <w:lang w:val="en-US" w:eastAsia="zh-CN"/>
        </w:rPr>
        <w:t>（2）通向</w:t>
      </w:r>
      <w:r>
        <w:rPr>
          <w:rFonts w:ascii="宋体" w:eastAsia="宋体" w:cs="宋体" w:hAnsi="宋体" w:hint="eastAsia"/>
          <w:color w:val="auto"/>
          <w:kern w:val="0"/>
          <w:sz w:val="28"/>
          <w:szCs w:val="28"/>
          <w:lang w:val="en-US" w:eastAsia="zh-CN"/>
        </w:rPr>
        <w:t>站</w:t>
      </w:r>
      <w:r>
        <w:rPr>
          <w:rFonts w:ascii="宋体" w:eastAsia="宋体" w:cs="宋体" w:hAnsi="宋体"/>
          <w:color w:val="auto"/>
          <w:kern w:val="0"/>
          <w:sz w:val="28"/>
          <w:szCs w:val="28"/>
          <w:lang w:val="en-US" w:eastAsia="zh-CN"/>
        </w:rPr>
        <w:t>区建筑物外部的各种孔洞、管沟、通道、电缆沟设置相应的防洪措施</w:t>
      </w:r>
      <w:r>
        <w:rPr>
          <w:rFonts w:ascii="宋体" w:eastAsia="宋体" w:cs="宋体" w:hAnsi="宋体" w:hint="eastAsia"/>
          <w:color w:val="auto"/>
          <w:kern w:val="0"/>
          <w:sz w:val="28"/>
          <w:szCs w:val="28"/>
          <w:lang w:val="en-US" w:eastAsia="zh-CN"/>
        </w:rPr>
        <w:t>。</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（3）机械排水系统的水泵管道在排水管道上设置逆止阀。</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（4）防洪、防淹设施设有两个独立电源供电，任一电源均应满足工作负荷的要求</w:t>
      </w:r>
      <w:r>
        <w:rPr>
          <w:rFonts w:ascii="宋体" w:eastAsia="宋体" w:cs="宋体" w:hAnsi="宋体" w:hint="eastAsia"/>
          <w:color w:val="auto"/>
          <w:kern w:val="0"/>
          <w:sz w:val="28"/>
          <w:szCs w:val="28"/>
          <w:lang w:val="en-US"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eastAsia="zh-CN"/>
        </w:rPr>
        <w:t>升压站及风力发电机组基础应有防山洪和排山洪的措施，当遭遇特大暴雨时，需迅速地将场地雨水排出，</w:t>
      </w:r>
      <w:r>
        <w:rPr>
          <w:rFonts w:ascii="宋体" w:eastAsia="宋体" w:cs="宋体" w:hAnsi="宋体" w:hint="eastAsia"/>
          <w:color w:val="auto"/>
          <w:kern w:val="0"/>
          <w:sz w:val="28"/>
          <w:szCs w:val="28"/>
          <w:lang w:val="en-US" w:eastAsia="zh-CN"/>
        </w:rPr>
        <w:t>通过边坡防护，铺设排水沟等排水措施，加强项目区水土保持，具体措施如下：</w:t>
      </w:r>
    </w:p>
    <w:p>
      <w:pPr>
        <w:widowControl/>
        <w:numPr>
          <w:ilvl w:val="0"/>
          <w:numId w:val="4"/>
        </w:numPr>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升压站位于场区负荷中心地带，地面高程约为125m～140m，南侧地势相比周围地势较低，可顺利排泄雨水。升压站用地地势平缓，周围无大的河流，站内受洪水、内涝等影响较小。升压站地面整平采用平坡式。站内排水考虑采用有组织排水方式，设排水明沟和管道。站内雨水经过管道排入附近地面，经南侧自然坡面排出。</w:t>
      </w:r>
    </w:p>
    <w:p>
      <w:pPr>
        <w:widowControl/>
        <w:numPr>
          <w:ilvl w:val="0"/>
          <w:numId w:val="4"/>
        </w:numPr>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风电机组防洪措施主要根据各现状场地竖向条件，确定场地和道路竖向，确定排水方向，排水坡度约为2%～3%，雨水主要往场地出入口方向排出场区检修道路的截洪排水沟，以</w:t>
      </w:r>
      <w:r>
        <w:rPr>
          <w:rFonts w:ascii="宋体" w:eastAsia="宋体" w:cs="宋体" w:hAnsi="宋体" w:hint="eastAsia"/>
          <w:color w:val="auto"/>
          <w:kern w:val="0"/>
          <w:sz w:val="28"/>
          <w:szCs w:val="28"/>
        </w:rPr>
        <w:t>山地冲沟和坑塘河道为主要排水出口迅速将雨水排出</w:t>
      </w:r>
      <w:r>
        <w:rPr>
          <w:rFonts w:ascii="宋体" w:eastAsia="宋体" w:cs="宋体" w:hAnsi="宋体" w:hint="eastAsia"/>
          <w:color w:val="auto"/>
          <w:kern w:val="0"/>
          <w:sz w:val="28"/>
          <w:szCs w:val="28"/>
          <w:lang w:val="en-US" w:eastAsia="zh-CN"/>
        </w:rPr>
        <w:t>。</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58" w:name="_Toc4156"/>
      <w:r>
        <w:rPr>
          <w:rFonts w:ascii="宋体" w:eastAsia="宋体" w:cs="宋体" w:hAnsi="宋体" w:hint="eastAsia"/>
          <w:bCs/>
          <w:color w:val="auto"/>
          <w:sz w:val="32"/>
          <w:szCs w:val="32"/>
          <w:lang w:val="en-US" w:eastAsia="zh-CN"/>
        </w:rPr>
        <w:t>6.4地质灾害防治规划</w:t>
      </w:r>
      <w:bookmarkEnd w:id="58"/>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贯彻“以防为主，避让与治理相结合，全面规划，综合治理”的方针，坚持近期规划与</w:t>
      </w:r>
      <w:r>
        <w:rPr>
          <w:rFonts w:ascii="宋体" w:eastAsia="宋体" w:cs="宋体" w:hAnsi="宋体" w:hint="eastAsia"/>
          <w:color w:val="auto"/>
          <w:kern w:val="0"/>
          <w:sz w:val="28"/>
          <w:szCs w:val="28"/>
          <w:lang w:val="en-US" w:eastAsia="zh-CN"/>
        </w:rPr>
        <w:t>远</w:t>
      </w:r>
      <w:r>
        <w:rPr>
          <w:rFonts w:ascii="宋体" w:eastAsia="宋体" w:cs="宋体" w:hAnsi="宋体"/>
          <w:color w:val="auto"/>
          <w:kern w:val="0"/>
          <w:sz w:val="28"/>
          <w:szCs w:val="28"/>
          <w:lang w:val="en-US" w:eastAsia="zh-CN"/>
        </w:rPr>
        <w:t>期规划相结合、地质灾害体系全面规划与综合规划相结合、非工程治理（预防、避让）与工程治理相结合的原则，综合治理，统筹兼顾，突出重点，量力而行，分阶段实施。建立和完善地质灾害防治法规体系、行政监督管理体系和监测预报群测群防体系，对重点地区、重点灾害做到长期监测，及时预报，逐步治理，尽可能降低地质灾害发生率和损失，争取达到减少固定保护目标遇突发性地质灾害时的人员伤亡，减少重要建筑受地质灾害破坏</w:t>
      </w:r>
      <w:r>
        <w:rPr>
          <w:rFonts w:ascii="宋体" w:eastAsia="宋体" w:cs="宋体" w:hAnsi="宋体" w:hint="eastAsia"/>
          <w:color w:val="auto"/>
          <w:kern w:val="0"/>
          <w:sz w:val="28"/>
          <w:szCs w:val="28"/>
          <w:lang w:val="en-US"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根据《地质灾害防治条例》第二十四条：“对经评估认为可能引发地质灾害或者可能遭受地质灾害危害的建设工程，应当配套建设地质灾害治理工程。地质灾害治理工程的设计、施工和验收应当与主体工程的设计、施工、验收同时进行。配套的地质灾害治理工程未经验收或者经验收不合格的，主体工程不得投入生产或者使用。”</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color w:val="auto"/>
          <w:kern w:val="0"/>
          <w:sz w:val="28"/>
          <w:szCs w:val="28"/>
          <w:lang w:val="en-US" w:eastAsia="zh-CN"/>
        </w:rPr>
        <w:t>工程建设施工前应进行详细的岩土工程勘察，查明场地岩土体的分布特征，查明建设场地浅层溶洞、隐伏土洞、软弱土体的分布特征。</w:t>
      </w:r>
      <w:r>
        <w:rPr>
          <w:rFonts w:ascii="宋体" w:eastAsia="宋体" w:cs="宋体" w:hAnsi="宋体" w:hint="eastAsia"/>
          <w:color w:val="auto"/>
          <w:kern w:val="0"/>
          <w:sz w:val="28"/>
          <w:szCs w:val="28"/>
          <w:lang w:val="en-US" w:eastAsia="zh-CN"/>
        </w:rPr>
        <w:t>对可能引发地质灾害或者可能遭受地质灾害危害的建设工程，配套建设地质灾害治理工程。</w:t>
      </w:r>
      <w:r>
        <w:rPr>
          <w:rFonts w:ascii="宋体" w:eastAsia="宋体" w:cs="宋体" w:hAnsi="宋体"/>
          <w:color w:val="auto"/>
          <w:kern w:val="0"/>
          <w:sz w:val="28"/>
          <w:szCs w:val="28"/>
          <w:lang w:val="en-US" w:eastAsia="zh-CN"/>
        </w:rPr>
        <w:t>在工程建设和投入使用后对可能出现的不同地质灾害类型采取相应的防治措施，并加强监测，防止引发和遭受地质灾害</w:t>
      </w:r>
      <w:r>
        <w:rPr>
          <w:rFonts w:ascii="宋体" w:eastAsia="宋体" w:cs="宋体" w:hAnsi="宋体" w:hint="eastAsia"/>
          <w:color w:val="auto"/>
          <w:kern w:val="0"/>
          <w:sz w:val="28"/>
          <w:szCs w:val="28"/>
          <w:lang w:val="en-US" w:eastAsia="zh-CN"/>
        </w:rPr>
        <w:t>。通过现场平面地质调查，场区地貌类型为丘陵，地表植被覆盖较好，边坡基本稳定，未发现有较大规模的崩塌、滑坡、泥石流等不良物理地质作用与地质灾害，不存在可液化土层。场区道路与风机基础开挖的弃碴，在雨水冲刷(蚀)作用下，有诱发泥石流等地质灾害的可能。建议对弃</w:t>
      </w:r>
      <w:r>
        <w:rPr>
          <w:rFonts w:ascii="宋体" w:eastAsia="宋体" w:cs="宋体" w:hAnsi="宋体"/>
          <w:color w:val="auto"/>
          <w:kern w:val="0"/>
          <w:sz w:val="28"/>
          <w:szCs w:val="28"/>
          <w:lang w:val="en-US" w:eastAsia="zh-CN"/>
        </w:rPr>
        <w:t>渣</w:t>
      </w:r>
      <w:r>
        <w:rPr>
          <w:rFonts w:ascii="宋体" w:eastAsia="宋体" w:cs="宋体" w:hAnsi="宋体" w:hint="eastAsia"/>
          <w:color w:val="auto"/>
          <w:kern w:val="0"/>
          <w:sz w:val="28"/>
          <w:szCs w:val="28"/>
          <w:lang w:val="en-US" w:eastAsia="zh-CN"/>
        </w:rPr>
        <w:t>应集中堆积处理并做好防护等水土保持措施。</w:t>
      </w:r>
    </w:p>
    <w:p>
      <w:pPr>
        <w:pStyle w:val="1"/>
        <w:numPr>
          <w:ilvl w:val="0"/>
          <w:numId w:val="0"/>
        </w:numPr>
        <w:spacing w:before="260" w:line="360" w:lineRule="auto"/>
        <w:ind w:left="420" w:right="351"/>
        <w:jc w:val="center"/>
        <w:rPr>
          <w:rFonts w:ascii="宋体" w:eastAsia="宋体" w:cs="宋体" w:hAnsi="宋体"/>
          <w:bCs/>
          <w:color w:val="auto"/>
          <w:sz w:val="32"/>
          <w:szCs w:val="32"/>
        </w:rPr>
      </w:pPr>
      <w:bookmarkStart w:id="59" w:name="_Toc3912"/>
      <w:r>
        <w:rPr>
          <w:rFonts w:ascii="宋体" w:eastAsia="宋体" w:cs="宋体" w:hAnsi="宋体" w:hint="eastAsia"/>
          <w:bCs/>
          <w:color w:val="auto"/>
          <w:sz w:val="32"/>
          <w:szCs w:val="32"/>
          <w:lang w:eastAsia="zh-CN"/>
        </w:rPr>
        <w:t>第七章</w:t>
      </w:r>
      <w:r>
        <w:rPr>
          <w:rFonts w:ascii="宋体" w:eastAsia="宋体" w:cs="宋体" w:hAnsi="宋体" w:hint="eastAsia"/>
          <w:bCs/>
          <w:color w:val="auto"/>
          <w:sz w:val="32"/>
          <w:szCs w:val="32"/>
          <w:lang w:val="en-US" w:eastAsia="zh-CN"/>
        </w:rPr>
        <w:t xml:space="preserve"> </w:t>
      </w:r>
      <w:r>
        <w:rPr>
          <w:rFonts w:ascii="宋体" w:eastAsia="宋体" w:cs="宋体" w:hAnsi="宋体" w:hint="eastAsia"/>
          <w:bCs/>
          <w:color w:val="auto"/>
          <w:sz w:val="32"/>
          <w:szCs w:val="32"/>
          <w:lang w:eastAsia="zh-CN"/>
        </w:rPr>
        <w:t>地块管控</w:t>
      </w:r>
      <w:r>
        <w:rPr>
          <w:rFonts w:ascii="宋体" w:eastAsia="宋体" w:cs="宋体" w:hAnsi="宋体" w:hint="eastAsia"/>
          <w:bCs/>
          <w:color w:val="auto"/>
          <w:sz w:val="32"/>
          <w:szCs w:val="32"/>
        </w:rPr>
        <w:t>规划</w:t>
      </w:r>
      <w:bookmarkEnd w:id="59"/>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60" w:name="_Toc15756"/>
      <w:r>
        <w:rPr>
          <w:rFonts w:ascii="宋体" w:eastAsia="宋体" w:cs="宋体" w:hAnsi="宋体" w:hint="eastAsia"/>
          <w:bCs/>
          <w:color w:val="auto"/>
          <w:sz w:val="32"/>
          <w:szCs w:val="32"/>
          <w:lang w:val="en-US" w:eastAsia="zh-CN"/>
        </w:rPr>
        <w:t>7.1地块控制内容</w:t>
      </w:r>
      <w:bookmarkEnd w:id="60"/>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本规划为</w:t>
      </w:r>
      <w:r>
        <w:rPr>
          <w:rFonts w:ascii="宋体" w:eastAsia="宋体" w:cs="宋体" w:hAnsi="宋体" w:hint="eastAsia"/>
          <w:color w:val="auto"/>
          <w:kern w:val="0"/>
          <w:sz w:val="28"/>
          <w:szCs w:val="28"/>
          <w:lang w:eastAsia="zh-CN"/>
        </w:rPr>
        <w:t>钦北区百浪岭风电场一期</w:t>
      </w:r>
      <w:r>
        <w:rPr>
          <w:rFonts w:ascii="宋体" w:eastAsia="宋体" w:cs="宋体" w:hAnsi="宋体" w:hint="eastAsia"/>
          <w:color w:val="auto"/>
          <w:kern w:val="0"/>
          <w:sz w:val="28"/>
          <w:szCs w:val="28"/>
          <w:lang w:val="en-US" w:eastAsia="zh-CN"/>
        </w:rPr>
        <w:t>项目独立地块控规，本章节重点对项目升压站地块的建设提出</w:t>
      </w:r>
      <w:r>
        <w:rPr>
          <w:rFonts w:ascii="宋体" w:eastAsia="宋体" w:cs="宋体" w:hAnsi="宋体" w:hint="eastAsia"/>
          <w:color w:val="auto"/>
          <w:kern w:val="0"/>
          <w:sz w:val="28"/>
          <w:szCs w:val="28"/>
          <w:lang w:eastAsia="zh-CN"/>
        </w:rPr>
        <w:t>合理的建设容量控制指标，</w:t>
      </w:r>
      <w:r>
        <w:rPr>
          <w:rFonts w:ascii="宋体" w:eastAsia="宋体" w:cs="宋体" w:hAnsi="宋体" w:hint="eastAsia"/>
          <w:color w:val="auto"/>
          <w:kern w:val="0"/>
          <w:sz w:val="28"/>
          <w:szCs w:val="28"/>
          <w:lang w:val="en-US" w:eastAsia="zh-CN"/>
        </w:rPr>
        <w:t>主要包括容积率、建筑密度、建筑限高、绿地率以及规划控制线、建筑退线、建筑控制、交通管控、停车位配建等方面。其余风电机组用地着重在容积率方面进行管控。其中，各地块的用地性质、用地面积、容积率、建筑密度/建筑系数、绿地率、建筑限高为约束性指标。具体控制指标详见各地块图则。</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p>
    <w:p>
      <w:pPr>
        <w:pStyle w:val="17"/>
        <w:widowControl/>
        <w:autoSpaceDE w:val="0"/>
        <w:autoSpaceDN w:val="0"/>
        <w:spacing w:before="4" w:line="420" w:lineRule="auto"/>
        <w:ind w:left="118" w:right="351" w:firstLineChars="200" w:firstLine="560"/>
        <w:jc w:val="left"/>
        <w:rPr>
          <w:rFonts w:ascii="宋体" w:eastAsia="宋体" w:cs="宋体" w:hAnsi="宋体" w:hint="eastAsia"/>
          <w:b/>
          <w:bCs/>
          <w:color w:val="auto"/>
          <w:kern w:val="0"/>
          <w:sz w:val="28"/>
          <w:szCs w:val="28"/>
        </w:rPr>
      </w:pPr>
      <w:r>
        <w:rPr>
          <w:rFonts w:hint="eastAsia"/>
          <w:b/>
          <w:bCs/>
          <w:color w:val="auto"/>
          <w:sz w:val="28"/>
          <w:szCs w:val="28"/>
          <w:lang w:val="en-US" w:eastAsia="zh-CN"/>
        </w:rPr>
        <w:t>7.1.1</w:t>
      </w:r>
      <w:r>
        <w:rPr>
          <w:rFonts w:hint="eastAsia"/>
          <w:color w:val="auto"/>
        </w:rPr>
        <w:t xml:space="preserve"> </w:t>
      </w:r>
      <w:r>
        <w:rPr>
          <w:rFonts w:hint="eastAsia"/>
          <w:b/>
          <w:bCs/>
          <w:color w:val="auto"/>
          <w:sz w:val="28"/>
          <w:szCs w:val="28"/>
          <w:lang w:eastAsia="zh-CN"/>
        </w:rPr>
        <w:t>容积率</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hint="eastAsia"/>
          <w:color w:val="auto"/>
          <w:sz w:val="28"/>
          <w:szCs w:val="28"/>
          <w:lang w:eastAsia="zh-CN"/>
        </w:rPr>
        <w:t>（</w:t>
      </w:r>
      <w:r>
        <w:rPr>
          <w:rFonts w:hint="eastAsia"/>
          <w:color w:val="auto"/>
          <w:sz w:val="28"/>
          <w:szCs w:val="28"/>
          <w:lang w:val="en-US" w:eastAsia="zh-CN"/>
        </w:rPr>
        <w:t>1</w:t>
      </w:r>
      <w:r>
        <w:rPr>
          <w:rFonts w:hint="eastAsia"/>
          <w:color w:val="auto"/>
          <w:sz w:val="28"/>
          <w:szCs w:val="28"/>
          <w:lang w:eastAsia="zh-CN"/>
        </w:rPr>
        <w:t>）升压站用地容积率控制</w:t>
      </w:r>
    </w:p>
    <w:p>
      <w:pPr>
        <w:widowControl/>
        <w:spacing w:before="4" w:line="360" w:lineRule="auto"/>
        <w:ind w:left="118" w:right="351" w:firstLineChars="200" w:firstLine="560"/>
        <w:jc w:val="left"/>
        <w:rPr>
          <w:rFonts w:hint="eastAsia"/>
          <w:color w:val="auto"/>
        </w:rPr>
      </w:pPr>
      <w:r>
        <w:rPr>
          <w:rFonts w:ascii="宋体" w:eastAsia="宋体" w:cs="宋体" w:hAnsi="宋体" w:hint="eastAsia"/>
          <w:color w:val="auto"/>
          <w:kern w:val="0"/>
          <w:sz w:val="28"/>
          <w:szCs w:val="28"/>
          <w:lang w:eastAsia="zh-CN"/>
        </w:rPr>
        <w:t>参照</w:t>
      </w:r>
      <w:r>
        <w:rPr>
          <w:rFonts w:ascii="宋体" w:eastAsia="宋体" w:cs="宋体" w:hAnsi="宋体" w:hint="eastAsia"/>
          <w:color w:val="auto"/>
          <w:kern w:val="0"/>
          <w:sz w:val="28"/>
          <w:szCs w:val="28"/>
        </w:rPr>
        <w:t>《风电场工程设计导则》</w:t>
      </w:r>
      <w:r>
        <w:rPr>
          <w:rFonts w:ascii="宋体" w:eastAsia="宋体" w:cs="宋体" w:hAnsi="宋体" w:hint="eastAsia"/>
          <w:color w:val="auto"/>
          <w:kern w:val="0"/>
          <w:sz w:val="28"/>
          <w:szCs w:val="28"/>
          <w:lang w:eastAsia="zh-CN"/>
        </w:rPr>
        <w:t>第</w:t>
      </w:r>
      <w:r>
        <w:rPr>
          <w:rFonts w:ascii="宋体" w:eastAsia="宋体" w:cs="宋体" w:hAnsi="宋体" w:hint="eastAsia"/>
          <w:color w:val="auto"/>
          <w:kern w:val="0"/>
          <w:sz w:val="28"/>
          <w:szCs w:val="28"/>
          <w:lang w:val="en-US" w:eastAsia="zh-CN"/>
        </w:rPr>
        <w:t>5.5.2.13条和</w:t>
      </w:r>
      <w:r>
        <w:rPr>
          <w:rFonts w:ascii="宋体" w:eastAsia="宋体" w:cs="宋体" w:hAnsi="宋体" w:hint="eastAsia"/>
          <w:color w:val="auto"/>
          <w:kern w:val="0"/>
          <w:sz w:val="28"/>
          <w:szCs w:val="28"/>
          <w:lang w:eastAsia="zh-CN"/>
        </w:rPr>
        <w:t>第</w:t>
      </w:r>
      <w:r>
        <w:rPr>
          <w:rFonts w:ascii="宋体" w:eastAsia="宋体" w:cs="宋体" w:hAnsi="宋体" w:hint="eastAsia"/>
          <w:color w:val="auto"/>
          <w:kern w:val="0"/>
          <w:sz w:val="28"/>
          <w:szCs w:val="28"/>
          <w:lang w:val="en-US" w:eastAsia="zh-CN"/>
        </w:rPr>
        <w:t>5.5.4.2.2条</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w:t>
      </w:r>
      <w:r>
        <w:rPr>
          <w:rFonts w:ascii="宋体" w:eastAsia="宋体" w:cs="宋体" w:hAnsi="宋体" w:hint="eastAsia"/>
          <w:color w:val="auto"/>
          <w:kern w:val="0"/>
          <w:sz w:val="28"/>
          <w:szCs w:val="28"/>
          <w:lang w:eastAsia="zh-CN"/>
        </w:rPr>
        <w:t>变电站的生产楼宜设置二层，土地价格较高的地区，经技术经济比较后可设置两层以上</w:t>
      </w:r>
      <w:r>
        <w:rPr>
          <w:rFonts w:ascii="宋体" w:eastAsia="宋体" w:cs="宋体" w:hAnsi="宋体" w:hint="eastAsia"/>
          <w:color w:val="auto"/>
          <w:kern w:val="0"/>
          <w:sz w:val="28"/>
          <w:szCs w:val="28"/>
          <w:lang w:val="en-US" w:eastAsia="zh-CN"/>
        </w:rPr>
        <w:t>...”；“...35kV配电装置从工艺布置、人员安全上考虑可不与综合楼合并...”“...综合楼根据规模和需要可采用一层～三层建筑...</w:t>
      </w:r>
      <w:r>
        <w:rPr>
          <w:rFonts w:ascii="宋体" w:eastAsia="宋体" w:cs="宋体" w:hAnsi="宋体" w:hint="eastAsia"/>
          <w:color w:val="auto"/>
          <w:kern w:val="0"/>
          <w:sz w:val="28"/>
          <w:szCs w:val="28"/>
          <w:lang w:eastAsia="zh-CN"/>
        </w:rPr>
        <w:t>”</w:t>
      </w:r>
      <w:r>
        <w:rPr>
          <w:rFonts w:hint="eastAsia"/>
          <w:color w:val="auto"/>
          <w:sz w:val="28"/>
          <w:szCs w:val="28"/>
          <w:lang w:eastAsia="zh-CN"/>
        </w:rPr>
        <w:t>通过该导则和</w:t>
      </w:r>
      <w:r>
        <w:rPr>
          <w:rFonts w:hint="eastAsia"/>
          <w:color w:val="auto"/>
          <w:sz w:val="28"/>
          <w:szCs w:val="28"/>
          <w:lang w:val="en-US" w:eastAsia="zh-CN"/>
        </w:rPr>
        <w:t>以下表格</w:t>
      </w:r>
      <w:r>
        <w:rPr>
          <w:rFonts w:hint="eastAsia"/>
          <w:color w:val="auto"/>
          <w:sz w:val="28"/>
          <w:szCs w:val="28"/>
          <w:lang w:eastAsia="zh-CN"/>
        </w:rPr>
        <w:t>分析</w:t>
      </w:r>
      <w:r>
        <w:rPr>
          <w:rFonts w:ascii="宋体" w:eastAsia="宋体" w:cs="宋体" w:hAnsi="宋体" w:hint="eastAsia"/>
          <w:color w:val="auto"/>
          <w:kern w:val="0"/>
          <w:sz w:val="28"/>
          <w:szCs w:val="28"/>
          <w:lang w:eastAsia="zh-CN"/>
        </w:rPr>
        <w:t>：</w:t>
      </w:r>
    </w:p>
    <w:p>
      <w:pPr>
        <w:widowControl/>
        <w:spacing w:before="4" w:line="360" w:lineRule="auto"/>
        <w:ind w:left="560" w:right="351" w:hangingChars="200" w:hanging="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drawing>
          <wp:inline distT="0" distB="0" distL="114300" distR="114300">
            <wp:extent cx="5213984" cy="2411729"/>
            <wp:effectExtent l="0" t="0" r="16" b="36"/>
            <wp:docPr id="60" name="图片 10" descr="QQ20250219-181138"/>
            <wp:cNvGraphicFramePr>
              <a:graphicFrameLocks noChangeAspect="1"/>
            </wp:cNvGraphicFramePr>
            <a:graphic>
              <a:graphicData uri="http://schemas.openxmlformats.org/drawingml/2006/picture">
                <pic:pic>
                  <pic:nvPicPr>
                    <pic:cNvPr id="62" name="图片 10 62"/>
                    <pic:cNvPicPr/>
                  </pic:nvPicPr>
                  <pic:blipFill>
                    <a:blip r:embed="rId23"/>
                    <a:stretch>
                      <a:fillRect/>
                    </a:stretch>
                  </pic:blipFill>
                  <pic:spPr>
                    <a:xfrm rot="0">
                      <a:off x="0" y="0"/>
                      <a:ext cx="5213984" cy="2411729"/>
                    </a:xfrm>
                    <a:prstGeom prst="rect"/>
                    <a:noFill/>
                    <a:ln w="9525" cmpd="sng" cap="flat">
                      <a:noFill/>
                      <a:prstDash val="solid"/>
                      <a:miter/>
                    </a:ln>
                  </pic:spPr>
                </pic:pic>
              </a:graphicData>
            </a:graphic>
          </wp:inline>
        </w:drawing>
      </w:r>
    </w:p>
    <w:p>
      <w:pPr>
        <w:widowControl/>
        <w:spacing w:before="4" w:line="360" w:lineRule="auto"/>
        <w:ind w:left="0"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eastAsia="zh-CN"/>
        </w:rPr>
        <w:t>本项目</w:t>
      </w:r>
      <w:r>
        <w:rPr>
          <w:rFonts w:ascii="宋体" w:eastAsia="宋体" w:cs="宋体" w:hAnsi="宋体" w:hint="eastAsia"/>
          <w:color w:val="auto"/>
          <w:kern w:val="0"/>
          <w:sz w:val="28"/>
          <w:szCs w:val="28"/>
          <w:lang w:val="en-US" w:eastAsia="zh-CN"/>
        </w:rPr>
        <w:t>110kV</w:t>
      </w:r>
      <w:r>
        <w:rPr>
          <w:rFonts w:hint="eastAsia"/>
          <w:color w:val="auto"/>
          <w:sz w:val="28"/>
          <w:szCs w:val="28"/>
          <w:lang w:val="en-US" w:eastAsia="zh-CN"/>
        </w:rPr>
        <w:t>升压站</w:t>
      </w:r>
      <w:r>
        <w:rPr>
          <w:rFonts w:ascii="宋体" w:eastAsia="宋体" w:cs="宋体" w:hAnsi="宋体" w:hint="eastAsia"/>
          <w:color w:val="auto"/>
          <w:kern w:val="0"/>
          <w:sz w:val="28"/>
          <w:szCs w:val="28"/>
          <w:lang w:eastAsia="zh-CN"/>
        </w:rPr>
        <w:t>装机容量为</w:t>
      </w:r>
      <w:r>
        <w:rPr>
          <w:rFonts w:ascii="宋体" w:eastAsia="宋体" w:cs="宋体" w:hAnsi="宋体" w:hint="eastAsia"/>
          <w:color w:val="auto"/>
          <w:kern w:val="0"/>
          <w:sz w:val="28"/>
          <w:szCs w:val="28"/>
          <w:lang w:val="en-US" w:eastAsia="zh-CN"/>
        </w:rPr>
        <w:t>50MW，用地</w:t>
      </w:r>
      <w:r>
        <w:rPr>
          <w:rFonts w:hint="eastAsia"/>
          <w:color w:val="auto"/>
          <w:sz w:val="28"/>
          <w:szCs w:val="28"/>
          <w:lang w:val="en-US" w:eastAsia="zh-CN"/>
        </w:rPr>
        <w:t>面积为3232.1431㎡</w:t>
      </w:r>
      <w:r>
        <w:rPr>
          <w:rFonts w:ascii="宋体" w:eastAsia="宋体" w:cs="宋体" w:hAnsi="宋体" w:hint="eastAsia"/>
          <w:color w:val="auto"/>
          <w:kern w:val="0"/>
          <w:sz w:val="28"/>
          <w:szCs w:val="28"/>
          <w:lang w:val="en-US" w:eastAsia="zh-CN"/>
        </w:rPr>
        <w:t>，地块内规划拟建综合楼、配电楼、附属用房以及配电、其他配套设施等（详见以下升压站总平面意向方案设计图）。</w:t>
      </w:r>
      <w:r>
        <w:rPr>
          <w:rFonts w:ascii="宋体" w:eastAsia="宋体" w:cs="宋体" w:hAnsi="宋体" w:hint="eastAsia"/>
          <w:color w:val="auto"/>
          <w:kern w:val="0"/>
          <w:sz w:val="28"/>
          <w:szCs w:val="28"/>
          <w:lang w:eastAsia="zh-CN"/>
        </w:rPr>
        <w:t>参考以上</w:t>
      </w:r>
      <w:r>
        <w:rPr>
          <w:rFonts w:ascii="宋体" w:eastAsia="宋体" w:cs="宋体" w:hAnsi="宋体" w:hint="eastAsia"/>
          <w:color w:val="auto"/>
          <w:kern w:val="0"/>
          <w:sz w:val="28"/>
          <w:szCs w:val="28"/>
        </w:rPr>
        <w:t>《风电场工程设计导则》</w:t>
      </w:r>
      <w:r>
        <w:rPr>
          <w:rFonts w:ascii="宋体" w:eastAsia="宋体" w:cs="宋体" w:hAnsi="宋体" w:hint="eastAsia"/>
          <w:color w:val="auto"/>
          <w:kern w:val="0"/>
          <w:sz w:val="28"/>
          <w:szCs w:val="28"/>
          <w:lang w:eastAsia="zh-CN"/>
        </w:rPr>
        <w:t>表</w:t>
      </w:r>
      <w:r>
        <w:rPr>
          <w:rFonts w:ascii="宋体" w:eastAsia="宋体" w:cs="宋体" w:hAnsi="宋体" w:hint="eastAsia"/>
          <w:color w:val="auto"/>
          <w:kern w:val="0"/>
          <w:sz w:val="28"/>
          <w:szCs w:val="28"/>
          <w:lang w:val="en-US" w:eastAsia="zh-CN"/>
        </w:rPr>
        <w:t>5.5-1装机容量为50MW对应的风电场综合楼生产和非生产建筑面积上限合计1500㎡，除综合楼外，还有配电楼、水泵房、备品备件附属楼等辅助生产建筑以及分期建设的电气配电设施等未在上表列出，为了发挥</w:t>
      </w:r>
      <w:r>
        <w:rPr>
          <w:rFonts w:ascii="宋体" w:eastAsia="宋体" w:cs="宋体" w:hAnsi="宋体" w:hint="eastAsia"/>
          <w:color w:val="auto"/>
          <w:kern w:val="0"/>
          <w:sz w:val="28"/>
          <w:szCs w:val="28"/>
          <w:lang w:eastAsia="zh-CN"/>
        </w:rPr>
        <w:t>本项目升压站的最大供电效益，</w:t>
      </w:r>
      <w:r>
        <w:rPr>
          <w:rFonts w:ascii="宋体" w:eastAsia="宋体" w:cs="宋体" w:hAnsi="宋体" w:hint="eastAsia"/>
          <w:color w:val="auto"/>
          <w:kern w:val="0"/>
          <w:sz w:val="28"/>
          <w:szCs w:val="28"/>
          <w:lang w:val="en-US" w:eastAsia="zh-CN"/>
        </w:rPr>
        <w:t>根据实际为项目分期建设适当预留增加建筑面积规模的空间，提高地块容积率，节约用地，提高场地使用效益，</w:t>
      </w:r>
      <w:r>
        <w:rPr>
          <w:rFonts w:ascii="宋体" w:eastAsia="宋体" w:cs="宋体" w:hAnsi="宋体" w:hint="eastAsia"/>
          <w:color w:val="auto"/>
          <w:kern w:val="0"/>
          <w:sz w:val="28"/>
          <w:szCs w:val="28"/>
          <w:lang w:eastAsia="zh-CN"/>
        </w:rPr>
        <w:t>同时借鉴钦州市内外其他已批同类型案例——例如钦北区古道岭风电场一期工程已批的容积率的上限控制为</w:t>
      </w:r>
      <w:r>
        <w:rPr>
          <w:rFonts w:ascii="宋体" w:eastAsia="宋体" w:cs="宋体" w:hAnsi="宋体" w:hint="eastAsia"/>
          <w:color w:val="auto"/>
          <w:kern w:val="0"/>
          <w:sz w:val="28"/>
          <w:szCs w:val="28"/>
          <w:lang w:val="en-US" w:eastAsia="zh-CN"/>
        </w:rPr>
        <w:t>1.0，因此，</w:t>
      </w:r>
      <w:r>
        <w:rPr>
          <w:rFonts w:ascii="宋体" w:eastAsia="宋体" w:cs="宋体" w:hAnsi="宋体" w:hint="eastAsia"/>
          <w:color w:val="auto"/>
          <w:kern w:val="0"/>
          <w:sz w:val="28"/>
          <w:szCs w:val="28"/>
          <w:lang w:eastAsia="zh-CN"/>
        </w:rPr>
        <w:t>规划本项目升压站地块</w:t>
      </w:r>
      <w:r>
        <w:rPr>
          <w:rFonts w:ascii="宋体" w:eastAsia="宋体" w:cs="宋体" w:hAnsi="宋体" w:hint="eastAsia"/>
          <w:color w:val="auto"/>
          <w:kern w:val="0"/>
          <w:sz w:val="28"/>
          <w:szCs w:val="28"/>
          <w:lang w:val="en-US" w:eastAsia="zh-CN"/>
        </w:rPr>
        <w:t>容积</w:t>
      </w:r>
      <w:r>
        <w:rPr>
          <w:rFonts w:ascii="宋体" w:eastAsia="宋体" w:cs="宋体" w:hAnsi="宋体" w:hint="eastAsia"/>
          <w:color w:val="auto"/>
          <w:kern w:val="0"/>
          <w:sz w:val="28"/>
          <w:szCs w:val="28"/>
          <w:lang w:eastAsia="zh-CN"/>
        </w:rPr>
        <w:t>率控制为</w:t>
      </w:r>
      <w:r>
        <w:rPr>
          <w:rFonts w:ascii="宋体" w:eastAsia="宋体" w:cs="宋体" w:hAnsi="宋体" w:hint="eastAsia"/>
          <w:color w:val="auto"/>
          <w:kern w:val="0"/>
          <w:sz w:val="28"/>
          <w:szCs w:val="28"/>
          <w:lang w:val="en-US" w:eastAsia="zh-CN"/>
        </w:rPr>
        <w:t>R</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 xml:space="preserve">1.0。    </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hint="eastAsia"/>
          <w:color w:val="auto"/>
          <w:sz w:val="28"/>
          <w:szCs w:val="28"/>
          <w:lang w:eastAsia="zh-CN"/>
        </w:rPr>
        <w:t>（</w:t>
      </w:r>
      <w:r>
        <w:rPr>
          <w:rFonts w:hint="eastAsia"/>
          <w:color w:val="auto"/>
          <w:sz w:val="28"/>
          <w:szCs w:val="28"/>
          <w:lang w:val="en-US" w:eastAsia="zh-CN"/>
        </w:rPr>
        <w:t>2</w:t>
      </w:r>
      <w:r>
        <w:rPr>
          <w:rFonts w:hint="eastAsia"/>
          <w:color w:val="auto"/>
          <w:sz w:val="28"/>
          <w:szCs w:val="28"/>
          <w:lang w:eastAsia="zh-CN"/>
        </w:rPr>
        <w:t>）风电机组和箱变用地容积率控制</w:t>
      </w:r>
    </w:p>
    <w:p>
      <w:pPr>
        <w:widowControl/>
        <w:spacing w:before="4" w:line="360" w:lineRule="auto"/>
        <w:ind w:left="0"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eastAsia="zh-CN"/>
        </w:rPr>
        <w:t>风机属于大型构筑物，风机和箱式变压器由于常年运转难免会出现设备问题，如更换设备，从运输、施工吊装整个过程较困难，因此，风机和箱变用地内需要建设小型的临时检修站对其定期检查、保养和维护，待设备正常运行时即拆除临建建筑。本规划控制</w:t>
      </w:r>
      <w:r>
        <w:rPr>
          <w:rFonts w:hint="eastAsia"/>
          <w:color w:val="auto"/>
          <w:sz w:val="28"/>
          <w:szCs w:val="28"/>
          <w:lang w:eastAsia="zh-CN"/>
        </w:rPr>
        <w:t>风机和箱变用地</w:t>
      </w:r>
      <w:r>
        <w:rPr>
          <w:rFonts w:ascii="宋体" w:eastAsia="宋体" w:cs="宋体" w:hAnsi="宋体" w:hint="eastAsia"/>
          <w:color w:val="auto"/>
          <w:kern w:val="0"/>
          <w:sz w:val="28"/>
          <w:szCs w:val="28"/>
          <w:lang w:val="en-US" w:eastAsia="zh-CN"/>
        </w:rPr>
        <w:t>容积</w:t>
      </w:r>
      <w:r>
        <w:rPr>
          <w:rFonts w:ascii="宋体" w:eastAsia="宋体" w:cs="宋体" w:hAnsi="宋体" w:hint="eastAsia"/>
          <w:color w:val="auto"/>
          <w:kern w:val="0"/>
          <w:sz w:val="28"/>
          <w:szCs w:val="28"/>
          <w:lang w:eastAsia="zh-CN"/>
        </w:rPr>
        <w:t>率为</w:t>
      </w:r>
      <w:r>
        <w:rPr>
          <w:rFonts w:ascii="宋体" w:eastAsia="宋体" w:cs="宋体" w:hAnsi="宋体" w:hint="eastAsia"/>
          <w:color w:val="auto"/>
          <w:kern w:val="0"/>
          <w:sz w:val="28"/>
          <w:szCs w:val="28"/>
          <w:lang w:val="en-US" w:eastAsia="zh-CN"/>
        </w:rPr>
        <w:t>R</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0.2。</w:t>
      </w:r>
    </w:p>
    <w:p>
      <w:pPr>
        <w:pStyle w:val="17"/>
        <w:widowControl/>
        <w:autoSpaceDE w:val="0"/>
        <w:autoSpaceDN w:val="0"/>
        <w:spacing w:before="4" w:line="420" w:lineRule="auto"/>
        <w:ind w:left="118" w:right="351" w:firstLineChars="200" w:firstLine="560"/>
        <w:jc w:val="left"/>
        <w:rPr>
          <w:rFonts w:ascii="宋体" w:eastAsia="宋体" w:cs="宋体" w:hAnsi="宋体" w:hint="eastAsia"/>
          <w:b/>
          <w:bCs/>
          <w:color w:val="auto"/>
          <w:kern w:val="0"/>
          <w:sz w:val="28"/>
          <w:szCs w:val="28"/>
        </w:rPr>
      </w:pPr>
      <w:r>
        <w:rPr>
          <w:rFonts w:hint="eastAsia"/>
          <w:b/>
          <w:bCs/>
          <w:color w:val="auto"/>
          <w:sz w:val="28"/>
          <w:szCs w:val="28"/>
          <w:lang w:val="en-US" w:eastAsia="zh-CN"/>
        </w:rPr>
        <w:t xml:space="preserve">7.1.2 </w:t>
      </w:r>
      <w:r>
        <w:rPr>
          <w:rFonts w:hint="eastAsia"/>
          <w:b/>
          <w:bCs/>
          <w:color w:val="auto"/>
          <w:sz w:val="28"/>
          <w:szCs w:val="28"/>
          <w:lang w:eastAsia="zh-CN"/>
        </w:rPr>
        <w:t>建筑密度</w:t>
      </w:r>
    </w:p>
    <w:p>
      <w:pPr>
        <w:widowControl/>
        <w:spacing w:before="4" w:line="360" w:lineRule="auto"/>
        <w:ind w:left="118" w:right="351" w:firstLineChars="200" w:firstLine="560"/>
        <w:jc w:val="left"/>
        <w:rPr>
          <w:color w:val="auto"/>
          <w:sz w:val="28"/>
          <w:szCs w:val="28"/>
          <w:lang w:val="en-US" w:eastAsia="zh-CN"/>
        </w:rPr>
      </w:pPr>
      <w:r>
        <w:rPr>
          <w:rFonts w:hint="eastAsia"/>
          <w:color w:val="auto"/>
          <w:sz w:val="28"/>
          <w:szCs w:val="28"/>
          <w:lang w:eastAsia="zh-CN"/>
        </w:rPr>
        <w:t>风电场工程项目建设应根据风电行业发展的需要，在综合考虑风能资源、场址、电力市场、接入系统和资金筹措能力等建设条件的同时，体现科学、合理和节约集约用地的原则。本项目</w:t>
      </w:r>
      <w:r>
        <w:rPr>
          <w:rFonts w:hint="eastAsia"/>
          <w:color w:val="auto"/>
          <w:sz w:val="28"/>
          <w:szCs w:val="28"/>
          <w:lang w:val="en-US" w:eastAsia="zh-CN"/>
        </w:rPr>
        <w:t>风电机组和箱变用地为永久用地，其报批的建设用地指标即为风电机组和箱变的基础底板外轮廓面积，因此，本规划着重对</w:t>
      </w:r>
      <w:r>
        <w:rPr>
          <w:rFonts w:hint="eastAsia"/>
          <w:color w:val="auto"/>
          <w:sz w:val="28"/>
          <w:szCs w:val="28"/>
          <w:lang w:eastAsia="zh-CN"/>
        </w:rPr>
        <w:t>升压站地块的建筑密度进行规划控制。</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hint="eastAsia"/>
          <w:color w:val="auto"/>
          <w:sz w:val="28"/>
          <w:szCs w:val="28"/>
          <w:lang w:eastAsia="zh-CN"/>
        </w:rPr>
        <w:t>根据</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电力工程项目建设用地指标(风电场)</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建标(2011)209号</w:t>
      </w:r>
      <w:r>
        <w:rPr>
          <w:rFonts w:hint="eastAsia"/>
          <w:color w:val="auto"/>
          <w:sz w:val="28"/>
          <w:szCs w:val="28"/>
          <w:lang w:eastAsia="zh-CN"/>
        </w:rPr>
        <w:t>第</w:t>
      </w:r>
      <w:r>
        <w:rPr>
          <w:rFonts w:hint="eastAsia"/>
          <w:color w:val="auto"/>
          <w:sz w:val="28"/>
          <w:szCs w:val="28"/>
          <w:lang w:val="en-US" w:eastAsia="zh-CN"/>
        </w:rPr>
        <w:t>5.0.3至5.0.6条规定及表格分析，该项目110kV（50MW）升压变电站用地指标上限应为4800㎡+5600㎡=10400㎡（升压变电站+运行管理中心），而</w:t>
      </w:r>
      <w:r>
        <w:rPr>
          <w:rFonts w:ascii="宋体" w:eastAsia="宋体" w:cs="宋体" w:hAnsi="宋体" w:hint="eastAsia"/>
          <w:color w:val="auto"/>
          <w:kern w:val="0"/>
          <w:sz w:val="28"/>
          <w:szCs w:val="28"/>
          <w:lang w:eastAsia="zh-CN"/>
        </w:rPr>
        <w:t>研究地块用地面积仅为</w:t>
      </w:r>
      <w:r>
        <w:rPr>
          <w:rFonts w:ascii="宋体" w:eastAsia="宋体" w:cs="宋体" w:hAnsi="宋体" w:hint="eastAsia"/>
          <w:color w:val="auto"/>
          <w:kern w:val="0"/>
          <w:sz w:val="28"/>
          <w:szCs w:val="28"/>
          <w:lang w:val="en-US" w:eastAsia="zh-CN"/>
        </w:rPr>
        <w:t>3232.1431㎡，远小于上限指标10400㎡，规划</w:t>
      </w:r>
      <w:r>
        <w:rPr>
          <w:rFonts w:hint="eastAsia"/>
          <w:color w:val="auto"/>
          <w:sz w:val="28"/>
          <w:szCs w:val="28"/>
          <w:lang w:eastAsia="zh-CN"/>
        </w:rPr>
        <w:t>在该地块内合建</w:t>
      </w:r>
      <w:r>
        <w:rPr>
          <w:rFonts w:hint="eastAsia"/>
          <w:color w:val="auto"/>
          <w:sz w:val="28"/>
          <w:szCs w:val="28"/>
          <w:lang w:val="en-US" w:eastAsia="zh-CN"/>
        </w:rPr>
        <w:t>升压变电站和运行管理中心，用地面积十分有限，秉着</w:t>
      </w:r>
      <w:r>
        <w:rPr>
          <w:rFonts w:ascii="宋体" w:eastAsia="宋体" w:cs="宋体" w:hAnsi="宋体" w:hint="eastAsia"/>
          <w:color w:val="auto"/>
          <w:kern w:val="0"/>
          <w:sz w:val="28"/>
          <w:szCs w:val="28"/>
          <w:lang w:val="en-US" w:eastAsia="zh-CN"/>
        </w:rPr>
        <w:t>节约集约利用土地原则，为升压站分期建设的电气配电装置及设备预留发展空间，</w:t>
      </w:r>
      <w:r>
        <w:rPr>
          <w:rFonts w:ascii="宋体" w:eastAsia="宋体" w:cs="宋体" w:hAnsi="宋体" w:hint="eastAsia"/>
          <w:color w:val="auto"/>
          <w:kern w:val="0"/>
          <w:sz w:val="28"/>
          <w:szCs w:val="28"/>
          <w:lang w:eastAsia="zh-CN"/>
        </w:rPr>
        <w:t>同时借鉴钦州市内外其他已批同类型案例——例如钦北区古道岭风电场一期工程已批的建筑密度的上限控制为</w:t>
      </w:r>
      <w:r>
        <w:rPr>
          <w:rFonts w:ascii="宋体" w:eastAsia="宋体" w:cs="宋体" w:hAnsi="宋体" w:hint="eastAsia"/>
          <w:color w:val="auto"/>
          <w:kern w:val="0"/>
          <w:sz w:val="28"/>
          <w:szCs w:val="28"/>
          <w:lang w:val="en-US" w:eastAsia="zh-CN"/>
        </w:rPr>
        <w:t>30%，本次</w:t>
      </w:r>
      <w:r>
        <w:rPr>
          <w:rFonts w:hint="eastAsia"/>
          <w:color w:val="auto"/>
          <w:sz w:val="28"/>
          <w:szCs w:val="28"/>
          <w:lang w:val="en-US" w:eastAsia="zh-CN"/>
        </w:rPr>
        <w:t>规划升压站地块的建筑密度控制为≤30%</w:t>
      </w:r>
      <w:r>
        <w:rPr>
          <w:rFonts w:ascii="宋体" w:eastAsia="宋体" w:cs="宋体" w:hAnsi="宋体" w:hint="eastAsia"/>
          <w:color w:val="auto"/>
          <w:kern w:val="0"/>
          <w:sz w:val="28"/>
          <w:szCs w:val="28"/>
        </w:rPr>
        <w:t>。</w:t>
      </w:r>
    </w:p>
    <w:p>
      <w:pPr>
        <w:pStyle w:val="17"/>
        <w:rPr>
          <w:rFonts w:hint="eastAsia"/>
          <w:color w:val="auto"/>
          <w:lang w:eastAsia="zh-CN"/>
        </w:rPr>
      </w:pPr>
      <w:r>
        <w:rPr>
          <w:rFonts w:eastAsia="宋体" w:hint="eastAsia"/>
          <w:color w:val="auto"/>
          <w:lang w:eastAsia="zh-CN"/>
        </w:rPr>
        <w:drawing>
          <wp:inline distT="0" distB="0" distL="114300" distR="114300">
            <wp:extent cx="5273675" cy="2158365"/>
            <wp:effectExtent l="0" t="0" r="46" b="33"/>
            <wp:docPr id="63" name="图片 23" descr="QQ20250227-122449"/>
            <wp:cNvGraphicFramePr>
              <a:graphicFrameLocks noChangeAspect="1"/>
            </wp:cNvGraphicFramePr>
            <a:graphic>
              <a:graphicData uri="http://schemas.openxmlformats.org/drawingml/2006/picture">
                <pic:pic>
                  <pic:nvPicPr>
                    <pic:cNvPr id="65" name="图片 23 65"/>
                    <pic:cNvPicPr/>
                  </pic:nvPicPr>
                  <pic:blipFill>
                    <a:blip r:embed="rId24"/>
                    <a:stretch>
                      <a:fillRect/>
                    </a:stretch>
                  </pic:blipFill>
                  <pic:spPr>
                    <a:xfrm rot="0">
                      <a:off x="0" y="0"/>
                      <a:ext cx="5273675" cy="2158365"/>
                    </a:xfrm>
                    <a:prstGeom prst="rect"/>
                    <a:noFill/>
                    <a:ln w="9525" cmpd="sng" cap="flat">
                      <a:noFill/>
                      <a:prstDash val="solid"/>
                      <a:miter/>
                    </a:ln>
                  </pic:spPr>
                </pic:pic>
              </a:graphicData>
            </a:graphic>
          </wp:inline>
        </w:drawing>
      </w:r>
    </w:p>
    <w:p>
      <w:pPr>
        <w:pStyle w:val="17"/>
        <w:widowControl/>
        <w:autoSpaceDE w:val="0"/>
        <w:autoSpaceDN w:val="0"/>
        <w:spacing w:before="4" w:line="420" w:lineRule="auto"/>
        <w:ind w:left="118" w:right="351" w:firstLineChars="200" w:firstLine="560"/>
        <w:jc w:val="left"/>
        <w:rPr>
          <w:rFonts w:ascii="宋体" w:eastAsia="宋体" w:cs="宋体" w:hAnsi="宋体" w:hint="eastAsia"/>
          <w:b/>
          <w:bCs/>
          <w:color w:val="auto"/>
          <w:kern w:val="0"/>
          <w:sz w:val="28"/>
          <w:szCs w:val="28"/>
        </w:rPr>
      </w:pPr>
      <w:r>
        <w:rPr>
          <w:rFonts w:hint="eastAsia"/>
          <w:b/>
          <w:bCs/>
          <w:color w:val="auto"/>
          <w:sz w:val="28"/>
          <w:szCs w:val="28"/>
          <w:lang w:val="en-US" w:eastAsia="zh-CN"/>
        </w:rPr>
        <w:t xml:space="preserve">7.1.3 </w:t>
      </w:r>
      <w:r>
        <w:rPr>
          <w:rFonts w:hint="eastAsia"/>
          <w:b/>
          <w:bCs/>
          <w:color w:val="auto"/>
          <w:sz w:val="28"/>
          <w:szCs w:val="28"/>
          <w:lang w:eastAsia="zh-CN"/>
        </w:rPr>
        <w:t>绿地率</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eastAsia="zh-CN"/>
        </w:rPr>
        <w:t>参照</w:t>
      </w:r>
      <w:r>
        <w:rPr>
          <w:rFonts w:ascii="宋体" w:eastAsia="宋体" w:cs="宋体" w:hAnsi="宋体" w:hint="eastAsia"/>
          <w:color w:val="auto"/>
          <w:kern w:val="0"/>
          <w:sz w:val="28"/>
          <w:szCs w:val="28"/>
        </w:rPr>
        <w:t>《风电场工程设计导则》</w:t>
      </w:r>
      <w:r>
        <w:rPr>
          <w:rFonts w:ascii="宋体" w:eastAsia="宋体" w:cs="宋体" w:hAnsi="宋体" w:hint="eastAsia"/>
          <w:color w:val="auto"/>
          <w:kern w:val="0"/>
          <w:sz w:val="28"/>
          <w:szCs w:val="28"/>
          <w:lang w:eastAsia="zh-CN"/>
        </w:rPr>
        <w:t>第</w:t>
      </w:r>
      <w:r>
        <w:rPr>
          <w:rFonts w:ascii="宋体" w:eastAsia="宋体" w:cs="宋体" w:hAnsi="宋体" w:hint="eastAsia"/>
          <w:color w:val="auto"/>
          <w:kern w:val="0"/>
          <w:sz w:val="28"/>
          <w:szCs w:val="28"/>
          <w:lang w:val="en-US" w:eastAsia="zh-CN"/>
        </w:rPr>
        <w:t>4.9.6条</w:t>
      </w:r>
      <w:r>
        <w:rPr>
          <w:rFonts w:ascii="宋体" w:eastAsia="宋体" w:cs="宋体" w:hAnsi="宋体" w:hint="eastAsia"/>
          <w:color w:val="auto"/>
          <w:kern w:val="0"/>
          <w:sz w:val="28"/>
          <w:szCs w:val="28"/>
          <w:lang w:eastAsia="zh-CN"/>
        </w:rPr>
        <w:t>“变电站的选所和建设应符合国家《全国生态环境保护纲要》的有关要求。根据绿化规划应因地制宜在变电站所区内外种植树木和草皮，变电站绿化率不宜低于</w:t>
      </w:r>
      <w:r>
        <w:rPr>
          <w:rFonts w:ascii="宋体" w:eastAsia="宋体" w:cs="宋体" w:hAnsi="宋体" w:hint="eastAsia"/>
          <w:color w:val="auto"/>
          <w:kern w:val="0"/>
          <w:sz w:val="28"/>
          <w:szCs w:val="28"/>
          <w:lang w:val="en-US" w:eastAsia="zh-CN"/>
        </w:rPr>
        <w:t>15%……</w:t>
      </w:r>
      <w:r>
        <w:rPr>
          <w:rFonts w:ascii="宋体" w:eastAsia="宋体" w:cs="宋体" w:hAnsi="宋体" w:hint="eastAsia"/>
          <w:color w:val="auto"/>
          <w:kern w:val="0"/>
          <w:sz w:val="28"/>
          <w:szCs w:val="28"/>
          <w:lang w:eastAsia="zh-CN"/>
        </w:rPr>
        <w:t>”，风电场升压</w:t>
      </w:r>
      <w:r>
        <w:rPr>
          <w:rFonts w:ascii="宋体" w:eastAsia="宋体" w:cs="宋体" w:hAnsi="宋体" w:hint="eastAsia"/>
          <w:color w:val="auto"/>
          <w:kern w:val="0"/>
          <w:sz w:val="28"/>
          <w:szCs w:val="28"/>
        </w:rPr>
        <w:t>站</w:t>
      </w:r>
      <w:r>
        <w:rPr>
          <w:rFonts w:ascii="宋体" w:eastAsia="宋体" w:cs="宋体" w:hAnsi="宋体" w:hint="eastAsia"/>
          <w:color w:val="auto"/>
          <w:kern w:val="0"/>
          <w:sz w:val="28"/>
          <w:szCs w:val="28"/>
          <w:lang w:eastAsia="zh-CN"/>
        </w:rPr>
        <w:t>地块</w:t>
      </w:r>
      <w:r>
        <w:rPr>
          <w:rFonts w:ascii="宋体" w:eastAsia="宋体" w:cs="宋体" w:hAnsi="宋体" w:hint="eastAsia"/>
          <w:color w:val="auto"/>
          <w:kern w:val="0"/>
          <w:sz w:val="28"/>
          <w:szCs w:val="28"/>
        </w:rPr>
        <w:t>属于公用设施</w:t>
      </w:r>
      <w:r>
        <w:rPr>
          <w:rFonts w:ascii="宋体" w:eastAsia="宋体" w:cs="宋体" w:hAnsi="宋体" w:hint="eastAsia"/>
          <w:color w:val="auto"/>
          <w:kern w:val="0"/>
          <w:sz w:val="28"/>
          <w:szCs w:val="28"/>
          <w:lang w:eastAsia="zh-CN"/>
        </w:rPr>
        <w:t>的供电</w:t>
      </w:r>
      <w:r>
        <w:rPr>
          <w:rFonts w:ascii="宋体" w:eastAsia="宋体" w:cs="宋体" w:hAnsi="宋体" w:hint="eastAsia"/>
          <w:color w:val="auto"/>
          <w:kern w:val="0"/>
          <w:sz w:val="28"/>
          <w:szCs w:val="28"/>
        </w:rPr>
        <w:t>用地，</w:t>
      </w:r>
      <w:r>
        <w:rPr>
          <w:rFonts w:ascii="宋体" w:eastAsia="宋体" w:cs="宋体" w:hAnsi="宋体" w:hint="eastAsia"/>
          <w:color w:val="auto"/>
          <w:kern w:val="0"/>
          <w:sz w:val="28"/>
          <w:szCs w:val="28"/>
          <w:lang w:eastAsia="zh-CN"/>
        </w:rPr>
        <w:t>地块内配建的绿化用地是属于单位附属绿地，应充分利用路旁、建筑物旁以及其他空闲场地，种植生长力强、维护量小的植物，并应注意保护站区周围原有绿化。本规划控制升压站地块绿地率为≥</w:t>
      </w:r>
      <w:r>
        <w:rPr>
          <w:rFonts w:ascii="宋体" w:eastAsia="宋体" w:cs="宋体" w:hAnsi="宋体" w:hint="eastAsia"/>
          <w:color w:val="auto"/>
          <w:kern w:val="0"/>
          <w:sz w:val="28"/>
          <w:szCs w:val="28"/>
          <w:lang w:val="en-US" w:eastAsia="zh-CN"/>
        </w:rPr>
        <w:t>15%。</w:t>
      </w:r>
    </w:p>
    <w:p>
      <w:pPr>
        <w:pStyle w:val="17"/>
        <w:widowControl/>
        <w:autoSpaceDE w:val="0"/>
        <w:autoSpaceDN w:val="0"/>
        <w:spacing w:before="4" w:line="420" w:lineRule="auto"/>
        <w:ind w:left="118" w:right="351" w:firstLineChars="200" w:firstLine="560"/>
        <w:jc w:val="left"/>
        <w:rPr>
          <w:rFonts w:hint="eastAsia"/>
          <w:b/>
          <w:bCs/>
          <w:color w:val="auto"/>
          <w:sz w:val="28"/>
          <w:szCs w:val="28"/>
          <w:lang w:val="en-US" w:eastAsia="zh-CN"/>
        </w:rPr>
      </w:pPr>
      <w:r>
        <w:rPr>
          <w:rFonts w:hint="eastAsia"/>
          <w:b/>
          <w:bCs/>
          <w:color w:val="auto"/>
          <w:sz w:val="28"/>
          <w:szCs w:val="28"/>
          <w:lang w:val="en-US" w:eastAsia="zh-CN"/>
        </w:rPr>
        <w:t>7.1.4 建筑限高</w:t>
      </w:r>
    </w:p>
    <w:p>
      <w:pPr>
        <w:widowControl/>
        <w:spacing w:before="4" w:line="360" w:lineRule="auto"/>
        <w:ind w:left="118" w:right="351" w:firstLineChars="200" w:firstLine="560"/>
        <w:jc w:val="left"/>
        <w:rPr>
          <w:rFonts w:hint="eastAsia"/>
          <w:color w:val="auto"/>
          <w:sz w:val="28"/>
          <w:szCs w:val="28"/>
          <w:lang w:eastAsia="zh-CN"/>
        </w:rPr>
      </w:pPr>
      <w:r>
        <w:rPr>
          <w:rFonts w:ascii="宋体" w:eastAsia="宋体" w:cs="宋体" w:hAnsi="宋体" w:hint="eastAsia"/>
          <w:color w:val="auto"/>
          <w:kern w:val="0"/>
          <w:sz w:val="28"/>
          <w:szCs w:val="28"/>
          <w:lang w:eastAsia="zh-CN"/>
        </w:rPr>
        <w:t>本项目风电场根据实际建设需要，</w:t>
      </w:r>
      <w:r>
        <w:rPr>
          <w:rFonts w:ascii="宋体" w:eastAsia="宋体" w:cs="宋体" w:hAnsi="宋体" w:hint="eastAsia"/>
          <w:color w:val="auto"/>
          <w:kern w:val="0"/>
          <w:sz w:val="28"/>
          <w:szCs w:val="28"/>
          <w:lang w:val="en-US" w:eastAsia="zh-CN"/>
        </w:rPr>
        <w:t>110kV</w:t>
      </w:r>
      <w:r>
        <w:rPr>
          <w:rFonts w:ascii="宋体" w:eastAsia="宋体" w:cs="宋体" w:hAnsi="宋体" w:hint="eastAsia"/>
          <w:color w:val="auto"/>
          <w:kern w:val="0"/>
          <w:sz w:val="28"/>
          <w:szCs w:val="28"/>
          <w:lang w:eastAsia="zh-CN"/>
        </w:rPr>
        <w:t>升压站地块内主要布置综合楼、配电楼、</w:t>
      </w:r>
      <w:r>
        <w:rPr>
          <w:rFonts w:ascii="宋体" w:eastAsia="宋体" w:cs="宋体" w:hAnsi="宋体" w:hint="eastAsia"/>
          <w:color w:val="auto"/>
          <w:kern w:val="0"/>
          <w:sz w:val="28"/>
          <w:szCs w:val="28"/>
          <w:lang w:val="en-US" w:eastAsia="zh-CN"/>
        </w:rPr>
        <w:t>电气配电装置和设备等，</w:t>
      </w:r>
      <w:r>
        <w:rPr>
          <w:rFonts w:ascii="宋体" w:eastAsia="宋体" w:cs="宋体" w:hAnsi="宋体" w:hint="eastAsia"/>
          <w:color w:val="auto"/>
          <w:kern w:val="0"/>
          <w:sz w:val="28"/>
          <w:szCs w:val="28"/>
          <w:lang w:eastAsia="zh-CN"/>
        </w:rPr>
        <w:t>参照</w:t>
      </w:r>
      <w:r>
        <w:rPr>
          <w:rFonts w:ascii="宋体" w:eastAsia="宋体" w:cs="宋体" w:hAnsi="宋体" w:hint="eastAsia"/>
          <w:color w:val="auto"/>
          <w:kern w:val="0"/>
          <w:sz w:val="28"/>
          <w:szCs w:val="28"/>
        </w:rPr>
        <w:t>《风电场工程设计导则》</w:t>
      </w:r>
      <w:r>
        <w:rPr>
          <w:rFonts w:ascii="宋体" w:eastAsia="宋体" w:cs="宋体" w:hAnsi="宋体" w:hint="eastAsia"/>
          <w:color w:val="auto"/>
          <w:kern w:val="0"/>
          <w:sz w:val="28"/>
          <w:szCs w:val="28"/>
          <w:lang w:eastAsia="zh-CN"/>
        </w:rPr>
        <w:t>：“变电站的生产楼宜设置二层，土地价格较高的地区，经技术经济比较后可设置两层以上</w:t>
      </w:r>
      <w:r>
        <w:rPr>
          <w:rFonts w:ascii="宋体" w:eastAsia="宋体" w:cs="宋体" w:hAnsi="宋体" w:hint="eastAsia"/>
          <w:color w:val="auto"/>
          <w:kern w:val="0"/>
          <w:sz w:val="28"/>
          <w:szCs w:val="28"/>
          <w:lang w:val="en-US" w:eastAsia="zh-CN"/>
        </w:rPr>
        <w:t>...综合楼根据规模和需要可采用一层～三层建筑</w:t>
      </w:r>
      <w:r>
        <w:rPr>
          <w:rFonts w:ascii="宋体" w:eastAsia="宋体" w:cs="宋体" w:hAnsi="宋体" w:hint="eastAsia"/>
          <w:color w:val="auto"/>
          <w:kern w:val="0"/>
          <w:sz w:val="28"/>
          <w:szCs w:val="28"/>
          <w:lang w:eastAsia="zh-CN"/>
        </w:rPr>
        <w:t>”</w:t>
      </w:r>
      <w:r>
        <w:rPr>
          <w:rFonts w:hint="eastAsia"/>
          <w:color w:val="auto"/>
          <w:sz w:val="28"/>
          <w:szCs w:val="28"/>
        </w:rPr>
        <w:t>，</w:t>
      </w:r>
      <w:r>
        <w:rPr>
          <w:rFonts w:hint="eastAsia"/>
          <w:color w:val="auto"/>
          <w:sz w:val="28"/>
          <w:szCs w:val="28"/>
          <w:lang w:eastAsia="zh-CN"/>
        </w:rPr>
        <w:t>从该导则和</w:t>
      </w:r>
      <w:r>
        <w:rPr>
          <w:rFonts w:hint="eastAsia"/>
          <w:color w:val="auto"/>
          <w:sz w:val="28"/>
          <w:szCs w:val="28"/>
          <w:lang w:val="en-US" w:eastAsia="zh-CN"/>
        </w:rPr>
        <w:t>风电行业的建设特点</w:t>
      </w:r>
      <w:r>
        <w:rPr>
          <w:rFonts w:hint="eastAsia"/>
          <w:color w:val="auto"/>
          <w:sz w:val="28"/>
          <w:szCs w:val="28"/>
          <w:lang w:eastAsia="zh-CN"/>
        </w:rPr>
        <w:t>分析，本项目升压站地块内的建</w:t>
      </w:r>
      <w:r>
        <w:rPr>
          <w:rFonts w:hint="eastAsia"/>
          <w:color w:val="auto"/>
          <w:sz w:val="28"/>
          <w:szCs w:val="28"/>
        </w:rPr>
        <w:t>筑高度</w:t>
      </w:r>
      <w:r>
        <w:rPr>
          <w:rFonts w:hint="eastAsia"/>
          <w:color w:val="auto"/>
          <w:sz w:val="28"/>
          <w:szCs w:val="28"/>
          <w:lang w:eastAsia="zh-CN"/>
        </w:rPr>
        <w:t>规划按≤</w:t>
      </w:r>
      <w:r>
        <w:rPr>
          <w:rFonts w:hint="eastAsia"/>
          <w:color w:val="auto"/>
          <w:sz w:val="28"/>
          <w:szCs w:val="28"/>
          <w:lang w:val="en-US" w:eastAsia="zh-CN"/>
        </w:rPr>
        <w:t>24</w:t>
      </w:r>
      <w:r>
        <w:rPr>
          <w:rFonts w:hint="eastAsia"/>
          <w:color w:val="auto"/>
          <w:sz w:val="28"/>
          <w:szCs w:val="28"/>
        </w:rPr>
        <w:t>米控制</w:t>
      </w:r>
      <w:r>
        <w:rPr>
          <w:rFonts w:hint="eastAsia"/>
          <w:color w:val="auto"/>
          <w:sz w:val="28"/>
          <w:szCs w:val="28"/>
          <w:lang w:eastAsia="zh-CN"/>
        </w:rPr>
        <w:t>。</w:t>
      </w:r>
    </w:p>
    <w:p>
      <w:pPr>
        <w:widowControl/>
        <w:spacing w:before="4" w:line="360" w:lineRule="auto"/>
        <w:ind w:left="118" w:right="351" w:firstLineChars="200" w:firstLine="560"/>
        <w:jc w:val="left"/>
        <w:rPr>
          <w:color w:val="auto"/>
          <w:lang w:val="en-US" w:eastAsia="zh-CN"/>
        </w:rPr>
      </w:pPr>
      <w:r>
        <w:rPr>
          <w:rFonts w:hint="eastAsia"/>
          <w:color w:val="auto"/>
          <w:sz w:val="28"/>
          <w:szCs w:val="28"/>
          <w:lang w:eastAsia="zh-CN"/>
        </w:rPr>
        <w:t>此外，规划风电机组地块内的风机为构筑物，应从技术参数、基本性能、发电量、成本等方面进行全面的技术经济比较，合理选购并安装风电机组等设备，根据本项目装机容量和实际地形，本规划安装的风电机组轮毂高度为</w:t>
      </w:r>
      <w:r>
        <w:rPr>
          <w:rFonts w:hint="eastAsia"/>
          <w:color w:val="auto"/>
          <w:sz w:val="28"/>
          <w:szCs w:val="28"/>
          <w:lang w:val="en-US" w:eastAsia="zh-CN"/>
        </w:rPr>
        <w:t>95～100米。</w:t>
      </w:r>
    </w:p>
    <w:p>
      <w:pPr>
        <w:pStyle w:val="17"/>
        <w:widowControl/>
        <w:autoSpaceDE w:val="0"/>
        <w:autoSpaceDN w:val="0"/>
        <w:spacing w:before="4" w:line="420" w:lineRule="auto"/>
        <w:ind w:left="118" w:right="351" w:firstLineChars="200" w:firstLine="560"/>
        <w:jc w:val="left"/>
        <w:rPr>
          <w:rFonts w:hint="eastAsia"/>
          <w:b/>
          <w:bCs/>
          <w:color w:val="auto"/>
          <w:sz w:val="28"/>
          <w:szCs w:val="28"/>
          <w:lang w:val="en-US" w:eastAsia="zh-CN"/>
        </w:rPr>
      </w:pPr>
      <w:r>
        <w:rPr>
          <w:rFonts w:hint="eastAsia"/>
          <w:b/>
          <w:bCs/>
          <w:color w:val="auto"/>
          <w:sz w:val="28"/>
          <w:szCs w:val="28"/>
          <w:lang w:val="en-US" w:eastAsia="zh-CN"/>
        </w:rPr>
        <w:t>7.1.5 停车位配建</w:t>
      </w:r>
    </w:p>
    <w:p>
      <w:pPr>
        <w:widowControl/>
        <w:spacing w:before="4" w:line="360" w:lineRule="auto"/>
        <w:ind w:left="0" w:right="351" w:firstLineChars="200" w:firstLine="560"/>
        <w:jc w:val="left"/>
        <w:rPr>
          <w:rFonts w:hint="eastAsia"/>
          <w:color w:val="auto"/>
          <w:sz w:val="28"/>
          <w:szCs w:val="28"/>
          <w:lang w:eastAsia="zh-CN"/>
        </w:rPr>
      </w:pPr>
      <w:r>
        <w:rPr>
          <w:rFonts w:ascii="宋体" w:eastAsia="宋体" w:cs="宋体" w:hAnsi="宋体" w:hint="eastAsia"/>
          <w:color w:val="auto"/>
          <w:kern w:val="0"/>
          <w:sz w:val="28"/>
          <w:szCs w:val="28"/>
          <w:lang w:eastAsia="zh-CN"/>
        </w:rPr>
        <w:t>项目地块用地性质</w:t>
      </w:r>
      <w:r>
        <w:rPr>
          <w:rFonts w:ascii="宋体" w:eastAsia="宋体" w:cs="宋体" w:hAnsi="宋体" w:hint="eastAsia"/>
          <w:color w:val="auto"/>
          <w:kern w:val="0"/>
          <w:sz w:val="28"/>
          <w:szCs w:val="28"/>
        </w:rPr>
        <w:t>属于公用设施</w:t>
      </w:r>
      <w:r>
        <w:rPr>
          <w:rFonts w:ascii="宋体" w:eastAsia="宋体" w:cs="宋体" w:hAnsi="宋体" w:hint="eastAsia"/>
          <w:color w:val="auto"/>
          <w:kern w:val="0"/>
          <w:sz w:val="28"/>
          <w:szCs w:val="28"/>
          <w:lang w:eastAsia="zh-CN"/>
        </w:rPr>
        <w:t>的供电</w:t>
      </w:r>
      <w:r>
        <w:rPr>
          <w:rFonts w:ascii="宋体" w:eastAsia="宋体" w:cs="宋体" w:hAnsi="宋体" w:hint="eastAsia"/>
          <w:color w:val="auto"/>
          <w:kern w:val="0"/>
          <w:sz w:val="28"/>
          <w:szCs w:val="28"/>
        </w:rPr>
        <w:t>用地，</w:t>
      </w:r>
      <w:r>
        <w:rPr>
          <w:rFonts w:hint="eastAsia"/>
          <w:color w:val="auto"/>
          <w:sz w:val="28"/>
          <w:szCs w:val="28"/>
        </w:rPr>
        <w:t>停车位结合自身使用要求进行建设</w:t>
      </w:r>
      <w:r>
        <w:rPr>
          <w:rFonts w:hint="eastAsia"/>
          <w:color w:val="auto"/>
          <w:sz w:val="28"/>
          <w:szCs w:val="28"/>
          <w:lang w:eastAsia="zh-CN"/>
        </w:rPr>
        <w:t>。</w:t>
      </w:r>
    </w:p>
    <w:p>
      <w:pPr>
        <w:pStyle w:val="17"/>
        <w:widowControl/>
        <w:autoSpaceDE w:val="0"/>
        <w:autoSpaceDN w:val="0"/>
        <w:spacing w:before="4" w:line="420" w:lineRule="auto"/>
        <w:ind w:left="118" w:right="351" w:firstLineChars="200" w:firstLine="560"/>
        <w:jc w:val="left"/>
        <w:rPr>
          <w:rFonts w:hint="eastAsia"/>
          <w:b/>
          <w:bCs/>
          <w:color w:val="auto"/>
          <w:sz w:val="28"/>
          <w:szCs w:val="28"/>
          <w:lang w:val="en-US" w:eastAsia="zh-CN"/>
        </w:rPr>
      </w:pPr>
      <w:r>
        <w:rPr>
          <w:rFonts w:hint="eastAsia"/>
          <w:b/>
          <w:bCs/>
          <w:color w:val="auto"/>
          <w:sz w:val="28"/>
          <w:szCs w:val="28"/>
          <w:lang w:val="en-US" w:eastAsia="zh-CN"/>
        </w:rPr>
        <w:t>7.1.6 规划控制线</w:t>
      </w:r>
    </w:p>
    <w:p>
      <w:pPr>
        <w:widowControl/>
        <w:spacing w:before="4" w:line="360" w:lineRule="auto"/>
        <w:ind w:left="0" w:right="351" w:firstLineChars="200" w:firstLine="560"/>
        <w:jc w:val="left"/>
        <w:rPr>
          <w:rFonts w:hint="eastAsia"/>
          <w:color w:val="auto"/>
          <w:sz w:val="28"/>
          <w:szCs w:val="28"/>
          <w:lang w:eastAsia="zh-CN"/>
        </w:rPr>
      </w:pPr>
      <w:r>
        <w:rPr>
          <w:rFonts w:ascii="宋体" w:eastAsia="宋体" w:cs="宋体" w:hAnsi="宋体" w:hint="eastAsia"/>
          <w:color w:val="auto"/>
          <w:kern w:val="0"/>
          <w:sz w:val="28"/>
          <w:szCs w:val="28"/>
          <w:lang w:eastAsia="zh-CN"/>
        </w:rPr>
        <w:t>本规划的各地块用地性质为公用设施用地的供电用地，规划控制线为基础设施黄线，属城市基础设施用地的控制界线，在用地黄线内进行建设活动，必须贯彻安全、高效、经济的方针，处理好近远期关系，根据项目发展的实际需要，分期有序实施。</w:t>
      </w:r>
      <w:r>
        <w:rPr>
          <w:rFonts w:hint="eastAsia"/>
          <w:color w:val="auto"/>
          <w:sz w:val="28"/>
          <w:szCs w:val="28"/>
          <w:lang w:val="en-US" w:eastAsia="zh-CN"/>
        </w:rPr>
        <w:t>项目地块用地范围不涉及永久基本农田、生态保护红线</w:t>
      </w:r>
      <w:r>
        <w:rPr>
          <w:rFonts w:ascii="宋体" w:eastAsia="宋体" w:cs="宋体" w:hAnsi="宋体" w:hint="eastAsia"/>
          <w:color w:val="auto"/>
          <w:kern w:val="0"/>
          <w:sz w:val="28"/>
          <w:szCs w:val="28"/>
          <w:lang w:eastAsia="zh-CN"/>
        </w:rPr>
        <w:t>和城镇开发边界</w:t>
      </w:r>
      <w:r>
        <w:rPr>
          <w:rFonts w:hint="eastAsia"/>
          <w:color w:val="auto"/>
          <w:sz w:val="28"/>
          <w:szCs w:val="28"/>
          <w:lang w:val="en-US" w:eastAsia="zh-CN"/>
        </w:rPr>
        <w:t>等强制性内容。各地块具体界线范围和界址坐标详见用地勘测定界图。</w:t>
      </w:r>
    </w:p>
    <w:p>
      <w:pPr>
        <w:pStyle w:val="17"/>
        <w:widowControl/>
        <w:autoSpaceDE w:val="0"/>
        <w:autoSpaceDN w:val="0"/>
        <w:spacing w:before="4" w:line="420" w:lineRule="auto"/>
        <w:ind w:left="118" w:right="351" w:firstLineChars="200" w:firstLine="560"/>
        <w:jc w:val="left"/>
        <w:rPr>
          <w:rFonts w:hint="eastAsia"/>
          <w:b/>
          <w:bCs/>
          <w:color w:val="auto"/>
          <w:sz w:val="28"/>
          <w:szCs w:val="28"/>
          <w:lang w:val="en-US" w:eastAsia="zh-CN"/>
        </w:rPr>
      </w:pPr>
      <w:r>
        <w:rPr>
          <w:rFonts w:hint="eastAsia"/>
          <w:b/>
          <w:bCs/>
          <w:color w:val="auto"/>
          <w:sz w:val="28"/>
          <w:szCs w:val="28"/>
          <w:lang w:val="en-US" w:eastAsia="zh-CN"/>
        </w:rPr>
        <w:t>7.1.7 建筑退线</w:t>
      </w:r>
    </w:p>
    <w:p>
      <w:pPr>
        <w:widowControl/>
        <w:autoSpaceDE w:val="0"/>
        <w:autoSpaceDN w:val="0"/>
        <w:spacing w:before="4" w:line="360" w:lineRule="auto"/>
        <w:ind w:left="118" w:right="351" w:firstLineChars="200" w:firstLine="560"/>
        <w:jc w:val="left"/>
        <w:rPr>
          <w:rFonts w:hint="eastAsia"/>
          <w:color w:val="auto"/>
          <w:sz w:val="28"/>
          <w:szCs w:val="28"/>
          <w:lang w:eastAsia="zh-CN"/>
        </w:rPr>
      </w:pPr>
      <w:r>
        <w:rPr>
          <w:rFonts w:hint="eastAsia"/>
          <w:color w:val="auto"/>
          <w:sz w:val="28"/>
          <w:szCs w:val="28"/>
          <w:lang w:eastAsia="zh-CN"/>
        </w:rPr>
        <w:t>（</w:t>
      </w:r>
      <w:r>
        <w:rPr>
          <w:rFonts w:hint="eastAsia"/>
          <w:color w:val="auto"/>
          <w:sz w:val="28"/>
          <w:szCs w:val="28"/>
          <w:lang w:val="en-US" w:eastAsia="zh-CN"/>
        </w:rPr>
        <w:t>1</w:t>
      </w:r>
      <w:r>
        <w:rPr>
          <w:rFonts w:hint="eastAsia"/>
          <w:color w:val="auto"/>
          <w:sz w:val="28"/>
          <w:szCs w:val="28"/>
          <w:lang w:eastAsia="zh-CN"/>
        </w:rPr>
        <w:t>）升压站地块建筑退线</w:t>
      </w:r>
    </w:p>
    <w:p>
      <w:pPr>
        <w:widowControl/>
        <w:autoSpaceDE w:val="0"/>
        <w:autoSpaceDN w:val="0"/>
        <w:spacing w:before="4" w:line="360" w:lineRule="auto"/>
        <w:ind w:left="118" w:right="351" w:firstLineChars="200" w:firstLine="560"/>
        <w:jc w:val="left"/>
        <w:rPr>
          <w:rFonts w:hint="eastAsia"/>
          <w:color w:val="auto"/>
          <w:sz w:val="28"/>
          <w:szCs w:val="28"/>
          <w:lang w:eastAsia="zh-CN"/>
        </w:rPr>
      </w:pPr>
      <w:r>
        <w:rPr>
          <w:rFonts w:hint="eastAsia"/>
          <w:color w:val="auto"/>
          <w:sz w:val="28"/>
          <w:szCs w:val="28"/>
          <w:lang w:eastAsia="zh-CN"/>
        </w:rPr>
        <w:t>本风电场规划总装机容量共</w:t>
      </w:r>
      <w:r>
        <w:rPr>
          <w:rFonts w:hint="eastAsia"/>
          <w:color w:val="auto"/>
          <w:sz w:val="28"/>
          <w:szCs w:val="28"/>
          <w:lang w:val="en-US" w:eastAsia="zh-CN"/>
        </w:rPr>
        <w:t>50MW，</w:t>
      </w:r>
      <w:r>
        <w:rPr>
          <w:rFonts w:hint="eastAsia"/>
          <w:color w:val="auto"/>
          <w:sz w:val="28"/>
          <w:szCs w:val="28"/>
          <w:lang w:eastAsia="zh-CN"/>
        </w:rPr>
        <w:t>根据</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电力工程项目建设用地指标(风电场)</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建标(2011)209号</w:t>
      </w:r>
      <w:r>
        <w:rPr>
          <w:rFonts w:ascii="宋体" w:eastAsia="宋体" w:cs="宋体" w:hAnsi="宋体" w:hint="eastAsia"/>
          <w:color w:val="auto"/>
          <w:kern w:val="0"/>
          <w:sz w:val="28"/>
          <w:szCs w:val="28"/>
          <w:lang w:eastAsia="zh-CN"/>
        </w:rPr>
        <w:t>和</w:t>
      </w:r>
      <w:r>
        <w:rPr>
          <w:rFonts w:ascii="宋体" w:eastAsia="宋体" w:cs="宋体" w:hAnsi="宋体" w:hint="eastAsia"/>
          <w:color w:val="auto"/>
          <w:kern w:val="0"/>
          <w:sz w:val="28"/>
          <w:szCs w:val="28"/>
        </w:rPr>
        <w:t>《风电场工程设计导则》</w:t>
      </w:r>
      <w:r>
        <w:rPr>
          <w:rFonts w:hint="eastAsia"/>
          <w:color w:val="auto"/>
          <w:sz w:val="28"/>
          <w:szCs w:val="28"/>
          <w:lang w:val="en-US" w:eastAsia="zh-CN"/>
        </w:rPr>
        <w:t>分析，规划的</w:t>
      </w:r>
      <w:r>
        <w:rPr>
          <w:rFonts w:ascii="宋体" w:eastAsia="宋体" w:cs="宋体" w:hAnsi="宋体" w:hint="eastAsia"/>
          <w:color w:val="auto"/>
          <w:kern w:val="0"/>
          <w:sz w:val="28"/>
          <w:szCs w:val="28"/>
          <w:lang w:eastAsia="zh-CN"/>
        </w:rPr>
        <w:t>升压站地块用地面积为</w:t>
      </w:r>
      <w:r>
        <w:rPr>
          <w:rFonts w:ascii="宋体" w:eastAsia="宋体" w:cs="宋体" w:hAnsi="宋体" w:hint="eastAsia"/>
          <w:color w:val="auto"/>
          <w:kern w:val="0"/>
          <w:sz w:val="28"/>
          <w:szCs w:val="28"/>
          <w:lang w:val="en-US" w:eastAsia="zh-CN"/>
        </w:rPr>
        <w:t>3232.1431平方米，远小于总装机容量50MW对应的用地上限指标10400平方米，</w:t>
      </w:r>
      <w:r>
        <w:rPr>
          <w:rFonts w:hint="eastAsia"/>
          <w:color w:val="auto"/>
          <w:sz w:val="28"/>
          <w:szCs w:val="28"/>
          <w:lang w:val="en-US" w:eastAsia="zh-CN"/>
        </w:rPr>
        <w:t>用地面积十分有限，而且地块为独立地块，因此，在有限的用地面积且不受邻里关系约束及在满足建筑物通风、采光、日照的条件下，规划控制升压站地块内的建筑退离用地红线距离d≥2m</w:t>
      </w:r>
      <w:r>
        <w:rPr>
          <w:rFonts w:hint="eastAsia"/>
          <w:color w:val="auto"/>
          <w:sz w:val="28"/>
          <w:szCs w:val="28"/>
          <w:lang w:eastAsia="zh-CN"/>
        </w:rPr>
        <w:t>。</w:t>
      </w:r>
    </w:p>
    <w:p>
      <w:pPr>
        <w:widowControl/>
        <w:autoSpaceDE w:val="0"/>
        <w:autoSpaceDN w:val="0"/>
        <w:spacing w:before="4" w:line="360" w:lineRule="auto"/>
        <w:ind w:left="118" w:right="351" w:firstLineChars="200" w:firstLine="560"/>
        <w:jc w:val="left"/>
        <w:rPr>
          <w:rFonts w:hint="eastAsia"/>
          <w:color w:val="auto"/>
          <w:sz w:val="28"/>
          <w:szCs w:val="28"/>
          <w:lang w:eastAsia="zh-CN"/>
        </w:rPr>
      </w:pPr>
      <w:r>
        <w:rPr>
          <w:rFonts w:hint="eastAsia"/>
          <w:color w:val="auto"/>
          <w:sz w:val="28"/>
          <w:szCs w:val="28"/>
          <w:lang w:eastAsia="zh-CN"/>
        </w:rPr>
        <w:t>（</w:t>
      </w:r>
      <w:r>
        <w:rPr>
          <w:rFonts w:hint="eastAsia"/>
          <w:color w:val="auto"/>
          <w:sz w:val="28"/>
          <w:szCs w:val="28"/>
          <w:lang w:val="en-US" w:eastAsia="zh-CN"/>
        </w:rPr>
        <w:t>2</w:t>
      </w:r>
      <w:r>
        <w:rPr>
          <w:rFonts w:hint="eastAsia"/>
          <w:color w:val="auto"/>
          <w:sz w:val="28"/>
          <w:szCs w:val="28"/>
          <w:lang w:eastAsia="zh-CN"/>
        </w:rPr>
        <w:t>）风电机组和箱变地块建筑退线</w:t>
      </w:r>
    </w:p>
    <w:p>
      <w:pPr>
        <w:widowControl/>
        <w:autoSpaceDE w:val="0"/>
        <w:autoSpaceDN w:val="0"/>
        <w:spacing w:before="4" w:line="360" w:lineRule="auto"/>
        <w:ind w:left="118" w:right="351" w:firstLineChars="200" w:firstLine="560"/>
        <w:jc w:val="left"/>
        <w:rPr>
          <w:rFonts w:hint="eastAsia"/>
          <w:color w:val="auto"/>
          <w:lang w:eastAsia="zh-CN"/>
        </w:rPr>
      </w:pPr>
      <w:r>
        <w:rPr>
          <w:rFonts w:hint="eastAsia"/>
          <w:color w:val="auto"/>
          <w:sz w:val="28"/>
          <w:szCs w:val="28"/>
          <w:lang w:val="en-US" w:eastAsia="zh-CN"/>
        </w:rPr>
        <w:t>该地块为独立地块，为公用设施的供电用地，根据风电场用地指标，本项目每个风电机组用地面积为318.2486㎡，风电机组和箱变用地范围基本为建设的构筑物的基础外轮廓，地块中心主要布置大型的风机塔筒，箱变布于风机一侧，不宜在相邻较近位置规划布置其他不同用地类型的项目。因此，根据风电行业的建设特点，规划风电机组用地范围内的地面</w:t>
      </w:r>
      <w:r>
        <w:rPr>
          <w:rFonts w:hint="eastAsia"/>
          <w:color w:val="auto"/>
          <w:sz w:val="28"/>
          <w:szCs w:val="28"/>
          <w:lang w:eastAsia="zh-CN"/>
        </w:rPr>
        <w:t>建、构筑物建筑控制线退距用地红线轮廓</w:t>
      </w:r>
      <w:r>
        <w:rPr>
          <w:rFonts w:hint="eastAsia"/>
          <w:color w:val="auto"/>
          <w:sz w:val="28"/>
          <w:szCs w:val="28"/>
          <w:lang w:val="en-US" w:eastAsia="zh-CN"/>
        </w:rPr>
        <w:t>d</w:t>
      </w:r>
      <w:r>
        <w:rPr>
          <w:rFonts w:hint="eastAsia"/>
          <w:color w:val="auto"/>
          <w:sz w:val="28"/>
          <w:szCs w:val="28"/>
          <w:lang w:eastAsia="zh-CN"/>
        </w:rPr>
        <w:t>≥</w:t>
      </w:r>
      <w:r>
        <w:rPr>
          <w:rFonts w:hint="eastAsia"/>
          <w:color w:val="auto"/>
          <w:sz w:val="28"/>
          <w:szCs w:val="28"/>
          <w:lang w:val="en-US" w:eastAsia="zh-CN"/>
        </w:rPr>
        <w:t>2m</w:t>
      </w:r>
      <w:r>
        <w:rPr>
          <w:rFonts w:hint="eastAsia"/>
          <w:color w:val="auto"/>
          <w:sz w:val="28"/>
          <w:szCs w:val="28"/>
          <w:lang w:eastAsia="zh-CN"/>
        </w:rPr>
        <w:t>。</w:t>
      </w:r>
    </w:p>
    <w:p>
      <w:pPr>
        <w:pStyle w:val="17"/>
        <w:widowControl/>
        <w:autoSpaceDE w:val="0"/>
        <w:autoSpaceDN w:val="0"/>
        <w:spacing w:before="4" w:line="420" w:lineRule="auto"/>
        <w:ind w:left="118" w:right="351" w:firstLineChars="200" w:firstLine="560"/>
        <w:jc w:val="left"/>
        <w:rPr>
          <w:rFonts w:hint="eastAsia"/>
          <w:b/>
          <w:bCs/>
          <w:color w:val="auto"/>
          <w:sz w:val="28"/>
          <w:szCs w:val="28"/>
          <w:lang w:val="en-US" w:eastAsia="zh-CN"/>
        </w:rPr>
      </w:pPr>
      <w:r>
        <w:rPr>
          <w:rFonts w:hint="eastAsia"/>
          <w:b/>
          <w:bCs/>
          <w:color w:val="auto"/>
          <w:sz w:val="28"/>
          <w:szCs w:val="28"/>
          <w:lang w:val="en-US" w:eastAsia="zh-CN"/>
        </w:rPr>
        <w:t>7.1.8 建构筑物控制</w:t>
      </w:r>
    </w:p>
    <w:p>
      <w:pPr>
        <w:widowControl/>
        <w:autoSpaceDE w:val="0"/>
        <w:autoSpaceDN w:val="0"/>
        <w:spacing w:before="4" w:line="360" w:lineRule="auto"/>
        <w:ind w:left="118" w:right="351" w:firstLineChars="200" w:firstLine="560"/>
        <w:jc w:val="left"/>
        <w:rPr>
          <w:rFonts w:hint="eastAsia"/>
          <w:color w:val="auto"/>
          <w:sz w:val="28"/>
          <w:szCs w:val="28"/>
          <w:lang w:eastAsia="zh-CN"/>
        </w:rPr>
      </w:pPr>
      <w:r>
        <w:rPr>
          <w:rFonts w:ascii="宋体" w:eastAsia="宋体" w:cs="宋体" w:hAnsi="宋体" w:hint="eastAsia"/>
          <w:color w:val="auto"/>
          <w:kern w:val="0"/>
          <w:sz w:val="28"/>
          <w:szCs w:val="28"/>
          <w:lang w:eastAsia="zh-CN"/>
        </w:rPr>
        <w:t>参照</w:t>
      </w:r>
      <w:r>
        <w:rPr>
          <w:rFonts w:ascii="宋体" w:eastAsia="宋体" w:cs="宋体" w:hAnsi="宋体" w:hint="eastAsia"/>
          <w:color w:val="auto"/>
          <w:kern w:val="0"/>
          <w:sz w:val="28"/>
          <w:szCs w:val="28"/>
        </w:rPr>
        <w:t>《风电场工程设计导则》</w:t>
      </w:r>
      <w:r>
        <w:rPr>
          <w:rFonts w:ascii="宋体" w:eastAsia="宋体" w:cs="宋体" w:hAnsi="宋体" w:hint="eastAsia"/>
          <w:color w:val="auto"/>
          <w:kern w:val="0"/>
          <w:sz w:val="28"/>
          <w:szCs w:val="28"/>
          <w:lang w:eastAsia="zh-CN"/>
        </w:rPr>
        <w:t>，建构筑物的设计应做到统一规划、造型协调、整体性好、生产及生活方便，同时结构的类型及材料品种应合理并简化，以利备料、加工、施工及运行。架构、设备支架等构筑物应根据变电站的电压等级、规模、施工及运行条件、制作水平、运输条件及当地的气候条件来选择合适的结构，其外形应做到相互协调(设备支架还应与上部设备相协调)。根据该地块用地性质，升压站内建筑宜设置</w:t>
      </w:r>
      <w:r>
        <w:rPr>
          <w:rFonts w:ascii="宋体" w:eastAsia="宋体" w:cs="宋体" w:hAnsi="宋体" w:hint="eastAsia"/>
          <w:color w:val="auto"/>
          <w:kern w:val="0"/>
          <w:sz w:val="28"/>
          <w:szCs w:val="28"/>
          <w:lang w:val="en-US" w:eastAsia="zh-CN"/>
        </w:rPr>
        <w:t>一～三层的低层建筑</w:t>
      </w:r>
      <w:r>
        <w:rPr>
          <w:rFonts w:hint="eastAsia"/>
          <w:color w:val="auto"/>
          <w:sz w:val="28"/>
          <w:szCs w:val="28"/>
          <w:lang w:eastAsia="zh-CN"/>
        </w:rPr>
        <w:t>。建筑立面设计主要从经济、美观的角度出发，采用现代简约的建筑风格，各建筑立面色调力求造型协调、统一，颜色稳重、大气，营造立面层次丰富感，能与周边自然环境相融。</w:t>
      </w:r>
    </w:p>
    <w:p>
      <w:pPr>
        <w:pStyle w:val="17"/>
        <w:widowControl/>
        <w:autoSpaceDE w:val="0"/>
        <w:autoSpaceDN w:val="0"/>
        <w:spacing w:before="4" w:line="420" w:lineRule="auto"/>
        <w:ind w:left="118" w:right="351" w:firstLineChars="200" w:firstLine="560"/>
        <w:jc w:val="left"/>
        <w:rPr>
          <w:rFonts w:hint="eastAsia"/>
          <w:b/>
          <w:bCs/>
          <w:color w:val="auto"/>
          <w:sz w:val="28"/>
          <w:szCs w:val="28"/>
          <w:lang w:val="en-US" w:eastAsia="zh-CN"/>
        </w:rPr>
      </w:pPr>
      <w:r>
        <w:rPr>
          <w:rFonts w:hint="eastAsia"/>
          <w:b/>
          <w:bCs/>
          <w:color w:val="auto"/>
          <w:sz w:val="28"/>
          <w:szCs w:val="28"/>
          <w:lang w:val="en-US" w:eastAsia="zh-CN"/>
        </w:rPr>
        <w:t>7.1.9 交通管控</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风电场位于丘陵区，为了减少对植被的破坏和节约投资，场内道路在利用场内现有的交通便道基础上局部扩宽裁弯取直，再新建连接升压站各风机的道路。考虑风力发电设备大件运输，场内道路按山岭重丘四级公路标准建设，采用碾压石渣路面，路基宽5.5m。在风电场建成营运后，场区道路将作为</w:t>
      </w:r>
      <w:r>
        <w:rPr>
          <w:rFonts w:hint="eastAsia"/>
          <w:color w:val="auto"/>
          <w:kern w:val="0"/>
          <w:sz w:val="28"/>
          <w:szCs w:val="28"/>
          <w:lang w:val="en-US" w:eastAsia="zh-CN"/>
        </w:rPr>
        <w:t>公共道路和</w:t>
      </w:r>
      <w:r>
        <w:rPr>
          <w:rFonts w:ascii="宋体" w:eastAsia="宋体" w:cs="宋体" w:hAnsi="宋体" w:hint="eastAsia"/>
          <w:color w:val="auto"/>
          <w:kern w:val="0"/>
          <w:sz w:val="28"/>
          <w:szCs w:val="28"/>
          <w:lang w:eastAsia="zh-CN"/>
        </w:rPr>
        <w:t>林业三产道路使用。</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eastAsia="zh-CN"/>
        </w:rPr>
        <w:t>升压站主要出入口规划于地块围墙东侧，通过</w:t>
      </w:r>
      <w:r>
        <w:rPr>
          <w:rFonts w:ascii="宋体" w:eastAsia="宋体" w:cs="宋体" w:hAnsi="宋体" w:hint="eastAsia"/>
          <w:color w:val="auto"/>
          <w:kern w:val="0"/>
          <w:sz w:val="28"/>
          <w:szCs w:val="28"/>
          <w:lang w:val="en-US" w:eastAsia="zh-CN"/>
        </w:rPr>
        <w:t>长约260米场区支路接出检修主干道，规划把该升压站东侧支路至检修道路两侧管控为禁止机动车开口路段。</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由于受现状地形限制，部分连接风机的道路与检修道路交汇处夹角形成角度较小的锐角，规划将其转角处进行拓宽处理，并在连接风机的道路两侧至检修道路之间管控为禁止机动车开口路段，其余地块主要对其用地范围开设出入口进行管控（具体详见图则）。</w:t>
      </w:r>
    </w:p>
    <w:p>
      <w:pPr>
        <w:pStyle w:val="17"/>
        <w:widowControl/>
        <w:autoSpaceDE w:val="0"/>
        <w:autoSpaceDN w:val="0"/>
        <w:spacing w:before="4" w:line="420" w:lineRule="auto"/>
        <w:ind w:left="118" w:right="351" w:firstLineChars="200" w:firstLine="560"/>
        <w:jc w:val="left"/>
        <w:rPr>
          <w:rFonts w:hint="eastAsia"/>
          <w:b/>
          <w:bCs/>
          <w:color w:val="auto"/>
          <w:sz w:val="28"/>
          <w:szCs w:val="28"/>
          <w:lang w:val="en-US" w:eastAsia="zh-CN"/>
        </w:rPr>
      </w:pPr>
      <w:r>
        <w:rPr>
          <w:rFonts w:hint="eastAsia"/>
          <w:b/>
          <w:bCs/>
          <w:color w:val="auto"/>
          <w:sz w:val="28"/>
          <w:szCs w:val="28"/>
          <w:lang w:val="en-US" w:eastAsia="zh-CN"/>
        </w:rPr>
        <w:t>7.1.10高压走廊宽度控制</w:t>
      </w:r>
    </w:p>
    <w:p>
      <w:pPr>
        <w:widowControl/>
        <w:autoSpaceDE/>
        <w:autoSpaceDN/>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本规划为钦北区百浪岭风电场一期项目独立地块控规，规划建设</w:t>
      </w:r>
      <w:r>
        <w:rPr>
          <w:rFonts w:ascii="宋体" w:eastAsia="宋体" w:cs="宋体" w:hAnsi="宋体" w:hint="eastAsia"/>
          <w:color w:val="auto"/>
          <w:kern w:val="0"/>
          <w:sz w:val="28"/>
          <w:szCs w:val="28"/>
          <w:lang w:val="en-US" w:eastAsia="zh-CN"/>
        </w:rPr>
        <w:t>17组风电机组和110kV升压站用地，风电场线路工程主要包括风电场集电线路和风电场送出线路。</w:t>
      </w:r>
      <w:r>
        <w:rPr>
          <w:rFonts w:ascii="宋体" w:eastAsia="宋体" w:cs="宋体" w:hAnsi="宋体" w:hint="eastAsia"/>
          <w:color w:val="auto"/>
          <w:kern w:val="0"/>
          <w:sz w:val="28"/>
          <w:szCs w:val="28"/>
        </w:rPr>
        <w:t>1</w:t>
      </w:r>
      <w:r>
        <w:rPr>
          <w:rFonts w:ascii="宋体" w:eastAsia="宋体" w:cs="宋体" w:hAnsi="宋体" w:hint="eastAsia"/>
          <w:color w:val="auto"/>
          <w:kern w:val="0"/>
          <w:sz w:val="28"/>
          <w:szCs w:val="28"/>
          <w:lang w:val="en-US" w:eastAsia="zh-CN"/>
        </w:rPr>
        <w:t>7</w:t>
      </w:r>
      <w:r>
        <w:rPr>
          <w:rFonts w:ascii="宋体" w:eastAsia="宋体" w:cs="宋体" w:hAnsi="宋体" w:hint="eastAsia"/>
          <w:color w:val="auto"/>
          <w:kern w:val="0"/>
          <w:sz w:val="28"/>
          <w:szCs w:val="28"/>
        </w:rPr>
        <w:t xml:space="preserve"> 台风电机组-箱式变采用2组集电线路接入风电场</w:t>
      </w:r>
      <w:r>
        <w:rPr>
          <w:rFonts w:ascii="宋体" w:eastAsia="宋体" w:cs="宋体" w:hAnsi="宋体" w:hint="eastAsia"/>
          <w:color w:val="auto"/>
          <w:kern w:val="0"/>
          <w:sz w:val="28"/>
          <w:szCs w:val="28"/>
          <w:lang w:val="en-US" w:eastAsia="zh-CN"/>
        </w:rPr>
        <w:t>110</w:t>
      </w:r>
      <w:r>
        <w:rPr>
          <w:rFonts w:ascii="宋体" w:eastAsia="宋体" w:cs="宋体" w:hAnsi="宋体" w:hint="eastAsia"/>
          <w:color w:val="auto"/>
          <w:kern w:val="0"/>
          <w:sz w:val="28"/>
          <w:szCs w:val="28"/>
          <w:lang w:eastAsia="zh-CN"/>
        </w:rPr>
        <w:t>kV</w:t>
      </w:r>
      <w:r>
        <w:rPr>
          <w:rFonts w:ascii="宋体" w:eastAsia="宋体" w:cs="宋体" w:hAnsi="宋体" w:hint="eastAsia"/>
          <w:color w:val="auto"/>
          <w:kern w:val="0"/>
          <w:sz w:val="28"/>
          <w:szCs w:val="28"/>
        </w:rPr>
        <w:t>升压站35</w:t>
      </w:r>
      <w:r>
        <w:rPr>
          <w:rFonts w:ascii="宋体" w:eastAsia="宋体" w:cs="宋体" w:hAnsi="宋体" w:hint="eastAsia"/>
          <w:color w:val="auto"/>
          <w:kern w:val="0"/>
          <w:sz w:val="28"/>
          <w:szCs w:val="28"/>
          <w:lang w:eastAsia="zh-CN"/>
        </w:rPr>
        <w:t>kV</w:t>
      </w:r>
      <w:r>
        <w:rPr>
          <w:rFonts w:ascii="宋体" w:eastAsia="宋体" w:cs="宋体" w:hAnsi="宋体" w:hint="eastAsia"/>
          <w:color w:val="auto"/>
          <w:kern w:val="0"/>
          <w:sz w:val="28"/>
          <w:szCs w:val="28"/>
        </w:rPr>
        <w:t>母线</w:t>
      </w:r>
      <w:r>
        <w:rPr>
          <w:rFonts w:ascii="宋体" w:eastAsia="宋体" w:cs="宋体" w:hAnsi="宋体" w:hint="eastAsia"/>
          <w:color w:val="auto"/>
          <w:kern w:val="0"/>
          <w:sz w:val="28"/>
          <w:szCs w:val="28"/>
          <w:lang w:eastAsia="zh-CN"/>
        </w:rPr>
        <w:t>，以一回110kV线路接入那前变电站，线路长度约</w:t>
      </w:r>
      <w:r>
        <w:rPr>
          <w:rFonts w:ascii="宋体" w:eastAsia="宋体" w:cs="宋体" w:hAnsi="宋体" w:hint="eastAsia"/>
          <w:color w:val="auto"/>
          <w:kern w:val="0"/>
          <w:sz w:val="28"/>
          <w:szCs w:val="28"/>
          <w:lang w:val="en-US" w:eastAsia="zh-CN"/>
        </w:rPr>
        <w:t>8.6</w:t>
      </w:r>
      <w:r>
        <w:rPr>
          <w:rFonts w:ascii="宋体" w:eastAsia="宋体" w:cs="宋体" w:hAnsi="宋体" w:hint="eastAsia"/>
          <w:color w:val="auto"/>
          <w:kern w:val="0"/>
          <w:sz w:val="28"/>
          <w:szCs w:val="28"/>
          <w:lang w:eastAsia="zh-CN"/>
        </w:rPr>
        <w:t>km。根据</w:t>
      </w:r>
      <w:r>
        <w:rPr>
          <w:rFonts w:ascii="宋体" w:eastAsia="宋体" w:cs="宋体" w:hAnsi="宋体" w:hint="eastAsia"/>
          <w:color w:val="auto"/>
          <w:kern w:val="0"/>
          <w:sz w:val="28"/>
          <w:szCs w:val="28"/>
        </w:rPr>
        <w:t>《钦州市城市规划技术标准与准则》（</w:t>
      </w:r>
      <w:r>
        <w:rPr>
          <w:rFonts w:ascii="宋体" w:eastAsia="宋体" w:cs="宋体" w:hAnsi="宋体"/>
          <w:color w:val="auto"/>
          <w:kern w:val="0"/>
          <w:sz w:val="28"/>
          <w:szCs w:val="28"/>
        </w:rPr>
        <w:t>2015</w:t>
      </w:r>
      <w:r>
        <w:rPr>
          <w:rFonts w:ascii="宋体" w:eastAsia="宋体" w:cs="宋体" w:hAnsi="宋体" w:hint="eastAsia"/>
          <w:color w:val="auto"/>
          <w:kern w:val="0"/>
          <w:sz w:val="28"/>
          <w:szCs w:val="28"/>
        </w:rPr>
        <w:t>年版）</w:t>
      </w:r>
      <w:r>
        <w:rPr>
          <w:rFonts w:ascii="宋体" w:eastAsia="宋体" w:cs="宋体" w:hAnsi="宋体" w:hint="eastAsia"/>
          <w:color w:val="auto"/>
          <w:kern w:val="0"/>
          <w:sz w:val="28"/>
          <w:szCs w:val="28"/>
          <w:lang w:eastAsia="zh-CN"/>
        </w:rPr>
        <w:t>的要求：“高压走廊应根据城市规划和电网要求，结合山体和绿地等用地统一布置，架空线路应尽可能在规划高压走廊内集中敷设”，高压架空线路走廊控制宽度和直埋电缆通道控制宽度宜分别符合下表规定：</w:t>
      </w:r>
    </w:p>
    <w:p>
      <w:pPr>
        <w:widowControl/>
        <w:autoSpaceDE/>
        <w:autoSpaceDN/>
        <w:spacing w:before="4" w:line="360" w:lineRule="auto"/>
        <w:ind w:left="0" w:right="351" w:firstLine="0"/>
        <w:jc w:val="left"/>
        <w:rPr>
          <w:color w:val="auto"/>
        </w:rPr>
      </w:pPr>
      <w:r>
        <w:rPr>
          <w:color w:val="auto"/>
        </w:rPr>
        <w:drawing>
          <wp:inline distT="0" distB="0" distL="114300" distR="114300">
            <wp:extent cx="5270498" cy="1163320"/>
            <wp:effectExtent l="0" t="0" r="15" b="45"/>
            <wp:docPr id="66" name="图片 1"/>
            <wp:cNvGraphicFramePr>
              <a:graphicFrameLocks noChangeAspect="1"/>
            </wp:cNvGraphicFramePr>
            <a:graphic>
              <a:graphicData uri="http://schemas.openxmlformats.org/drawingml/2006/picture">
                <pic:pic>
                  <pic:nvPicPr>
                    <pic:cNvPr id="68" name="图片 1 68"/>
                    <pic:cNvPicPr/>
                  </pic:nvPicPr>
                  <pic:blipFill>
                    <a:blip r:embed="rId25"/>
                    <a:stretch>
                      <a:fillRect/>
                    </a:stretch>
                  </pic:blipFill>
                  <pic:spPr>
                    <a:xfrm rot="0">
                      <a:off x="0" y="0"/>
                      <a:ext cx="5270498" cy="1163320"/>
                    </a:xfrm>
                    <a:prstGeom prst="rect"/>
                    <a:noFill/>
                    <a:ln w="9525" cmpd="sng" cap="flat">
                      <a:noFill/>
                      <a:prstDash val="solid"/>
                      <a:round/>
                    </a:ln>
                  </pic:spPr>
                </pic:pic>
              </a:graphicData>
            </a:graphic>
          </wp:inline>
        </w:drawing>
      </w:r>
    </w:p>
    <w:p>
      <w:pPr>
        <w:widowControl/>
        <w:autoSpaceDE/>
        <w:autoSpaceDN/>
        <w:spacing w:before="4" w:line="360" w:lineRule="auto"/>
        <w:ind w:left="420" w:right="351" w:hangingChars="200" w:hanging="420"/>
        <w:jc w:val="left"/>
        <w:rPr>
          <w:color w:val="auto"/>
        </w:rPr>
      </w:pPr>
      <w:r>
        <w:rPr>
          <w:color w:val="auto"/>
        </w:rPr>
        <w:drawing>
          <wp:inline distT="0" distB="0" distL="114300" distR="114300">
            <wp:extent cx="5213350" cy="1139189"/>
            <wp:effectExtent l="0" t="0" r="16" b="17"/>
            <wp:docPr id="69" name="图片 1"/>
            <wp:cNvGraphicFramePr>
              <a:graphicFrameLocks noChangeAspect="1"/>
            </wp:cNvGraphicFramePr>
            <a:graphic>
              <a:graphicData uri="http://schemas.openxmlformats.org/drawingml/2006/picture">
                <pic:pic>
                  <pic:nvPicPr>
                    <pic:cNvPr id="71" name="图片 1 71"/>
                    <pic:cNvPicPr/>
                  </pic:nvPicPr>
                  <pic:blipFill>
                    <a:blip r:embed="rId26"/>
                    <a:stretch>
                      <a:fillRect/>
                    </a:stretch>
                  </pic:blipFill>
                  <pic:spPr>
                    <a:xfrm rot="0">
                      <a:off x="0" y="0"/>
                      <a:ext cx="5213350" cy="1139189"/>
                    </a:xfrm>
                    <a:prstGeom prst="rect"/>
                    <a:noFill/>
                    <a:ln w="9525" cmpd="sng" cap="flat">
                      <a:noFill/>
                      <a:prstDash val="solid"/>
                      <a:round/>
                    </a:ln>
                  </pic:spPr>
                </pic:pic>
              </a:graphicData>
            </a:graphic>
          </wp:inline>
        </w:drawing>
      </w:r>
    </w:p>
    <w:p>
      <w:pPr>
        <w:widowControl/>
        <w:autoSpaceDE/>
        <w:autoSpaceDN/>
        <w:spacing w:before="4" w:line="360" w:lineRule="auto"/>
        <w:ind w:right="351" w:firstLineChars="200" w:firstLine="560"/>
        <w:jc w:val="left"/>
        <w:rPr>
          <w:color w:val="auto"/>
          <w:lang w:val="en-US"/>
        </w:rPr>
      </w:pPr>
      <w:r>
        <w:rPr>
          <w:rFonts w:ascii="宋体" w:eastAsia="宋体" w:cs="宋体" w:hAnsi="宋体" w:hint="eastAsia"/>
          <w:color w:val="auto"/>
          <w:kern w:val="0"/>
          <w:sz w:val="28"/>
          <w:szCs w:val="28"/>
          <w:lang w:eastAsia="zh-CN"/>
        </w:rPr>
        <w:t>220kV、110kV 直埋电缆通道控制宽度指标宜符合</w:t>
      </w:r>
      <w:r>
        <w:rPr>
          <w:rFonts w:ascii="宋体" w:eastAsia="宋体" w:cs="宋体" w:hAnsi="宋体" w:hint="eastAsia"/>
          <w:color w:val="auto"/>
          <w:kern w:val="0"/>
          <w:sz w:val="28"/>
          <w:szCs w:val="28"/>
        </w:rPr>
        <w:t>钦州市城市规划技术标准与准则》（</w:t>
      </w:r>
      <w:r>
        <w:rPr>
          <w:rFonts w:ascii="宋体" w:eastAsia="宋体" w:cs="宋体" w:hAnsi="宋体"/>
          <w:color w:val="auto"/>
          <w:kern w:val="0"/>
          <w:sz w:val="28"/>
          <w:szCs w:val="28"/>
        </w:rPr>
        <w:t>2015</w:t>
      </w:r>
      <w:r>
        <w:rPr>
          <w:rFonts w:ascii="宋体" w:eastAsia="宋体" w:cs="宋体" w:hAnsi="宋体" w:hint="eastAsia"/>
          <w:color w:val="auto"/>
          <w:kern w:val="0"/>
          <w:sz w:val="28"/>
          <w:szCs w:val="28"/>
        </w:rPr>
        <w:t>年版）</w:t>
      </w:r>
      <w:r>
        <w:rPr>
          <w:rFonts w:ascii="宋体" w:eastAsia="宋体" w:cs="宋体" w:hAnsi="宋体" w:hint="eastAsia"/>
          <w:color w:val="auto"/>
          <w:kern w:val="0"/>
          <w:sz w:val="28"/>
          <w:szCs w:val="28"/>
          <w:lang w:eastAsia="zh-CN"/>
        </w:rPr>
        <w:t>表13.16 的规定，控制深度一般为2 米。本规划场区内的集电线路主要为</w:t>
      </w:r>
      <w:r>
        <w:rPr>
          <w:rFonts w:ascii="宋体" w:eastAsia="宋体" w:cs="宋体" w:hAnsi="宋体" w:hint="eastAsia"/>
          <w:color w:val="auto"/>
          <w:kern w:val="0"/>
          <w:sz w:val="28"/>
          <w:szCs w:val="28"/>
          <w:lang w:val="en-US" w:eastAsia="zh-CN"/>
        </w:rPr>
        <w:t>35kV</w:t>
      </w:r>
      <w:r>
        <w:rPr>
          <w:rFonts w:ascii="宋体" w:eastAsia="宋体" w:cs="宋体" w:hAnsi="宋体" w:hint="eastAsia"/>
          <w:color w:val="auto"/>
          <w:kern w:val="0"/>
          <w:sz w:val="28"/>
          <w:szCs w:val="28"/>
          <w:lang w:eastAsia="zh-CN"/>
        </w:rPr>
        <w:t>直埋电缆</w:t>
      </w:r>
      <w:r>
        <w:rPr>
          <w:rFonts w:ascii="宋体" w:eastAsia="宋体" w:cs="宋体" w:hAnsi="宋体" w:hint="eastAsia"/>
          <w:color w:val="auto"/>
          <w:kern w:val="0"/>
          <w:sz w:val="28"/>
          <w:szCs w:val="28"/>
          <w:lang w:val="en-US" w:eastAsia="zh-CN"/>
        </w:rPr>
        <w:t>,参照《电力工程电缆设计标准》GB50217-2018第5.3.3条相关规定，35kV</w:t>
      </w:r>
      <w:r>
        <w:rPr>
          <w:rFonts w:ascii="宋体" w:eastAsia="宋体" w:cs="宋体" w:hAnsi="宋体" w:hint="eastAsia"/>
          <w:color w:val="auto"/>
          <w:kern w:val="0"/>
          <w:sz w:val="28"/>
          <w:szCs w:val="28"/>
          <w:lang w:eastAsia="zh-CN"/>
        </w:rPr>
        <w:t>直埋电缆控制深度为电缆外皮至地面深度≥</w:t>
      </w:r>
      <w:r>
        <w:rPr>
          <w:rFonts w:ascii="宋体" w:eastAsia="宋体" w:cs="宋体" w:hAnsi="宋体" w:hint="eastAsia"/>
          <w:color w:val="auto"/>
          <w:kern w:val="0"/>
          <w:sz w:val="28"/>
          <w:szCs w:val="28"/>
          <w:lang w:val="en-US" w:eastAsia="zh-CN"/>
        </w:rPr>
        <w:t>0.7</w:t>
      </w:r>
      <w:r>
        <w:rPr>
          <w:rFonts w:ascii="宋体" w:eastAsia="宋体" w:cs="宋体" w:hAnsi="宋体" w:hint="eastAsia"/>
          <w:color w:val="auto"/>
          <w:kern w:val="0"/>
          <w:sz w:val="28"/>
          <w:szCs w:val="28"/>
          <w:lang w:eastAsia="zh-CN"/>
        </w:rPr>
        <w:t>米，缆外皮至地下构筑物基础距离≥</w:t>
      </w:r>
      <w:r>
        <w:rPr>
          <w:rFonts w:ascii="宋体" w:eastAsia="宋体" w:cs="宋体" w:hAnsi="宋体" w:hint="eastAsia"/>
          <w:color w:val="auto"/>
          <w:kern w:val="0"/>
          <w:sz w:val="28"/>
          <w:szCs w:val="28"/>
          <w:lang w:val="en-US" w:eastAsia="zh-CN"/>
        </w:rPr>
        <w:t>0.3</w:t>
      </w:r>
      <w:r>
        <w:rPr>
          <w:rFonts w:ascii="宋体" w:eastAsia="宋体" w:cs="宋体" w:hAnsi="宋体" w:hint="eastAsia"/>
          <w:color w:val="auto"/>
          <w:kern w:val="0"/>
          <w:sz w:val="28"/>
          <w:szCs w:val="28"/>
          <w:lang w:eastAsia="zh-CN"/>
        </w:rPr>
        <w:t>米，电缆通道宽度应根据电缆根数和外径由工程设计确定。</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61" w:name="_Toc10612"/>
      <w:r>
        <w:rPr>
          <w:rFonts w:ascii="宋体" w:eastAsia="宋体" w:cs="宋体" w:hAnsi="宋体" w:hint="eastAsia"/>
          <w:bCs/>
          <w:color w:val="auto"/>
          <w:sz w:val="32"/>
          <w:szCs w:val="32"/>
          <w:lang w:val="en-US" w:eastAsia="zh-CN"/>
        </w:rPr>
        <w:t>7.2地块控制指标表</w:t>
      </w:r>
      <w:bookmarkEnd w:id="61"/>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eastAsia="zh-CN"/>
        </w:rPr>
        <w:t>规划的升压站地块、各风电机组和箱变地块的用地性质均为供电用地（地类用地代码</w:t>
      </w:r>
      <w:r>
        <w:rPr>
          <w:rFonts w:ascii="宋体" w:eastAsia="宋体" w:cs="宋体" w:hAnsi="宋体" w:hint="eastAsia"/>
          <w:color w:val="auto"/>
          <w:kern w:val="0"/>
          <w:sz w:val="28"/>
          <w:szCs w:val="28"/>
          <w:lang w:val="en-US" w:eastAsia="zh-CN"/>
        </w:rPr>
        <w:t>1303</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w:t>
      </w:r>
      <w:r>
        <w:rPr>
          <w:rFonts w:ascii="宋体" w:eastAsia="宋体" w:cs="宋体" w:hAnsi="宋体" w:hint="eastAsia"/>
          <w:color w:val="auto"/>
          <w:kern w:val="0"/>
          <w:sz w:val="28"/>
          <w:szCs w:val="28"/>
          <w:lang w:eastAsia="zh-CN"/>
        </w:rPr>
        <w:t>钦北区百浪岭风电场一期</w:t>
      </w:r>
      <w:r>
        <w:rPr>
          <w:rFonts w:ascii="宋体" w:eastAsia="宋体" w:cs="宋体" w:hAnsi="宋体" w:hint="eastAsia"/>
          <w:color w:val="auto"/>
          <w:kern w:val="0"/>
          <w:sz w:val="28"/>
          <w:szCs w:val="28"/>
        </w:rPr>
        <w:t>工程</w:t>
      </w:r>
      <w:r>
        <w:rPr>
          <w:rFonts w:ascii="宋体" w:eastAsia="宋体" w:cs="宋体" w:hAnsi="宋体" w:hint="eastAsia"/>
          <w:color w:val="auto"/>
          <w:kern w:val="0"/>
          <w:sz w:val="28"/>
          <w:szCs w:val="28"/>
          <w:lang w:val="en-US" w:eastAsia="zh-CN"/>
        </w:rPr>
        <w:t>场址东北向的风电机组地块位置与</w:t>
      </w:r>
      <w:r>
        <w:rPr>
          <w:rFonts w:ascii="宋体" w:eastAsia="宋体" w:cs="宋体" w:hAnsi="宋体" w:hint="eastAsia"/>
          <w:color w:val="auto"/>
          <w:kern w:val="0"/>
          <w:sz w:val="28"/>
          <w:szCs w:val="28"/>
          <w:lang w:eastAsia="zh-CN"/>
        </w:rPr>
        <w:t>外部交通道口</w:t>
      </w:r>
      <w:r>
        <w:rPr>
          <w:rFonts w:ascii="宋体" w:eastAsia="宋体" w:cs="宋体" w:hAnsi="宋体" w:hint="eastAsia"/>
          <w:color w:val="auto"/>
          <w:kern w:val="0"/>
          <w:sz w:val="28"/>
          <w:szCs w:val="28"/>
        </w:rPr>
        <w:t>较近</w:t>
      </w:r>
      <w:r>
        <w:rPr>
          <w:rFonts w:ascii="宋体" w:eastAsia="宋体" w:cs="宋体" w:hAnsi="宋体" w:hint="eastAsia"/>
          <w:color w:val="auto"/>
          <w:kern w:val="0"/>
          <w:sz w:val="28"/>
          <w:szCs w:val="28"/>
          <w:lang w:eastAsia="zh-CN"/>
        </w:rPr>
        <w:t>，因此，</w:t>
      </w:r>
      <w:r>
        <w:rPr>
          <w:rFonts w:ascii="宋体" w:eastAsia="宋体" w:cs="宋体" w:hAnsi="宋体" w:hint="eastAsia"/>
          <w:color w:val="auto"/>
          <w:kern w:val="0"/>
          <w:sz w:val="28"/>
          <w:szCs w:val="28"/>
          <w:lang w:val="en-US" w:eastAsia="zh-CN"/>
        </w:rPr>
        <w:t>本规划拟从东北往西南方向将18个地块依次编号为BL-01至BL-18，最终以规划主管部门定义的地块编号为准。本规划各地块位置及地块编号详见下图：</w:t>
      </w:r>
    </w:p>
    <w:p>
      <w:pPr>
        <w:pStyle w:val="27"/>
        <w:rPr>
          <w:rFonts w:hint="eastAsia"/>
          <w:color w:val="auto"/>
          <w:lang w:val="en-US" w:eastAsia="zh-CN"/>
        </w:rPr>
      </w:pPr>
      <w:r>
        <w:rPr>
          <w:rFonts w:hint="eastAsia"/>
          <w:color w:val="auto"/>
          <w:lang w:val="en-US" w:eastAsia="zh-CN"/>
        </w:rPr>
        <w:drawing>
          <wp:inline distT="0" distB="0" distL="114300" distR="114300">
            <wp:extent cx="5567045" cy="5505450"/>
            <wp:effectExtent l="0" t="0" r="42" b="11"/>
            <wp:docPr id="72" name="图片 2" descr="E:/00王麒麟项目/王麒麟百浪岭项目一期风电场50mw2025.04.18/百浪岭插图/00百浪岭控规总图图则编号-Model.png00百浪岭控规总图图则编号-Model"/>
            <wp:cNvGraphicFramePr>
              <a:graphicFrameLocks noChangeAspect="1"/>
            </wp:cNvGraphicFramePr>
            <a:graphic>
              <a:graphicData uri="http://schemas.openxmlformats.org/drawingml/2006/picture">
                <pic:pic>
                  <pic:nvPicPr>
                    <pic:cNvPr id="74" name="图片 2 74"/>
                    <pic:cNvPicPr/>
                  </pic:nvPicPr>
                  <pic:blipFill>
                    <a:blip r:embed="rId27"/>
                    <a:srcRect t="6" b="6"/>
                    <a:stretch>
                      <a:fillRect/>
                    </a:stretch>
                  </pic:blipFill>
                  <pic:spPr>
                    <a:xfrm rot="0">
                      <a:off x="0" y="0"/>
                      <a:ext cx="5567045" cy="5505450"/>
                    </a:xfrm>
                    <a:prstGeom prst="rect"/>
                    <a:noFill/>
                    <a:ln w="9525" cmpd="sng" cap="flat">
                      <a:noFill/>
                      <a:prstDash val="solid"/>
                      <a:miter/>
                    </a:ln>
                  </pic:spPr>
                </pic:pic>
              </a:graphicData>
            </a:graphic>
          </wp:inline>
        </w:drawing>
      </w:r>
    </w:p>
    <w:p>
      <w:pPr>
        <w:jc w:val="center"/>
        <w:rPr>
          <w:rFonts w:ascii="宋体" w:eastAsia="宋体" w:cs="宋体" w:hAnsi="宋体" w:hint="eastAsia"/>
          <w:color w:val="auto"/>
          <w:kern w:val="0"/>
          <w:sz w:val="28"/>
          <w:szCs w:val="28"/>
          <w:lang w:val="en-US" w:eastAsia="zh-CN"/>
        </w:rPr>
      </w:pPr>
      <w:r>
        <w:rPr>
          <w:rFonts w:hint="eastAsia"/>
          <w:b/>
          <w:bCs/>
          <w:color w:val="auto"/>
          <w:sz w:val="24"/>
          <w:szCs w:val="24"/>
          <w:lang w:val="en-US" w:eastAsia="zh-CN"/>
        </w:rPr>
        <w:t>规划各地块位置及地块编号总图</w:t>
      </w:r>
    </w:p>
    <w:p>
      <w:pPr>
        <w:widowControl/>
        <w:spacing w:before="4" w:line="360" w:lineRule="auto"/>
        <w:ind w:left="118" w:right="351" w:firstLineChars="200" w:firstLine="560"/>
        <w:jc w:val="left"/>
        <w:rPr>
          <w:rFonts w:ascii="宋体" w:eastAsia="宋体" w:cs="宋体" w:hAnsi="宋体" w:hint="eastAsia"/>
          <w:color w:val="auto"/>
          <w:kern w:val="0"/>
          <w:sz w:val="24"/>
          <w:szCs w:val="24"/>
          <w:lang w:val="en-US" w:eastAsia="zh-CN"/>
        </w:rPr>
      </w:pPr>
      <w:r>
        <w:rPr>
          <w:rFonts w:ascii="宋体" w:eastAsia="宋体" w:cs="宋体" w:hAnsi="宋体" w:hint="eastAsia"/>
          <w:color w:val="auto"/>
          <w:kern w:val="0"/>
          <w:sz w:val="28"/>
          <w:szCs w:val="28"/>
          <w:lang w:val="en-US" w:eastAsia="zh-CN"/>
        </w:rPr>
        <w:t>本规划的各地块编号、用地代码、用地性质、用地面积以及其他具体管控内容详见下表：</w:t>
      </w:r>
    </w:p>
    <w:p>
      <w:pPr>
        <w:widowControl/>
        <w:spacing w:before="4" w:line="360" w:lineRule="auto"/>
        <w:ind w:left="118" w:right="351" w:firstLineChars="200" w:firstLine="480"/>
        <w:jc w:val="center"/>
        <w:rPr>
          <w:rFonts w:ascii="宋体" w:eastAsia="宋体" w:cs="宋体" w:hAnsi="宋体" w:hint="eastAsia"/>
          <w:color w:val="auto"/>
          <w:kern w:val="0"/>
          <w:sz w:val="24"/>
          <w:szCs w:val="24"/>
          <w:lang w:val="en-US" w:eastAsia="zh-CN"/>
        </w:rPr>
      </w:pPr>
      <w:r>
        <w:rPr>
          <w:rFonts w:ascii="宋体" w:eastAsia="宋体" w:cs="宋体" w:hAnsi="宋体" w:hint="eastAsia"/>
          <w:color w:val="auto"/>
          <w:kern w:val="0"/>
          <w:sz w:val="24"/>
          <w:szCs w:val="24"/>
          <w:lang w:val="en-US" w:eastAsia="zh-CN"/>
        </w:rPr>
        <w:t>地块控制指标一览表</w:t>
      </w:r>
    </w:p>
    <w:tbl>
      <w:tblPr>
        <w:jc w:val="left"/>
        <w:tblInd w:w="0" w:type="dxa"/>
        <w:tblW w:w="8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52"/>
        <w:gridCol w:w="661"/>
        <w:gridCol w:w="670"/>
        <w:gridCol w:w="678"/>
        <w:gridCol w:w="777"/>
        <w:gridCol w:w="1203"/>
        <w:gridCol w:w="758"/>
        <w:gridCol w:w="726"/>
        <w:gridCol w:w="662"/>
        <w:gridCol w:w="686"/>
        <w:gridCol w:w="479"/>
        <w:gridCol w:w="646"/>
      </w:tblGrid>
      <w:tr>
        <w:trPr>
          <w:trHeight w:val="2143"/>
          <w:tblHeader/>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地块</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编号</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p>
        </w:tc>
        <w:tc>
          <w:tcPr>
            <w:tcW w:w="661"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用地</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代码</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p>
        </w:tc>
        <w:tc>
          <w:tcPr>
            <w:tcW w:w="6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用地</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性质</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p>
        </w:tc>
        <w:tc>
          <w:tcPr>
            <w:tcW w:w="67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主导</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功能</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建筑</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面积</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比例</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p>
        </w:tc>
        <w:tc>
          <w:tcPr>
            <w:tcW w:w="77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不可</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兼容</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用地</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类型</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(负面</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清单)</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p>
        </w:tc>
        <w:tc>
          <w:tcPr>
            <w:tcW w:w="120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用地面积(平方米）</w:t>
            </w:r>
          </w:p>
        </w:tc>
        <w:tc>
          <w:tcPr>
            <w:tcW w:w="75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容</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积</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率</w:t>
            </w:r>
          </w:p>
        </w:tc>
        <w:tc>
          <w:tcPr>
            <w:tcW w:w="72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建筑密度</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/建筑系数(%)</w:t>
            </w:r>
          </w:p>
        </w:tc>
        <w:tc>
          <w:tcPr>
            <w:tcW w:w="66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绿</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地</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率(%)</w:t>
            </w:r>
          </w:p>
        </w:tc>
        <w:tc>
          <w:tcPr>
            <w:tcW w:w="68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建筑限高(米)</w:t>
            </w:r>
          </w:p>
        </w:tc>
        <w:tc>
          <w:tcPr>
            <w:tcW w:w="47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配套设施</w:t>
            </w:r>
          </w:p>
        </w:tc>
        <w:tc>
          <w:tcPr>
            <w:tcW w:w="64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备</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注</w:t>
            </w:r>
          </w:p>
        </w:tc>
      </w:tr>
      <w:tr>
        <w:trPr>
          <w:trHeight w:val="544"/>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BL-01</w:t>
            </w:r>
          </w:p>
        </w:tc>
        <w:tc>
          <w:tcPr>
            <w:tcW w:w="661"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1303</w:t>
            </w:r>
          </w:p>
        </w:tc>
        <w:tc>
          <w:tcPr>
            <w:tcW w:w="6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供电用地</w:t>
            </w:r>
          </w:p>
        </w:tc>
        <w:tc>
          <w:tcPr>
            <w:tcW w:w="67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100</w:t>
            </w:r>
          </w:p>
        </w:tc>
        <w:tc>
          <w:tcPr>
            <w:tcW w:w="77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120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318.2486</w:t>
            </w:r>
          </w:p>
        </w:tc>
        <w:tc>
          <w:tcPr>
            <w:tcW w:w="75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≤0.2</w:t>
            </w:r>
          </w:p>
        </w:tc>
        <w:tc>
          <w:tcPr>
            <w:tcW w:w="72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6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8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47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4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风机箱变</w:t>
            </w:r>
          </w:p>
        </w:tc>
      </w:tr>
      <w:tr>
        <w:trPr>
          <w:trHeight w:val="441"/>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BL-02</w:t>
            </w:r>
          </w:p>
        </w:tc>
        <w:tc>
          <w:tcPr>
            <w:tcW w:w="661"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1303</w:t>
            </w:r>
          </w:p>
        </w:tc>
        <w:tc>
          <w:tcPr>
            <w:tcW w:w="6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供电用地</w:t>
            </w:r>
          </w:p>
        </w:tc>
        <w:tc>
          <w:tcPr>
            <w:tcW w:w="67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100</w:t>
            </w:r>
          </w:p>
        </w:tc>
        <w:tc>
          <w:tcPr>
            <w:tcW w:w="77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120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318.2486</w:t>
            </w:r>
          </w:p>
        </w:tc>
        <w:tc>
          <w:tcPr>
            <w:tcW w:w="75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≤0.2</w:t>
            </w:r>
          </w:p>
        </w:tc>
        <w:tc>
          <w:tcPr>
            <w:tcW w:w="72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6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8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47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4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风机箱变</w:t>
            </w:r>
          </w:p>
        </w:tc>
      </w:tr>
      <w:tr>
        <w:trPr>
          <w:trHeight w:val="441"/>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BL-03</w:t>
            </w:r>
          </w:p>
        </w:tc>
        <w:tc>
          <w:tcPr>
            <w:tcW w:w="661"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1303</w:t>
            </w:r>
          </w:p>
        </w:tc>
        <w:tc>
          <w:tcPr>
            <w:tcW w:w="6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供电用地</w:t>
            </w:r>
          </w:p>
        </w:tc>
        <w:tc>
          <w:tcPr>
            <w:tcW w:w="67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100</w:t>
            </w:r>
          </w:p>
        </w:tc>
        <w:tc>
          <w:tcPr>
            <w:tcW w:w="77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120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318.2486</w:t>
            </w:r>
          </w:p>
        </w:tc>
        <w:tc>
          <w:tcPr>
            <w:tcW w:w="75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≤0.2</w:t>
            </w:r>
          </w:p>
        </w:tc>
        <w:tc>
          <w:tcPr>
            <w:tcW w:w="72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6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8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47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4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风机箱变</w:t>
            </w:r>
          </w:p>
        </w:tc>
      </w:tr>
      <w:tr>
        <w:trPr>
          <w:trHeight w:val="441"/>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BL-04</w:t>
            </w:r>
          </w:p>
        </w:tc>
        <w:tc>
          <w:tcPr>
            <w:tcW w:w="661"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1303</w:t>
            </w:r>
          </w:p>
        </w:tc>
        <w:tc>
          <w:tcPr>
            <w:tcW w:w="6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供电用地</w:t>
            </w:r>
          </w:p>
        </w:tc>
        <w:tc>
          <w:tcPr>
            <w:tcW w:w="67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100</w:t>
            </w:r>
          </w:p>
        </w:tc>
        <w:tc>
          <w:tcPr>
            <w:tcW w:w="77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120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318.2486</w:t>
            </w:r>
          </w:p>
        </w:tc>
        <w:tc>
          <w:tcPr>
            <w:tcW w:w="75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≤0.2</w:t>
            </w:r>
          </w:p>
        </w:tc>
        <w:tc>
          <w:tcPr>
            <w:tcW w:w="72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6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8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47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4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风机箱变</w:t>
            </w:r>
          </w:p>
        </w:tc>
      </w:tr>
      <w:tr>
        <w:trPr>
          <w:trHeight w:val="441"/>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BL-05</w:t>
            </w:r>
          </w:p>
        </w:tc>
        <w:tc>
          <w:tcPr>
            <w:tcW w:w="661"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1303</w:t>
            </w:r>
          </w:p>
        </w:tc>
        <w:tc>
          <w:tcPr>
            <w:tcW w:w="6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供电用地</w:t>
            </w:r>
          </w:p>
        </w:tc>
        <w:tc>
          <w:tcPr>
            <w:tcW w:w="67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100</w:t>
            </w:r>
          </w:p>
        </w:tc>
        <w:tc>
          <w:tcPr>
            <w:tcW w:w="77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120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318.2486</w:t>
            </w:r>
          </w:p>
        </w:tc>
        <w:tc>
          <w:tcPr>
            <w:tcW w:w="75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≤0.2</w:t>
            </w:r>
          </w:p>
        </w:tc>
        <w:tc>
          <w:tcPr>
            <w:tcW w:w="72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6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8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47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4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风机箱变</w:t>
            </w:r>
          </w:p>
        </w:tc>
      </w:tr>
      <w:tr>
        <w:trPr>
          <w:trHeight w:val="441"/>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BL-06</w:t>
            </w:r>
          </w:p>
        </w:tc>
        <w:tc>
          <w:tcPr>
            <w:tcW w:w="661"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1303</w:t>
            </w:r>
          </w:p>
        </w:tc>
        <w:tc>
          <w:tcPr>
            <w:tcW w:w="6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供电用地</w:t>
            </w:r>
          </w:p>
        </w:tc>
        <w:tc>
          <w:tcPr>
            <w:tcW w:w="67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100</w:t>
            </w:r>
          </w:p>
        </w:tc>
        <w:tc>
          <w:tcPr>
            <w:tcW w:w="77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120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318.2486</w:t>
            </w:r>
          </w:p>
        </w:tc>
        <w:tc>
          <w:tcPr>
            <w:tcW w:w="75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≤0.2</w:t>
            </w:r>
          </w:p>
        </w:tc>
        <w:tc>
          <w:tcPr>
            <w:tcW w:w="72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6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8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47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4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风机箱变</w:t>
            </w:r>
          </w:p>
        </w:tc>
      </w:tr>
      <w:tr>
        <w:trPr>
          <w:trHeight w:val="441"/>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BL-07</w:t>
            </w:r>
          </w:p>
        </w:tc>
        <w:tc>
          <w:tcPr>
            <w:tcW w:w="661"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1303</w:t>
            </w:r>
          </w:p>
        </w:tc>
        <w:tc>
          <w:tcPr>
            <w:tcW w:w="6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供电用地</w:t>
            </w:r>
          </w:p>
        </w:tc>
        <w:tc>
          <w:tcPr>
            <w:tcW w:w="67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100</w:t>
            </w:r>
          </w:p>
        </w:tc>
        <w:tc>
          <w:tcPr>
            <w:tcW w:w="77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120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318.2486</w:t>
            </w:r>
          </w:p>
        </w:tc>
        <w:tc>
          <w:tcPr>
            <w:tcW w:w="75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≤0.2</w:t>
            </w:r>
          </w:p>
        </w:tc>
        <w:tc>
          <w:tcPr>
            <w:tcW w:w="72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6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8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47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4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风机箱变</w:t>
            </w:r>
          </w:p>
        </w:tc>
      </w:tr>
      <w:tr>
        <w:trPr>
          <w:trHeight w:val="441"/>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BL-08</w:t>
            </w:r>
          </w:p>
        </w:tc>
        <w:tc>
          <w:tcPr>
            <w:tcW w:w="661"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1303</w:t>
            </w:r>
          </w:p>
        </w:tc>
        <w:tc>
          <w:tcPr>
            <w:tcW w:w="6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供电用地</w:t>
            </w:r>
          </w:p>
        </w:tc>
        <w:tc>
          <w:tcPr>
            <w:tcW w:w="67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100</w:t>
            </w:r>
          </w:p>
        </w:tc>
        <w:tc>
          <w:tcPr>
            <w:tcW w:w="77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120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318.2486</w:t>
            </w:r>
          </w:p>
        </w:tc>
        <w:tc>
          <w:tcPr>
            <w:tcW w:w="75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≤0.2</w:t>
            </w:r>
          </w:p>
        </w:tc>
        <w:tc>
          <w:tcPr>
            <w:tcW w:w="72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6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8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47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4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风机箱变</w:t>
            </w:r>
          </w:p>
        </w:tc>
      </w:tr>
      <w:tr>
        <w:trPr>
          <w:trHeight w:val="441"/>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BL-09</w:t>
            </w:r>
          </w:p>
        </w:tc>
        <w:tc>
          <w:tcPr>
            <w:tcW w:w="661"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1303</w:t>
            </w:r>
          </w:p>
        </w:tc>
        <w:tc>
          <w:tcPr>
            <w:tcW w:w="6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供电用地</w:t>
            </w:r>
          </w:p>
        </w:tc>
        <w:tc>
          <w:tcPr>
            <w:tcW w:w="67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100</w:t>
            </w:r>
          </w:p>
        </w:tc>
        <w:tc>
          <w:tcPr>
            <w:tcW w:w="77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120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318.2486</w:t>
            </w:r>
          </w:p>
        </w:tc>
        <w:tc>
          <w:tcPr>
            <w:tcW w:w="75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≤0.2</w:t>
            </w:r>
          </w:p>
        </w:tc>
        <w:tc>
          <w:tcPr>
            <w:tcW w:w="72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6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8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47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4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风机箱变</w:t>
            </w:r>
          </w:p>
        </w:tc>
      </w:tr>
      <w:tr>
        <w:trPr>
          <w:trHeight w:val="441"/>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BL-10</w:t>
            </w:r>
          </w:p>
        </w:tc>
        <w:tc>
          <w:tcPr>
            <w:tcW w:w="661"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1303</w:t>
            </w:r>
          </w:p>
        </w:tc>
        <w:tc>
          <w:tcPr>
            <w:tcW w:w="6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供电用地</w:t>
            </w:r>
          </w:p>
        </w:tc>
        <w:tc>
          <w:tcPr>
            <w:tcW w:w="67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100</w:t>
            </w:r>
          </w:p>
        </w:tc>
        <w:tc>
          <w:tcPr>
            <w:tcW w:w="77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120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318.2486</w:t>
            </w:r>
          </w:p>
        </w:tc>
        <w:tc>
          <w:tcPr>
            <w:tcW w:w="75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≤0.2</w:t>
            </w:r>
          </w:p>
        </w:tc>
        <w:tc>
          <w:tcPr>
            <w:tcW w:w="72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6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8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47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4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风机箱变</w:t>
            </w:r>
          </w:p>
        </w:tc>
      </w:tr>
      <w:tr>
        <w:trPr>
          <w:trHeight w:val="441"/>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BL-11</w:t>
            </w:r>
          </w:p>
        </w:tc>
        <w:tc>
          <w:tcPr>
            <w:tcW w:w="661"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1303</w:t>
            </w:r>
          </w:p>
        </w:tc>
        <w:tc>
          <w:tcPr>
            <w:tcW w:w="6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供电用地</w:t>
            </w:r>
          </w:p>
        </w:tc>
        <w:tc>
          <w:tcPr>
            <w:tcW w:w="67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100</w:t>
            </w:r>
          </w:p>
        </w:tc>
        <w:tc>
          <w:tcPr>
            <w:tcW w:w="77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120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318.2486</w:t>
            </w:r>
          </w:p>
        </w:tc>
        <w:tc>
          <w:tcPr>
            <w:tcW w:w="75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≤0.2</w:t>
            </w:r>
          </w:p>
        </w:tc>
        <w:tc>
          <w:tcPr>
            <w:tcW w:w="72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6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8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47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4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风机箱变</w:t>
            </w:r>
          </w:p>
        </w:tc>
      </w:tr>
      <w:tr>
        <w:trPr>
          <w:trHeight w:val="441"/>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BL-12</w:t>
            </w:r>
          </w:p>
        </w:tc>
        <w:tc>
          <w:tcPr>
            <w:tcW w:w="661"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1303</w:t>
            </w:r>
          </w:p>
        </w:tc>
        <w:tc>
          <w:tcPr>
            <w:tcW w:w="6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供电用地</w:t>
            </w:r>
          </w:p>
        </w:tc>
        <w:tc>
          <w:tcPr>
            <w:tcW w:w="67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100</w:t>
            </w:r>
          </w:p>
        </w:tc>
        <w:tc>
          <w:tcPr>
            <w:tcW w:w="77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120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318.2486</w:t>
            </w:r>
          </w:p>
        </w:tc>
        <w:tc>
          <w:tcPr>
            <w:tcW w:w="75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≤0.2</w:t>
            </w:r>
          </w:p>
        </w:tc>
        <w:tc>
          <w:tcPr>
            <w:tcW w:w="72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6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8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47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4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风机箱变</w:t>
            </w:r>
          </w:p>
        </w:tc>
      </w:tr>
      <w:tr>
        <w:trPr>
          <w:trHeight w:val="441"/>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BL-13</w:t>
            </w:r>
          </w:p>
        </w:tc>
        <w:tc>
          <w:tcPr>
            <w:tcW w:w="661"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1303</w:t>
            </w:r>
          </w:p>
        </w:tc>
        <w:tc>
          <w:tcPr>
            <w:tcW w:w="6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供电用地</w:t>
            </w:r>
          </w:p>
        </w:tc>
        <w:tc>
          <w:tcPr>
            <w:tcW w:w="67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100</w:t>
            </w:r>
          </w:p>
        </w:tc>
        <w:tc>
          <w:tcPr>
            <w:tcW w:w="77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120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318.2486</w:t>
            </w:r>
          </w:p>
        </w:tc>
        <w:tc>
          <w:tcPr>
            <w:tcW w:w="75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≤0.2</w:t>
            </w:r>
          </w:p>
        </w:tc>
        <w:tc>
          <w:tcPr>
            <w:tcW w:w="72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6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8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47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4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风机箱变</w:t>
            </w:r>
          </w:p>
        </w:tc>
      </w:tr>
      <w:tr>
        <w:trPr>
          <w:trHeight w:val="441"/>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BL-14</w:t>
            </w:r>
          </w:p>
        </w:tc>
        <w:tc>
          <w:tcPr>
            <w:tcW w:w="661"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1303</w:t>
            </w:r>
          </w:p>
        </w:tc>
        <w:tc>
          <w:tcPr>
            <w:tcW w:w="6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供电用地</w:t>
            </w:r>
          </w:p>
        </w:tc>
        <w:tc>
          <w:tcPr>
            <w:tcW w:w="67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100</w:t>
            </w:r>
          </w:p>
        </w:tc>
        <w:tc>
          <w:tcPr>
            <w:tcW w:w="77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120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318.2486</w:t>
            </w:r>
          </w:p>
        </w:tc>
        <w:tc>
          <w:tcPr>
            <w:tcW w:w="75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≤0.2</w:t>
            </w:r>
          </w:p>
        </w:tc>
        <w:tc>
          <w:tcPr>
            <w:tcW w:w="72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6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8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47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4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风机箱变</w:t>
            </w:r>
          </w:p>
        </w:tc>
      </w:tr>
      <w:tr>
        <w:trPr>
          <w:trHeight w:val="441"/>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BL-15</w:t>
            </w:r>
          </w:p>
        </w:tc>
        <w:tc>
          <w:tcPr>
            <w:tcW w:w="661"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1303</w:t>
            </w:r>
          </w:p>
        </w:tc>
        <w:tc>
          <w:tcPr>
            <w:tcW w:w="6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供电用地</w:t>
            </w:r>
          </w:p>
        </w:tc>
        <w:tc>
          <w:tcPr>
            <w:tcW w:w="67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100</w:t>
            </w:r>
          </w:p>
        </w:tc>
        <w:tc>
          <w:tcPr>
            <w:tcW w:w="77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120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318.2486</w:t>
            </w:r>
          </w:p>
        </w:tc>
        <w:tc>
          <w:tcPr>
            <w:tcW w:w="75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≤0.2</w:t>
            </w:r>
          </w:p>
        </w:tc>
        <w:tc>
          <w:tcPr>
            <w:tcW w:w="72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6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8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47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4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风机箱变</w:t>
            </w:r>
          </w:p>
        </w:tc>
      </w:tr>
      <w:tr>
        <w:trPr>
          <w:trHeight w:val="441"/>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BL-16</w:t>
            </w:r>
          </w:p>
        </w:tc>
        <w:tc>
          <w:tcPr>
            <w:tcW w:w="661"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1303</w:t>
            </w:r>
          </w:p>
        </w:tc>
        <w:tc>
          <w:tcPr>
            <w:tcW w:w="6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供电用地</w:t>
            </w:r>
          </w:p>
        </w:tc>
        <w:tc>
          <w:tcPr>
            <w:tcW w:w="67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100</w:t>
            </w:r>
          </w:p>
        </w:tc>
        <w:tc>
          <w:tcPr>
            <w:tcW w:w="77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120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318.2486</w:t>
            </w:r>
          </w:p>
        </w:tc>
        <w:tc>
          <w:tcPr>
            <w:tcW w:w="75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≤0.2</w:t>
            </w:r>
          </w:p>
        </w:tc>
        <w:tc>
          <w:tcPr>
            <w:tcW w:w="72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6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8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47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4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风机箱变</w:t>
            </w:r>
          </w:p>
        </w:tc>
      </w:tr>
      <w:tr>
        <w:trPr>
          <w:trHeight w:val="441"/>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BL-17</w:t>
            </w:r>
          </w:p>
        </w:tc>
        <w:tc>
          <w:tcPr>
            <w:tcW w:w="661"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1303</w:t>
            </w:r>
          </w:p>
        </w:tc>
        <w:tc>
          <w:tcPr>
            <w:tcW w:w="6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供电用地</w:t>
            </w:r>
          </w:p>
        </w:tc>
        <w:tc>
          <w:tcPr>
            <w:tcW w:w="67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100</w:t>
            </w:r>
          </w:p>
        </w:tc>
        <w:tc>
          <w:tcPr>
            <w:tcW w:w="77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120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318.2486</w:t>
            </w:r>
          </w:p>
        </w:tc>
        <w:tc>
          <w:tcPr>
            <w:tcW w:w="75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≤0.2</w:t>
            </w:r>
          </w:p>
        </w:tc>
        <w:tc>
          <w:tcPr>
            <w:tcW w:w="72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6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8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47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4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风机箱变</w:t>
            </w:r>
          </w:p>
        </w:tc>
      </w:tr>
      <w:tr>
        <w:trPr>
          <w:trHeight w:val="441"/>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BL-18</w:t>
            </w:r>
          </w:p>
        </w:tc>
        <w:tc>
          <w:tcPr>
            <w:tcW w:w="661"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1303</w:t>
            </w:r>
          </w:p>
        </w:tc>
        <w:tc>
          <w:tcPr>
            <w:tcW w:w="6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供电用地</w:t>
            </w:r>
          </w:p>
        </w:tc>
        <w:tc>
          <w:tcPr>
            <w:tcW w:w="67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100</w:t>
            </w:r>
          </w:p>
        </w:tc>
        <w:tc>
          <w:tcPr>
            <w:tcW w:w="77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120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3232.1431</w:t>
            </w:r>
          </w:p>
        </w:tc>
        <w:tc>
          <w:tcPr>
            <w:tcW w:w="75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w:t>
            </w:r>
          </w:p>
        </w:tc>
        <w:tc>
          <w:tcPr>
            <w:tcW w:w="72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≤30</w:t>
            </w:r>
          </w:p>
        </w:tc>
        <w:tc>
          <w:tcPr>
            <w:tcW w:w="66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≥15</w:t>
            </w:r>
          </w:p>
        </w:tc>
        <w:tc>
          <w:tcPr>
            <w:tcW w:w="68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≤24</w:t>
            </w:r>
          </w:p>
        </w:tc>
        <w:tc>
          <w:tcPr>
            <w:tcW w:w="47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4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升压站</w:t>
            </w:r>
          </w:p>
        </w:tc>
      </w:tr>
    </w:tbl>
    <w:p>
      <w:pPr>
        <w:pStyle w:val="1"/>
        <w:numPr>
          <w:ilvl w:val="0"/>
          <w:numId w:val="0"/>
        </w:numPr>
        <w:spacing w:before="260" w:line="360" w:lineRule="auto"/>
        <w:ind w:left="420" w:right="351"/>
        <w:jc w:val="center"/>
        <w:rPr>
          <w:rFonts w:ascii="宋体" w:eastAsia="宋体" w:cs="宋体" w:hAnsi="宋体"/>
          <w:bCs/>
          <w:color w:val="auto"/>
          <w:sz w:val="32"/>
          <w:szCs w:val="32"/>
        </w:rPr>
      </w:pPr>
      <w:bookmarkStart w:id="62" w:name="_Toc22227"/>
      <w:r>
        <w:rPr>
          <w:rFonts w:ascii="宋体" w:eastAsia="宋体" w:cs="宋体" w:hAnsi="宋体" w:hint="eastAsia"/>
          <w:bCs/>
          <w:color w:val="auto"/>
          <w:sz w:val="32"/>
          <w:szCs w:val="32"/>
          <w:lang w:eastAsia="zh-CN"/>
        </w:rPr>
        <w:t>第八章</w:t>
      </w:r>
      <w:r>
        <w:rPr>
          <w:rFonts w:ascii="宋体" w:eastAsia="宋体" w:cs="宋体" w:hAnsi="宋体" w:hint="eastAsia"/>
          <w:bCs/>
          <w:color w:val="auto"/>
          <w:sz w:val="32"/>
          <w:szCs w:val="32"/>
          <w:lang w:val="en-US" w:eastAsia="zh-CN"/>
        </w:rPr>
        <w:t xml:space="preserve"> </w:t>
      </w:r>
      <w:r>
        <w:rPr>
          <w:rFonts w:ascii="宋体" w:eastAsia="宋体" w:cs="宋体" w:hAnsi="宋体" w:hint="eastAsia"/>
          <w:bCs/>
          <w:color w:val="auto"/>
          <w:sz w:val="32"/>
          <w:szCs w:val="32"/>
          <w:lang w:eastAsia="zh-CN"/>
        </w:rPr>
        <w:t>环境保护</w:t>
      </w:r>
      <w:r>
        <w:rPr>
          <w:rFonts w:ascii="宋体" w:eastAsia="宋体" w:cs="宋体" w:hAnsi="宋体" w:hint="eastAsia"/>
          <w:bCs/>
          <w:color w:val="auto"/>
          <w:sz w:val="32"/>
          <w:szCs w:val="32"/>
        </w:rPr>
        <w:t>规划</w:t>
      </w:r>
      <w:bookmarkEnd w:id="62"/>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63" w:name="_Toc15332"/>
      <w:r>
        <w:rPr>
          <w:rFonts w:ascii="宋体" w:eastAsia="宋体" w:cs="宋体" w:hAnsi="宋体" w:hint="eastAsia"/>
          <w:bCs/>
          <w:color w:val="auto"/>
          <w:sz w:val="32"/>
          <w:szCs w:val="32"/>
          <w:lang w:val="en-US" w:eastAsia="zh-CN"/>
        </w:rPr>
        <w:t>8.1规划依据</w:t>
      </w:r>
      <w:bookmarkEnd w:id="63"/>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bookmarkStart w:id="64" w:name="_Toc17363"/>
      <w:r>
        <w:rPr>
          <w:rFonts w:ascii="宋体" w:eastAsia="宋体" w:cs="宋体" w:hAnsi="宋体" w:hint="eastAsia"/>
          <w:color w:val="auto"/>
          <w:kern w:val="0"/>
          <w:sz w:val="28"/>
          <w:szCs w:val="28"/>
          <w:lang w:val="en-US" w:eastAsia="zh-CN"/>
        </w:rPr>
        <w:t>（1）《中华人民共和国环境保护法》（2015.1）；</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（2）《中华人民共和国环境影响评价法》（2018.12）；</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（3）《中华人民共和国大气污染防治法》（2018.10）；</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（4）《中华人民共和国水污染防治法》（2018.1）；</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（5）《中华人民共和国固体废物污染环境防治法》（2020.9）；</w:t>
      </w:r>
    </w:p>
    <w:p>
      <w:pPr>
        <w:widowControl/>
        <w:spacing w:before="4" w:line="360" w:lineRule="auto"/>
        <w:ind w:leftChars="322" w:left="676" w:right="351" w:firstLine="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w:t>
      </w:r>
      <w:r>
        <w:rPr>
          <w:rFonts w:ascii="宋体" w:eastAsia="宋体" w:cs="宋体" w:hAnsi="宋体"/>
          <w:color w:val="auto"/>
          <w:kern w:val="0"/>
          <w:sz w:val="28"/>
          <w:szCs w:val="28"/>
          <w:lang w:val="en-US" w:eastAsia="zh-CN"/>
        </w:rPr>
        <w:t>6</w:t>
      </w:r>
      <w:r>
        <w:rPr>
          <w:rFonts w:ascii="宋体" w:eastAsia="宋体" w:cs="宋体" w:hAnsi="宋体" w:hint="eastAsia"/>
          <w:color w:val="auto"/>
          <w:kern w:val="0"/>
          <w:sz w:val="28"/>
          <w:szCs w:val="28"/>
          <w:lang w:val="en-US" w:eastAsia="zh-CN"/>
        </w:rPr>
        <w:t>）《中华人民共和国土壤污染防治法》（2019.1）；</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w:t>
      </w:r>
      <w:r>
        <w:rPr>
          <w:rFonts w:ascii="宋体" w:eastAsia="宋体" w:cs="宋体" w:hAnsi="宋体"/>
          <w:color w:val="auto"/>
          <w:kern w:val="0"/>
          <w:sz w:val="28"/>
          <w:szCs w:val="28"/>
          <w:lang w:val="en-US" w:eastAsia="zh-CN"/>
        </w:rPr>
        <w:t>7</w:t>
      </w:r>
      <w:r>
        <w:rPr>
          <w:rFonts w:ascii="宋体" w:eastAsia="宋体" w:cs="宋体" w:hAnsi="宋体" w:hint="eastAsia"/>
          <w:color w:val="auto"/>
          <w:kern w:val="0"/>
          <w:sz w:val="28"/>
          <w:szCs w:val="28"/>
          <w:lang w:val="en-US" w:eastAsia="zh-CN"/>
        </w:rPr>
        <w:t>）《中华人民共和国可再生能源法》中华人民共和国主席令第23 号，2016 年1 月1 日；</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w:t>
      </w:r>
      <w:r>
        <w:rPr>
          <w:rFonts w:ascii="宋体" w:eastAsia="宋体" w:cs="宋体" w:hAnsi="宋体"/>
          <w:color w:val="auto"/>
          <w:kern w:val="0"/>
          <w:sz w:val="28"/>
          <w:szCs w:val="28"/>
          <w:lang w:val="en-US" w:eastAsia="zh-CN"/>
        </w:rPr>
        <w:t>8</w:t>
      </w:r>
      <w:r>
        <w:rPr>
          <w:rFonts w:ascii="宋体" w:eastAsia="宋体" w:cs="宋体" w:hAnsi="宋体" w:hint="eastAsia"/>
          <w:color w:val="auto"/>
          <w:kern w:val="0"/>
          <w:sz w:val="28"/>
          <w:szCs w:val="28"/>
          <w:lang w:val="en-US" w:eastAsia="zh-CN"/>
        </w:rPr>
        <w:t>）《中华人民共和国电力法》，中华人民共和国主席令第24 号，2015 年4 月24 日；</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w:t>
      </w:r>
      <w:r>
        <w:rPr>
          <w:rFonts w:ascii="宋体" w:eastAsia="宋体" w:cs="宋体" w:hAnsi="宋体"/>
          <w:color w:val="auto"/>
          <w:kern w:val="0"/>
          <w:sz w:val="28"/>
          <w:szCs w:val="28"/>
          <w:lang w:val="en-US" w:eastAsia="zh-CN"/>
        </w:rPr>
        <w:t>9</w:t>
      </w:r>
      <w:r>
        <w:rPr>
          <w:rFonts w:ascii="宋体" w:eastAsia="宋体" w:cs="宋体" w:hAnsi="宋体" w:hint="eastAsia"/>
          <w:color w:val="auto"/>
          <w:kern w:val="0"/>
          <w:sz w:val="28"/>
          <w:szCs w:val="28"/>
          <w:lang w:val="en-US" w:eastAsia="zh-CN"/>
        </w:rPr>
        <w:t>）其他有关法规。</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r>
        <w:rPr>
          <w:rFonts w:ascii="宋体" w:eastAsia="宋体" w:cs="宋体" w:hAnsi="宋体" w:hint="eastAsia"/>
          <w:bCs/>
          <w:color w:val="auto"/>
          <w:sz w:val="32"/>
          <w:szCs w:val="32"/>
          <w:lang w:val="en-US" w:eastAsia="zh-CN"/>
        </w:rPr>
        <w:t>8.2环境保护措施</w:t>
      </w:r>
      <w:bookmarkEnd w:id="64"/>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研究地块为</w:t>
      </w:r>
      <w:r>
        <w:rPr>
          <w:rFonts w:ascii="宋体" w:eastAsia="宋体" w:cs="宋体" w:hAnsi="宋体" w:hint="eastAsia"/>
          <w:color w:val="auto"/>
          <w:kern w:val="0"/>
          <w:sz w:val="28"/>
          <w:szCs w:val="28"/>
          <w:lang w:eastAsia="zh-CN"/>
        </w:rPr>
        <w:t>钦北区百浪岭风电场一期项目</w:t>
      </w:r>
      <w:r>
        <w:rPr>
          <w:rFonts w:ascii="宋体" w:eastAsia="宋体" w:cs="宋体" w:hAnsi="宋体" w:hint="eastAsia"/>
          <w:color w:val="auto"/>
          <w:kern w:val="0"/>
          <w:sz w:val="28"/>
          <w:szCs w:val="28"/>
          <w:lang w:val="en-US" w:eastAsia="zh-CN"/>
        </w:rPr>
        <w:t>规划建设用地，该风电场项目已于2019年编制项目水土保持方案报告和项目环境影响评价报告并已得到批复，本规划在项目的建设期和营运期对环境产生的影响进行分析，主要由于工程施工期新建场内道路施工、风机场地平整与基础开挖等造成水土流失对周围生态环境产生影响，施工机械噪声、车辆尾气、施工扬尘和施工区排水对周围环境也产生一定影响；项目运营期对环境的影响主要有“三废”（废气、废水、固体废物）和噪声、电磁场等方面。提出具体保护措施如下：</w:t>
      </w:r>
    </w:p>
    <w:p>
      <w:pPr>
        <w:pStyle w:val="17"/>
        <w:widowControl/>
        <w:autoSpaceDE w:val="0"/>
        <w:autoSpaceDN w:val="0"/>
        <w:spacing w:before="4" w:line="420" w:lineRule="auto"/>
        <w:ind w:left="118" w:right="351" w:firstLineChars="200" w:firstLine="560"/>
        <w:jc w:val="left"/>
        <w:rPr>
          <w:rFonts w:ascii="宋体" w:eastAsia="宋体" w:cs="宋体" w:hAnsi="宋体" w:hint="eastAsia"/>
          <w:color w:val="auto"/>
          <w:kern w:val="0"/>
          <w:sz w:val="28"/>
          <w:szCs w:val="28"/>
          <w:lang w:val="en-US" w:eastAsia="zh-CN"/>
        </w:rPr>
      </w:pPr>
      <w:r>
        <w:rPr>
          <w:rFonts w:hint="eastAsia"/>
          <w:b/>
          <w:bCs/>
          <w:color w:val="auto"/>
          <w:sz w:val="28"/>
          <w:szCs w:val="28"/>
          <w:lang w:val="en-US" w:eastAsia="zh-CN"/>
        </w:rPr>
        <w:t>8.2.1</w:t>
      </w:r>
      <w:r>
        <w:rPr>
          <w:rFonts w:hint="eastAsia"/>
          <w:color w:val="auto"/>
        </w:rPr>
        <w:t xml:space="preserve"> </w:t>
      </w:r>
      <w:r>
        <w:rPr>
          <w:rFonts w:hint="eastAsia"/>
          <w:b/>
          <w:bCs/>
          <w:color w:val="auto"/>
          <w:sz w:val="28"/>
          <w:szCs w:val="28"/>
          <w:lang w:eastAsia="zh-CN"/>
        </w:rPr>
        <w:t>项目建设阶段环境保护措施</w:t>
      </w:r>
    </w:p>
    <w:p>
      <w:pPr>
        <w:pStyle w:val="27"/>
        <w:ind w:left="0" w:firstLineChars="200" w:firstLine="560"/>
        <w:rPr>
          <w:rFonts w:cs="宋体" w:hAnsi="宋体" w:hint="eastAsia"/>
          <w:color w:val="auto"/>
          <w:kern w:val="0"/>
          <w:sz w:val="28"/>
          <w:szCs w:val="28"/>
          <w:lang w:val="en-US" w:eastAsia="zh-CN"/>
        </w:rPr>
      </w:pPr>
      <w:r>
        <w:rPr>
          <w:rFonts w:cs="宋体" w:hAnsi="宋体" w:hint="eastAsia"/>
          <w:color w:val="auto"/>
          <w:kern w:val="0"/>
          <w:sz w:val="28"/>
          <w:szCs w:val="28"/>
          <w:lang w:val="en-US" w:eastAsia="zh-CN"/>
        </w:rPr>
        <w:t>（1）水土保持防治措施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水土保持设施应与主体工程同时设计，同时施工，同时投产使用，水土保持拦挡措施首先实施，做到“先挡后弃”，保证工程建设期和运行期的安全，控制水土流失，保护周边的生态环境。本规划按风机机组区、集电线路区、升压变电站区、道路工程区、弃土场区、临时堆土场区和施工生产生活区等7个分区布设水土保持防治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①风机机组区</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在主体设计中拟采用修建浆砌石排水沟、布置排水管等措施。施工期间在施工场地设置临时排水沟，出口处布置沉沙池，对临时堆土及裸露地表进行彩条布覆盖；施工结束后对裸露地块进行撒播草籽恢复绿化。</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②集电线路区</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施工结束后对施工区周边裸露地块采用撒播草籽+无纺布苫盖措施。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③升压变电站区</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在主体设计中拟采用修建浆砌石排水沟、浆砌片石挡土墙、场内植草绿地和景观绿化等措施。施工期间在升压变电站外围设置临时排水沟，出口处设置沉沙池，对临时堆土采用彩条布覆盖措施。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④道路工程区</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在主体设计中拟采用修建截洪排水沟、管涵和挡土墙等措施。在道路排水沟沿线设置沉沙池；对工程区填方边坡采用撒播草籽+无纺布苫盖进行防护；对工程区挖方边坡采用喷播草籽+无纺布苫盖进行防护。</w:t>
      </w:r>
    </w:p>
    <w:p>
      <w:pPr>
        <w:widowControl/>
        <w:spacing w:before="4" w:line="360" w:lineRule="auto"/>
        <w:ind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⑤弃土场区</w:t>
      </w:r>
    </w:p>
    <w:p>
      <w:pPr>
        <w:widowControl/>
        <w:spacing w:before="4" w:line="360" w:lineRule="auto"/>
        <w:ind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堆土前对弃土场进行表土剥离，用于后期绿化覆土。弃土之前在底部修建浆砌石挡土墙，沿场地周边设置截排水沟，出口处设置沉沙池；堆土结束后采用撒播草籽+无纺布苫盖措施恢复绿化。</w:t>
      </w:r>
    </w:p>
    <w:p>
      <w:pPr>
        <w:widowControl/>
        <w:spacing w:before="4" w:line="360" w:lineRule="auto"/>
        <w:ind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⑥临时堆土场区</w:t>
      </w:r>
    </w:p>
    <w:p>
      <w:pPr>
        <w:widowControl/>
        <w:spacing w:before="4" w:line="360" w:lineRule="auto"/>
        <w:ind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堆土前对弃土场进行表土剥离，用于后期绿化覆土。堆土前沿场地周边设置截排水沟，出口处设置沉沙池；在堆土边坡坡脚处设置装土编织袋临时拦挡；堆土结束后采用撒播草籽+无纺布苫盖措施恢复绿化。</w:t>
      </w:r>
    </w:p>
    <w:p>
      <w:pPr>
        <w:widowControl/>
        <w:spacing w:before="4" w:line="360" w:lineRule="auto"/>
        <w:ind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⑦施工生产生活区</w:t>
      </w:r>
    </w:p>
    <w:p>
      <w:pPr>
        <w:widowControl/>
        <w:spacing w:before="4" w:line="360" w:lineRule="auto"/>
        <w:ind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在主体设计中拟采用沿场地四周及场内修建排水沟，对场内堆土表面采用彩条布覆盖措施；施工结束后进行撒播草籽恢复绿化。</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（2）施工噪声防治措施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根据《建筑施工场界环境噪声排放标准》（GB12523-2011），施工阶段不同，噪声限值也不同。夜间除打桩阶段为禁止施工外，其它阶段限值为55dB，因此，应提倡文明施工，减少人为噪声，尽量采用低噪声有消声设备的施工机械，建立健全控制噪声的管理制度，对噪声进行监测，发现超标应及时、有效地采取控制措施。常见的控制措施有：消声、吸声、隔声和阻声。</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虽然施工噪声仅在施工期的土建施工阶段产生，随施工的结束而消失，但由于噪声较强，且日夜连续工作，将会对周围声环境产生严重影响，极易引起人们的反感，应予以重视，建议采取以下噪声防治措施：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采用较先进的、噪声较小的施工设备，并加强维护和保养，以降低声源声级；施工尽量在白天进行，如需必要的夜间施工，必须按相关规定办理作业许可，并告知周边居民，同时不宜超过24点；将有固定工作地点的施工机械应尽量设置在距居民区较远的位置，并采取适当的封闭和隔声措施；施工场界噪声的控制应达到《建筑施工场界环境噪声排放标准》的要求。</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（3）施工废水防治措施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本工程使用商混，不设混凝土拌合站，施工期废水主要来自混凝土养护废水等施工废水和施工人员的生活污水。施工期的水污染防治措施主要有：</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①风机、箱变等基础浇筑后表面洒水润湿进行养护，混凝土养护废水产生量极少，自然蒸发处理，不会对水环境产生影响。</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②施工人员生活污水统一收集、排放至施工营地内的临时化粪池内，处理后用作施工营地附近区域林地浇灌，施工结束后及时清理临时化粪池。生活污水不得排入临近的周边沟渠，不得与雨水混合后外排。</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（4）施工废气防治措施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①运输车辆严禁超载运输，避免超过车载负荷而使尾气排放量上升。</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②加强对施工机械、车辆的维修保养，提高机械设备的正常使用率，缩短工期，降低燃料废气的排放量。禁止以柴油为燃料的施工机械超负荷工作，避免因机械保养不当而导致的尾气排放量增大，对于排放量严重超标的机械应禁止使用。</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（5）施工固废防治措施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施工期间将产生固体废弃物，主要包括施工弃土、生活垃圾、各类建材包装箱袋以及设备安装包装物等。开挖的临时弃土放置于施工区内的临时堆土场，施工后期用作回填和绿化覆土，永久弃渣集中堆放到弃渣场。施工期间砖渣泥土等建筑垃圾的运输采用有封盖封闭式运渣车，运渣车辆不得超高运输，并覆盖塑料布，以免洒落。为了防止临时堆土受雨水冲刷产生水土流失，施工区临时堆土场应采取编织袋装土防护和苫布覆盖以及设置临时排水导流系统等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施工期间生活垃圾统一收集后运往临近乡镇的生活垃圾中转站处理。各类建材包装箱、袋以及设备安装包装物等统一回收利用给废品收购站。</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（6）施工扬尘防治措施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在场地平整、基础施工、电缆的电缆沟开挖、架空导线基础开挖、废弃土石方堆放、风机设备及建筑材料运输等施工过程中会产生扬尘。在施工基础土方中采用遮盖措施避免扬尘，必要时采用湿式作业。建材的堆放及混凝土拌和应定点、定位，并采取防尘措施，设置挡风板。对土石方装卸和运输产生的扬尘采取洒水、限制车速</w:t>
      </w:r>
      <w:r>
        <w:rPr>
          <w:rFonts w:ascii="宋体" w:eastAsia="宋体" w:cs="宋体" w:hAnsi="宋体"/>
          <w:color w:val="auto"/>
          <w:kern w:val="0"/>
          <w:sz w:val="28"/>
          <w:szCs w:val="28"/>
          <w:lang w:val="en-US" w:eastAsia="zh-CN"/>
        </w:rPr>
        <w:t>等</w:t>
      </w:r>
      <w:r>
        <w:rPr>
          <w:rFonts w:ascii="宋体" w:eastAsia="宋体" w:cs="宋体" w:hAnsi="宋体" w:hint="eastAsia"/>
          <w:color w:val="auto"/>
          <w:kern w:val="0"/>
          <w:sz w:val="28"/>
          <w:szCs w:val="28"/>
          <w:lang w:val="en-US" w:eastAsia="zh-CN"/>
        </w:rPr>
        <w:t>抑尘措施，以减轻对施工区附近地面环境空气质量的影响。</w:t>
      </w:r>
    </w:p>
    <w:p>
      <w:pPr>
        <w:pStyle w:val="17"/>
        <w:widowControl/>
        <w:autoSpaceDE w:val="0"/>
        <w:autoSpaceDN w:val="0"/>
        <w:spacing w:before="4" w:line="420" w:lineRule="auto"/>
        <w:ind w:left="118" w:right="351" w:firstLineChars="200" w:firstLine="560"/>
        <w:jc w:val="left"/>
        <w:rPr>
          <w:rFonts w:ascii="宋体" w:eastAsia="宋体" w:cs="宋体" w:hAnsi="宋体" w:hint="eastAsia"/>
          <w:color w:val="auto"/>
          <w:kern w:val="0"/>
          <w:sz w:val="28"/>
          <w:szCs w:val="28"/>
          <w:lang w:val="en-US" w:eastAsia="zh-CN"/>
        </w:rPr>
      </w:pPr>
      <w:r>
        <w:rPr>
          <w:rFonts w:hint="eastAsia"/>
          <w:b/>
          <w:bCs/>
          <w:color w:val="auto"/>
          <w:sz w:val="28"/>
          <w:szCs w:val="28"/>
          <w:lang w:val="en-US" w:eastAsia="zh-CN"/>
        </w:rPr>
        <w:t>8.2.2</w:t>
      </w:r>
      <w:r>
        <w:rPr>
          <w:rFonts w:hint="eastAsia"/>
          <w:color w:val="auto"/>
        </w:rPr>
        <w:t xml:space="preserve"> </w:t>
      </w:r>
      <w:r>
        <w:rPr>
          <w:rFonts w:hint="eastAsia"/>
          <w:b/>
          <w:bCs/>
          <w:color w:val="auto"/>
          <w:sz w:val="28"/>
          <w:szCs w:val="28"/>
          <w:lang w:eastAsia="zh-CN"/>
        </w:rPr>
        <w:t>项目营运阶段环境保护措施</w:t>
      </w:r>
      <w:r>
        <w:rPr>
          <w:rFonts w:ascii="宋体" w:eastAsia="宋体" w:cs="宋体" w:hAnsi="宋体" w:hint="eastAsia"/>
          <w:color w:val="auto"/>
          <w:kern w:val="0"/>
          <w:sz w:val="28"/>
          <w:szCs w:val="28"/>
          <w:lang w:val="en-US"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（1）水污染防治措施</w:t>
      </w:r>
    </w:p>
    <w:p>
      <w:pPr>
        <w:widowControl/>
        <w:spacing w:before="4" w:line="360" w:lineRule="auto"/>
        <w:ind w:left="118" w:right="351" w:firstLineChars="200" w:firstLine="560"/>
        <w:jc w:val="left"/>
        <w:rPr>
          <w:rFonts w:hint="eastAsia"/>
          <w:color w:val="auto"/>
          <w:lang w:val="en-US" w:eastAsia="zh-CN"/>
        </w:rPr>
      </w:pPr>
      <w:r>
        <w:rPr>
          <w:rFonts w:ascii="宋体" w:eastAsia="宋体" w:cs="宋体" w:hAnsi="宋体" w:hint="eastAsia"/>
          <w:color w:val="auto"/>
          <w:kern w:val="0"/>
          <w:sz w:val="28"/>
          <w:szCs w:val="28"/>
          <w:lang w:val="en-US" w:eastAsia="zh-CN"/>
        </w:rPr>
        <w:t>营运期废水主要为升压站内运行人员产生的生活污水、主变压器发生故障时排出的变压器油。</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①生活污水</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本工程采用目前技术成熟、经济实用的一体化污水处理装置对升压站运行人员生活污水进行处理，拟在综合楼西侧空地建设一套地埋式一体化生活污水处理设施，处理能力为0.5m³/h（即12m³/d），能满足本工程污水处理的要求。运行人员生活污水经化粪池初步处理后进入调节池调节，再经站内一体化污水处理装置处理达到《污水综合排放标准》（GB8978-1996）一级标准且满足《农田灌溉水质标准》（GB5084-2021）中的相应标准后，用于站区周边林草地灌溉。</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②事故排油</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根据工程分析，主变压器一次事故排油量约为15t，变压器油常温下密度约0.87t/m³，发生事故时排油体积约17.2m³/次。本工程在主变压器底部设有贮油坑，贮油坑的四周设挡油坎，坑底设有排油管，能将主变事故排油排至事故油池中，并在主变压器北侧设置有一座专用事故油池，有效容积为20m³，可满足主变事故排油需要。当主变发生事故时，事故排油经排油管道进入事故油池，经过油水分离，去除水分和杂质，大部分油回收利用，剩余少量废油渣交由有危险废弃物处置资质的单位进行回收处置。</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（2）废气污染防治措施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营运期废气主要为风电场内进出的运输、维护车辆的尾气排放，应严禁车辆超载运输，避免超过车载负荷而使尾气排放量上升。</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加强对车辆的维修保养，对于排放量严重超标的车辆应禁止使用。只要通过加强工程车辆的维护，车辆排放尾气对周边环境的影响很小。</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（3）固体废物</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①一般固体废物</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A．运行维护人员生活垃圾由站内垃圾桶集中收集，然后由站内值班人员定期清运，运至风电场附近的镇垃圾转运站进行处置。</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B．废旧玻璃钢材料和包装物外卖给废品收购公司综合利用，废轴承由厂家回收处置。</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C．废弃含油抹布定期混入生活垃圾，统一清运至镇垃圾转运站进行处置。</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②危险废物</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A．废旧机油（含废润滑油、废液压油）、废旧蓄电池、废变压器油交由有危险废物处置资质的单位进行处置。</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B．危险废物需按《危险废物收集贮存运输技术规范》（HJ2025-2012）进行管理，还应满足《危险废物贮存污染控制标准》（GB18597-2001）及其修改单的相关规定。</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（4）防噪措施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①在设备订货时合理选择变压器、电气设备、导线；选择表面光滑、耐氧化的导线和母线，在设备安装时要保证各类接口接触良好，减少火花及电晕放电噪声。</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②加强日常维护，保证风机等大噪声部件运行良好。由于本风电场内无大型集中居民点分布，风机与周边居民点的水平距离在800m 以上，风机运行噪声对当地居民基本无影响。</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w:t>
      </w:r>
      <w:r>
        <w:rPr>
          <w:rFonts w:ascii="宋体" w:eastAsia="宋体" w:cs="宋体" w:hAnsi="宋体" w:hint="eastAsia"/>
          <w:color w:val="auto"/>
          <w:kern w:val="0"/>
          <w:sz w:val="28"/>
          <w:szCs w:val="28"/>
          <w:lang w:val="en-US" w:eastAsia="zh-CN"/>
        </w:rPr>
        <w:t>5</w:t>
      </w:r>
      <w:r>
        <w:rPr>
          <w:rFonts w:ascii="宋体" w:eastAsia="宋体" w:cs="宋体" w:hAnsi="宋体"/>
          <w:color w:val="auto"/>
          <w:kern w:val="0"/>
          <w:sz w:val="28"/>
          <w:szCs w:val="28"/>
          <w:lang w:val="en-US" w:eastAsia="zh-CN"/>
        </w:rPr>
        <w:t>）电磁场影响防治措施</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①对产生电磁场主要来源的变压器、断路器、电流电压互感器等电气设备进行屏蔽；将机箱的孔、口、门缝的连接缝密封。</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②站区四周设置围墙，墙外布置隔离带，种植树冠较大、枝叶茂密，长势不高的常绿树</w:t>
      </w:r>
      <w:r>
        <w:rPr>
          <w:rFonts w:ascii="宋体" w:eastAsia="宋体" w:cs="宋体" w:hAnsi="宋体" w:hint="eastAsia"/>
          <w:color w:val="auto"/>
          <w:kern w:val="0"/>
          <w:sz w:val="28"/>
          <w:szCs w:val="28"/>
          <w:lang w:val="en-US" w:eastAsia="zh-CN"/>
        </w:rPr>
        <w:t>。</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建设符合国家当前的产业政策，符合我国可持续发展战略，可促进地方经济的发展，是地区电网能源消耗的有益补充，具有良好的社会效益、经济效益和环境效益。</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color w:val="auto"/>
          <w:kern w:val="0"/>
          <w:sz w:val="28"/>
          <w:szCs w:val="28"/>
          <w:lang w:val="en-US" w:eastAsia="zh-CN"/>
        </w:rPr>
        <w:t>本</w:t>
      </w:r>
      <w:r>
        <w:rPr>
          <w:rFonts w:ascii="宋体" w:eastAsia="宋体" w:cs="宋体" w:hAnsi="宋体" w:hint="eastAsia"/>
          <w:color w:val="auto"/>
          <w:kern w:val="0"/>
          <w:sz w:val="28"/>
          <w:szCs w:val="28"/>
          <w:lang w:val="en-US" w:eastAsia="zh-CN"/>
        </w:rPr>
        <w:t>地块</w:t>
      </w:r>
      <w:r>
        <w:rPr>
          <w:rFonts w:ascii="宋体" w:eastAsia="宋体" w:cs="宋体" w:hAnsi="宋体"/>
          <w:color w:val="auto"/>
          <w:kern w:val="0"/>
          <w:sz w:val="28"/>
          <w:szCs w:val="28"/>
          <w:lang w:val="en-US" w:eastAsia="zh-CN"/>
        </w:rPr>
        <w:t>建设过程中不可避免地会对周围环境产生一定的不利影响，主要表现为工程占地对生态环境的影响，运行期主要环境影响来源于</w:t>
      </w:r>
      <w:r>
        <w:rPr>
          <w:rFonts w:ascii="宋体" w:eastAsia="宋体" w:cs="宋体" w:hAnsi="宋体" w:hint="eastAsia"/>
          <w:color w:val="auto"/>
          <w:kern w:val="0"/>
          <w:sz w:val="28"/>
          <w:szCs w:val="28"/>
          <w:lang w:val="en-US" w:eastAsia="zh-CN"/>
        </w:rPr>
        <w:t>升压站</w:t>
      </w:r>
      <w:r>
        <w:rPr>
          <w:rFonts w:ascii="宋体" w:eastAsia="宋体" w:cs="宋体" w:hAnsi="宋体"/>
          <w:color w:val="auto"/>
          <w:kern w:val="0"/>
          <w:sz w:val="28"/>
          <w:szCs w:val="28"/>
          <w:lang w:val="en-US" w:eastAsia="zh-CN"/>
        </w:rPr>
        <w:t>及风机的电磁场和噪声影响。工程在建设和运行过程中切实做好“三同时”工作，认真落实评价中提出的生态环境保护和恢复措施、污染防治措施、环境风险防范措施和环境管理措施后，本工程建设和营运对沿线生态环境、水环境、空气环境、声环境及电磁环境的不利影响可得到有效的控制和减缓，为环境所接受</w:t>
      </w:r>
      <w:r>
        <w:rPr>
          <w:rFonts w:ascii="宋体" w:eastAsia="宋体" w:cs="宋体" w:hAnsi="宋体" w:hint="eastAsia"/>
          <w:color w:val="auto"/>
          <w:kern w:val="0"/>
          <w:sz w:val="28"/>
          <w:szCs w:val="28"/>
          <w:lang w:val="en-US" w:eastAsia="zh-CN"/>
        </w:rPr>
        <w:t>。因此，从环境保护的角度而言，研究地块的建设</w:t>
      </w:r>
      <w:r>
        <w:rPr>
          <w:rFonts w:hint="eastAsia"/>
          <w:color w:val="auto"/>
          <w:sz w:val="28"/>
          <w:szCs w:val="28"/>
          <w:lang w:val="en-US"/>
        </w:rPr>
        <w:t>对周边</w:t>
      </w:r>
      <w:r>
        <w:rPr>
          <w:rFonts w:hint="eastAsia"/>
          <w:color w:val="auto"/>
          <w:sz w:val="28"/>
          <w:szCs w:val="28"/>
          <w:lang w:val="en-US" w:eastAsia="zh-CN"/>
        </w:rPr>
        <w:t>区域</w:t>
      </w:r>
      <w:r>
        <w:rPr>
          <w:rFonts w:hint="eastAsia"/>
          <w:color w:val="auto"/>
          <w:sz w:val="28"/>
          <w:szCs w:val="28"/>
          <w:lang w:val="en-US"/>
        </w:rPr>
        <w:t>基本没有影响</w:t>
      </w:r>
      <w:r>
        <w:rPr>
          <w:rFonts w:hint="eastAsia"/>
          <w:color w:val="auto"/>
          <w:sz w:val="28"/>
          <w:szCs w:val="28"/>
          <w:lang w:val="en-US" w:eastAsia="zh-CN"/>
        </w:rPr>
        <w:t>，</w:t>
      </w:r>
      <w:r>
        <w:rPr>
          <w:rFonts w:ascii="宋体" w:eastAsia="宋体" w:cs="宋体" w:hAnsi="宋体" w:hint="eastAsia"/>
          <w:color w:val="auto"/>
          <w:kern w:val="0"/>
          <w:sz w:val="28"/>
          <w:szCs w:val="28"/>
          <w:lang w:val="en-US" w:eastAsia="zh-CN"/>
        </w:rPr>
        <w:t>是可行的。</w:t>
      </w:r>
    </w:p>
    <w:p>
      <w:pPr>
        <w:pStyle w:val="17"/>
        <w:rPr>
          <w:color w:val="auto"/>
          <w:lang w:val="en-US"/>
        </w:rPr>
      </w:pPr>
    </w:p>
    <w:p>
      <w:pPr>
        <w:pStyle w:val="1"/>
        <w:numPr>
          <w:ilvl w:val="0"/>
          <w:numId w:val="0"/>
        </w:numPr>
        <w:spacing w:before="260" w:line="360" w:lineRule="auto"/>
        <w:ind w:left="420"/>
        <w:jc w:val="center"/>
        <w:rPr>
          <w:rFonts w:ascii="宋体" w:eastAsia="宋体" w:cs="宋体" w:hAnsi="宋体" w:hint="eastAsia"/>
          <w:bCs/>
          <w:color w:val="auto"/>
          <w:sz w:val="32"/>
          <w:szCs w:val="32"/>
          <w:lang w:eastAsia="zh-CN"/>
        </w:rPr>
      </w:pPr>
      <w:bookmarkStart w:id="65" w:name="_Toc19556"/>
      <w:bookmarkStart w:id="66" w:name="_Toc19250"/>
      <w:bookmarkStart w:id="67" w:name="_Toc11234"/>
      <w:bookmarkStart w:id="68" w:name="_Toc21433"/>
      <w:bookmarkStart w:id="69" w:name="_Toc19093"/>
      <w:r>
        <w:rPr>
          <w:rFonts w:ascii="宋体" w:eastAsia="宋体" w:cs="宋体" w:hAnsi="宋体" w:hint="eastAsia"/>
          <w:bCs/>
          <w:color w:val="auto"/>
          <w:sz w:val="32"/>
          <w:szCs w:val="32"/>
          <w:lang w:eastAsia="zh-CN"/>
        </w:rPr>
        <w:t>第九章</w:t>
      </w:r>
      <w:r>
        <w:rPr>
          <w:rFonts w:ascii="宋体" w:eastAsia="宋体" w:cs="宋体" w:hAnsi="宋体" w:hint="eastAsia"/>
          <w:bCs/>
          <w:color w:val="auto"/>
          <w:sz w:val="32"/>
          <w:szCs w:val="32"/>
          <w:lang w:val="en-US" w:eastAsia="zh-CN"/>
        </w:rPr>
        <w:t xml:space="preserve"> </w:t>
      </w:r>
      <w:bookmarkEnd w:id="65"/>
      <w:bookmarkEnd w:id="66"/>
      <w:bookmarkEnd w:id="67"/>
      <w:bookmarkEnd w:id="68"/>
      <w:r>
        <w:rPr>
          <w:rFonts w:ascii="宋体" w:eastAsia="宋体" w:cs="宋体" w:hAnsi="宋体" w:hint="eastAsia"/>
          <w:bCs/>
          <w:color w:val="auto"/>
          <w:sz w:val="32"/>
          <w:szCs w:val="32"/>
          <w:lang w:eastAsia="zh-CN"/>
        </w:rPr>
        <w:t>附则</w:t>
      </w:r>
      <w:bookmarkEnd w:id="69"/>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70" w:name="_Toc5762"/>
      <w:bookmarkStart w:id="71" w:name="_Toc17013"/>
      <w:bookmarkStart w:id="72" w:name="_Toc16796"/>
      <w:bookmarkStart w:id="73" w:name="_Toc815"/>
      <w:bookmarkStart w:id="74" w:name="_Toc20176"/>
      <w:r>
        <w:rPr>
          <w:rFonts w:ascii="宋体" w:eastAsia="宋体" w:cs="宋体" w:hAnsi="宋体" w:hint="eastAsia"/>
          <w:bCs/>
          <w:color w:val="auto"/>
          <w:sz w:val="32"/>
          <w:szCs w:val="32"/>
          <w:lang w:val="en-US" w:eastAsia="zh-CN"/>
        </w:rPr>
        <w:t>9.1</w:t>
      </w:r>
      <w:bookmarkEnd w:id="70"/>
      <w:bookmarkEnd w:id="71"/>
      <w:bookmarkEnd w:id="72"/>
      <w:bookmarkEnd w:id="73"/>
      <w:r>
        <w:rPr>
          <w:rFonts w:ascii="宋体" w:eastAsia="宋体" w:cs="宋体" w:hAnsi="宋体" w:hint="eastAsia"/>
          <w:bCs/>
          <w:color w:val="auto"/>
          <w:sz w:val="32"/>
          <w:szCs w:val="32"/>
          <w:lang w:val="en-US" w:eastAsia="zh-CN"/>
        </w:rPr>
        <w:t>规划成果构成</w:t>
      </w:r>
      <w:bookmarkEnd w:id="74"/>
    </w:p>
    <w:p>
      <w:pPr>
        <w:pStyle w:val="17"/>
        <w:autoSpaceDE w:val="0"/>
        <w:autoSpaceDN w:val="0"/>
        <w:spacing w:before="4" w:line="420" w:lineRule="auto"/>
        <w:ind w:left="118" w:right="351" w:firstLine="479"/>
        <w:rPr>
          <w:rFonts w:hint="eastAsia"/>
          <w:color w:val="auto"/>
          <w:sz w:val="28"/>
          <w:szCs w:val="28"/>
          <w:lang w:val="en-US" w:eastAsia="zh-CN"/>
        </w:rPr>
      </w:pPr>
      <w:r>
        <w:rPr>
          <w:rFonts w:cs="宋体" w:hint="eastAsia"/>
          <w:color w:val="auto"/>
          <w:kern w:val="0"/>
          <w:sz w:val="28"/>
          <w:szCs w:val="28"/>
          <w:lang w:eastAsia="zh-CN"/>
        </w:rPr>
        <w:t>钦北区百浪岭风电场一期</w:t>
      </w:r>
      <w:r>
        <w:rPr>
          <w:rFonts w:ascii="宋体" w:eastAsia="宋体" w:cs="宋体" w:hAnsi="宋体" w:hint="eastAsia"/>
          <w:color w:val="auto"/>
          <w:kern w:val="0"/>
          <w:sz w:val="28"/>
          <w:szCs w:val="28"/>
        </w:rPr>
        <w:t>项目</w:t>
      </w:r>
      <w:r>
        <w:rPr>
          <w:rFonts w:hint="eastAsia"/>
          <w:color w:val="auto"/>
          <w:sz w:val="28"/>
          <w:szCs w:val="28"/>
          <w:lang w:val="en-US" w:eastAsia="zh-CN"/>
        </w:rPr>
        <w:t>独立地块控制性详细规划成果由规划图纸、图则、附件和数据库构成。附件包括规划说明、专家论证意见、部门意见及修改落实情况说明等。图纸、图则应与规划说明结合使用。</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75" w:name="_Toc1273"/>
      <w:bookmarkStart w:id="76" w:name="_Toc539"/>
      <w:bookmarkStart w:id="77" w:name="_Toc2377"/>
      <w:bookmarkStart w:id="78" w:name="_Toc13421"/>
      <w:bookmarkStart w:id="79" w:name="_Toc23563"/>
      <w:r>
        <w:rPr>
          <w:rFonts w:ascii="宋体" w:eastAsia="宋体" w:cs="宋体" w:hAnsi="宋体" w:hint="eastAsia"/>
          <w:bCs/>
          <w:color w:val="auto"/>
          <w:sz w:val="32"/>
          <w:szCs w:val="32"/>
          <w:lang w:val="en-US" w:eastAsia="zh-CN"/>
        </w:rPr>
        <w:t>9.2规划控制指标</w:t>
      </w:r>
      <w:bookmarkEnd w:id="75"/>
      <w:bookmarkEnd w:id="76"/>
      <w:bookmarkEnd w:id="77"/>
      <w:bookmarkEnd w:id="78"/>
      <w:bookmarkEnd w:id="79"/>
    </w:p>
    <w:p>
      <w:pPr>
        <w:pStyle w:val="17"/>
        <w:autoSpaceDE w:val="0"/>
        <w:autoSpaceDN w:val="0"/>
        <w:spacing w:before="4" w:line="420" w:lineRule="auto"/>
        <w:ind w:left="118" w:right="351" w:firstLine="479"/>
        <w:rPr>
          <w:rFonts w:hint="eastAsia"/>
          <w:color w:val="auto"/>
          <w:sz w:val="28"/>
          <w:szCs w:val="28"/>
          <w:lang w:val="en-US" w:eastAsia="zh-CN"/>
        </w:rPr>
      </w:pPr>
      <w:r>
        <w:rPr>
          <w:rFonts w:hint="eastAsia"/>
          <w:color w:val="auto"/>
          <w:sz w:val="28"/>
          <w:szCs w:val="28"/>
          <w:lang w:val="en-US" w:eastAsia="zh-CN"/>
        </w:rPr>
        <w:t>规划控制指标分别为约束性指标和指导性指标。用地性质、用地面积、容积率、建筑密度/建筑系数、绿地率、建筑限高原则上为约束性指标，约束性指标应该严格遵守，指导性指标可根据规划管理的需求进行适当的调整，并由规划管理部门根据实际情况对控制内容进行适时更新。</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80" w:name="_Toc31820"/>
      <w:r>
        <w:rPr>
          <w:rFonts w:ascii="宋体" w:eastAsia="宋体" w:cs="宋体" w:hAnsi="宋体" w:hint="eastAsia"/>
          <w:bCs/>
          <w:color w:val="auto"/>
          <w:sz w:val="32"/>
          <w:szCs w:val="32"/>
          <w:lang w:val="en-US" w:eastAsia="zh-CN"/>
        </w:rPr>
        <w:t>9.3规划实施保障措施</w:t>
      </w:r>
      <w:bookmarkEnd w:id="80"/>
    </w:p>
    <w:p>
      <w:pPr>
        <w:pStyle w:val="17"/>
        <w:autoSpaceDE w:val="0"/>
        <w:autoSpaceDN w:val="0"/>
        <w:spacing w:before="4" w:line="420" w:lineRule="auto"/>
        <w:ind w:right="351" w:firstLineChars="200" w:firstLine="560"/>
        <w:rPr>
          <w:rFonts w:hint="eastAsia"/>
          <w:color w:val="auto"/>
          <w:sz w:val="28"/>
          <w:szCs w:val="28"/>
          <w:lang w:val="en-US" w:eastAsia="zh-CN"/>
        </w:rPr>
      </w:pPr>
      <w:r>
        <w:rPr>
          <w:rFonts w:hint="eastAsia"/>
          <w:color w:val="auto"/>
          <w:sz w:val="28"/>
          <w:szCs w:val="28"/>
          <w:lang w:val="en-US" w:eastAsia="zh-CN"/>
        </w:rPr>
        <w:t>（1）严格贯彻《中华人民共和国城乡规划法》，依法进行规划、建设和管理，保证本规划的落实。</w:t>
      </w:r>
    </w:p>
    <w:p>
      <w:pPr>
        <w:pStyle w:val="17"/>
        <w:autoSpaceDE w:val="0"/>
        <w:autoSpaceDN w:val="0"/>
        <w:spacing w:before="4" w:line="420" w:lineRule="auto"/>
        <w:ind w:left="118" w:right="351" w:firstLine="479"/>
        <w:rPr>
          <w:rFonts w:hint="eastAsia"/>
          <w:color w:val="auto"/>
          <w:sz w:val="28"/>
          <w:szCs w:val="28"/>
          <w:lang w:val="en-US" w:eastAsia="zh-CN"/>
        </w:rPr>
      </w:pPr>
      <w:r>
        <w:rPr>
          <w:rFonts w:hint="eastAsia"/>
          <w:color w:val="auto"/>
          <w:sz w:val="28"/>
          <w:szCs w:val="28"/>
          <w:lang w:val="en-US" w:eastAsia="zh-CN"/>
        </w:rPr>
        <w:t>（2）大力宣传规划，提高公众对规划的参与意识和监督意识，增强民众支持规划、服从规划的自觉性。</w:t>
      </w:r>
    </w:p>
    <w:p>
      <w:pPr>
        <w:pStyle w:val="17"/>
        <w:autoSpaceDE w:val="0"/>
        <w:autoSpaceDN w:val="0"/>
        <w:spacing w:before="4" w:line="420" w:lineRule="auto"/>
        <w:ind w:left="118" w:right="351" w:firstLine="479"/>
        <w:rPr>
          <w:rFonts w:hint="eastAsia"/>
          <w:color w:val="auto"/>
          <w:sz w:val="28"/>
          <w:szCs w:val="28"/>
          <w:lang w:val="en-US" w:eastAsia="zh-CN"/>
        </w:rPr>
      </w:pPr>
      <w:r>
        <w:rPr>
          <w:rFonts w:hint="eastAsia"/>
          <w:color w:val="auto"/>
          <w:sz w:val="28"/>
          <w:szCs w:val="28"/>
          <w:lang w:val="en-US" w:eastAsia="zh-CN"/>
        </w:rPr>
        <w:t>（3）加强规划管理队伍的建设，加强对规划管理队伍的领导，充分发挥规划管理部门的职能作用。明确各级政府部门实施规划的权利和义务，建立违法、违规、违章的责任追究机制，提高规划的权威性和严肃性。</w:t>
      </w:r>
    </w:p>
    <w:p>
      <w:pPr>
        <w:pStyle w:val="17"/>
        <w:autoSpaceDE w:val="0"/>
        <w:autoSpaceDN w:val="0"/>
        <w:spacing w:before="4" w:line="420" w:lineRule="auto"/>
        <w:ind w:left="118" w:right="351" w:firstLine="479"/>
        <w:rPr>
          <w:rFonts w:ascii="宋体" w:eastAsia="宋体" w:cs="宋体" w:hAnsi="宋体"/>
          <w:color w:val="auto"/>
          <w:kern w:val="0"/>
          <w:sz w:val="24"/>
        </w:rPr>
      </w:pPr>
      <w:r>
        <w:rPr>
          <w:rFonts w:hint="eastAsia"/>
          <w:color w:val="auto"/>
          <w:sz w:val="28"/>
          <w:szCs w:val="28"/>
          <w:lang w:val="en-US" w:eastAsia="zh-CN"/>
        </w:rPr>
        <w:t>（4）本规划经钦北区人民政府批准后，自公布之日起施行，规划成果不得擅自随意更改。在规划实施过程中，如有确实需要修改的内容，应按《中华人民共和国城乡规划法》第四章之规定执行。</w:t>
      </w:r>
    </w:p>
    <w:p>
      <w:pPr>
        <w:widowControl/>
        <w:jc w:val="left"/>
        <w:rPr>
          <w:rFonts w:ascii="宋体" w:eastAsia="宋体" w:cs="宋体" w:hAnsi="宋体"/>
          <w:color w:val="auto"/>
          <w:kern w:val="0"/>
          <w:sz w:val="28"/>
          <w:szCs w:val="28"/>
        </w:rPr>
      </w:pPr>
      <w:bookmarkEnd w:id="9"/>
      <w:bookmarkEnd w:id="10"/>
      <w:bookmarkEnd w:id="11"/>
      <w:bookmarkEnd w:id="12"/>
      <w:bookmarkEnd w:id="13"/>
      <w:bookmarkEnd w:id="14"/>
    </w:p>
    <w:p>
      <w:pPr>
        <w:rPr>
          <w:rFonts w:ascii="宋体" w:eastAsia="宋体" w:cs="宋体" w:hAnsi="宋体"/>
          <w:color w:val="auto"/>
          <w:kern w:val="0"/>
          <w:sz w:val="24"/>
        </w:rPr>
      </w:pPr>
    </w:p>
    <w:p>
      <w:pPr>
        <w:pStyle w:val="27"/>
        <w:rPr>
          <w:rFonts w:ascii="宋体" w:eastAsia="宋体" w:cs="宋体" w:hAnsi="宋体"/>
          <w:color w:val="auto"/>
          <w:kern w:val="0"/>
          <w:sz w:val="24"/>
        </w:rPr>
      </w:pPr>
    </w:p>
    <w:p>
      <w:pPr>
        <w:rPr>
          <w:rFonts w:ascii="宋体" w:eastAsia="宋体" w:cs="宋体" w:hAnsi="宋体"/>
          <w:color w:val="auto"/>
          <w:kern w:val="0"/>
          <w:sz w:val="24"/>
        </w:rPr>
      </w:pPr>
    </w:p>
    <w:p>
      <w:pPr>
        <w:pStyle w:val="27"/>
        <w:rPr>
          <w:rFonts w:ascii="宋体" w:eastAsia="宋体" w:cs="宋体" w:hAnsi="宋体"/>
          <w:color w:val="auto"/>
          <w:kern w:val="0"/>
          <w:sz w:val="24"/>
        </w:rPr>
      </w:pPr>
    </w:p>
    <w:p>
      <w:pPr>
        <w:rPr>
          <w:rFonts w:ascii="宋体" w:eastAsia="宋体" w:cs="宋体" w:hAnsi="宋体"/>
          <w:color w:val="auto"/>
          <w:kern w:val="0"/>
          <w:sz w:val="24"/>
        </w:rPr>
      </w:pPr>
    </w:p>
    <w:p>
      <w:pPr>
        <w:pStyle w:val="27"/>
        <w:rPr>
          <w:rFonts w:ascii="宋体" w:eastAsia="宋体" w:cs="宋体" w:hAnsi="宋体"/>
          <w:color w:val="auto"/>
          <w:kern w:val="0"/>
          <w:sz w:val="24"/>
        </w:rPr>
      </w:pPr>
    </w:p>
    <w:p>
      <w:pPr>
        <w:pStyle w:val="17"/>
        <w:rPr>
          <w:rFonts w:ascii="宋体" w:eastAsia="宋体" w:cs="宋体" w:hAnsi="宋体" w:hint="eastAsia"/>
          <w:color w:val="auto"/>
          <w:kern w:val="0"/>
          <w:sz w:val="28"/>
          <w:szCs w:val="28"/>
          <w:lang w:eastAsia="zh-CN"/>
        </w:rPr>
      </w:pPr>
    </w:p>
    <w:sectPr>
      <w:footerReference w:type="default" r:id="rId5"/>
      <w:pgSz w:w="11906" w:h="16838"/>
      <w:pgMar w:top="1440" w:right="1800" w:bottom="1440" w:left="1800" w:header="851" w:footer="992" w:gutter="0"/>
      <w:pgNumType w:start="1"/>
      <w:docGrid w:type="lines" w:linePitch="312" w:charSpace="0"/>
    </w:sectPr>
  </w:body>
</w:document>
</file>

<file path=word/fontTable.xml><?xml version="1.0" encoding="utf-8"?>
<w:fonts xmlns:w="http://schemas.openxmlformats.org/wordprocessingml/2006/main" xmlns:r="http://schemas.openxmlformats.org/officeDocument/2006/relationships">
  <w:font w:name="宋体">
    <w:panose1 w:val="02010600030101010101"/>
    <w:charset w:val="80"/>
    <w:family w:val="auto"/>
    <w:pitch w:val="variable"/>
    <w:sig w:usb0="00000003" w:usb1="288F0000" w:usb2="00000006" w:usb3="00000000" w:csb0="00040001" w:csb1="00000000"/>
  </w:font>
  <w:font w:name="Times New Roman">
    <w:panose1 w:val="02020603050405020304"/>
    <w:charset w:val="86"/>
    <w:family w:val="auto"/>
    <w:pitch w:val="variable"/>
    <w:sig w:usb0="E0002AFF" w:usb1="C0007841" w:usb2="00000009" w:usb3="00000000" w:csb0="400001FF" w:csb1="FFFF0000"/>
  </w:font>
  <w:font w:name="黑体">
    <w:panose1 w:val="02010609060101010101"/>
    <w:charset w:val="86"/>
    <w:family w:val="auto"/>
    <w:pitch w:val="variable"/>
    <w:sig w:usb0="800002BF" w:usb1="38CF7CFA" w:usb2="00000016" w:usb3="00000000" w:csb0="00040001" w:csb1="00000000"/>
  </w:font>
  <w:font w:name="Calibri">
    <w:panose1 w:val="020F0502020204030204"/>
    <w:charset w:val="00"/>
    <w:family w:val="swiss"/>
    <w:pitch w:val="variable"/>
    <w:sig w:usb0="E00002FF" w:usb1="4000ACFF" w:usb2="00000001" w:usb3="00000000" w:csb0="2000019F" w:csb1="00000000"/>
  </w:font>
  <w:font w:name="Sans-serif">
    <w:altName w:val="Times New Roman"/>
    <w:panose1 w:val="00000000000000000000"/>
    <w:charset w:val="00"/>
    <w:family w:val="auto"/>
    <w:pitch w:val="variable"/>
    <w:sig w:usb0="00000000" w:usb1="00000000" w:usb2="00000000" w:usb3="00000000" w:csb0="00000000" w:csb1="00000000"/>
  </w:font>
  <w:font w:name="Arial">
    <w:panose1 w:val="020B0604020202020204"/>
    <w:charset w:val="01"/>
    <w:family w:val="swiss"/>
    <w:pitch w:val="variable"/>
    <w:sig w:usb0="E0002AFF" w:usb1="C0007843" w:usb2="00000009" w:usb3="00000000" w:csb0="400001FF" w:csb1="FFFF0000"/>
  </w:font>
  <w:font w:name="Courier New">
    <w:panose1 w:val="02070409020205090404"/>
    <w:charset w:val="00"/>
    <w:family w:val="auto"/>
    <w:pitch w:val="variable"/>
    <w:sig w:usb0="00007A87" w:usb1="80000000" w:usb2="00000008" w:usb3="00000000" w:csb0="400001FF" w:csb1="FFFF0000"/>
  </w:font>
  <w:font w:name="Cambria">
    <w:panose1 w:val="02040503050406030204"/>
    <w:charset w:val="00"/>
    <w:family w:val="roman"/>
    <w:pitch w:val="variable"/>
    <w:sig w:usb0="E00002FF" w:usb1="400004FF" w:usb2="00000000" w:usb3="00000000" w:csb0="2000019F" w:csb1="00000000"/>
  </w:font>
  <w:font w:name="仿宋_GB2312">
    <w:panose1 w:val="02010609030101010101"/>
    <w:charset w:val="86"/>
    <w:family w:val="modern"/>
    <w:pitch w:val="variable"/>
    <w:sig w:usb0="00000001" w:usb1="080E0000" w:usb2="00000000" w:usb3="00000000" w:csb0="00040000" w:csb1="00000000"/>
  </w:font>
</w:fonts>
</file>

<file path=word/footer1.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17"/>
      <w:spacing w:line="14" w:lineRule="auto"/>
      <w:rPr>
        <w:sz w:val="20"/>
      </w:rPr>
    </w:pPr>
  </w:p>
</w:ftr>
</file>

<file path=word/footer2.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17"/>
      <w:spacing w:line="14" w:lineRule="auto"/>
      <w:rPr>
        <w:sz w:val="20"/>
      </w:rPr>
    </w:pPr>
    <w:r>
      <mc:AlternateContent>
        <mc:Choice Requires="wps">
          <w:drawing>
            <wp:anchor distT="0" distB="0" distL="114298" distR="114298" simplePos="0" relativeHeight="2" behindDoc="1" locked="0" layoutInCell="1" hidden="0" allowOverlap="1">
              <wp:simplePos x="0" y="0"/>
              <wp:positionH relativeFrom="page">
                <wp:posOffset>3696334</wp:posOffset>
              </wp:positionH>
              <wp:positionV relativeFrom="page">
                <wp:posOffset>9885045</wp:posOffset>
              </wp:positionV>
              <wp:extent cx="167005" cy="139699"/>
              <wp:effectExtent l="0" t="0" r="0" b="0"/>
              <wp:wrapNone/>
              <wp:docPr id="7" name="文本框 5"/>
              <wp:cNvGraphicFramePr>
                <a:graphicFrameLocks noChangeAspect="0"/>
              </wp:cNvGraphicFramePr>
              <a:graphic>
                <a:graphicData uri="http://schemas.microsoft.com/office/word/2010/wordprocessingShape">
                  <wps:wsp>
                    <wps:cNvSpPr/>
                    <wps:spPr>
                      <a:xfrm rot="0">
                        <a:off x="0" y="0"/>
                        <a:ext cx="167005" cy="139699"/>
                      </a:xfrm>
                      <a:prstGeom prst="rect"/>
                      <a:noFill/>
                      <a:ln w="9525" cmpd="sng" cap="flat">
                        <a:noFill/>
                        <a:prstDash val="solid"/>
                        <a:round/>
                      </a:ln>
                    </wps:spPr>
                    <wps:txbx id="8">
                      <w:txbxContent>
                        <w:p>
                          <w:pPr>
                            <w:spacing w:line="203" w:lineRule="exact"/>
                            <w:ind w:left="40"/>
                            <w:jc w:val="left"/>
                            <w:rPr>
                              <w:rFonts w:ascii="Calibri" w:hAnsi="Calibri"/>
                              <w:sz w:val="18"/>
                            </w:rPr>
                          </w:pPr>
                          <w:r>
                            <w:rPr>
                              <w:rFonts w:ascii="Calibri" w:hAnsi="Calibri"/>
                              <w:sz w:val="18"/>
                            </w:rPr>
                            <w:fldChar w:fldCharType="begin"/>
                          </w:r>
                          <w:r>
                            <w:rPr>
                              <w:rFonts w:ascii="Calibri" w:hAnsi="Calibri"/>
                              <w:sz w:val="18"/>
                            </w:rPr>
                            <w:instrText xml:space="preserve"> PAGE </w:instrText>
                          </w:r>
                          <w:r>
                            <w:fldChar w:fldCharType="separate"/>
                          </w:r>
                          <w:r>
                            <w:rPr>
                              <w:rFonts w:ascii="Calibri" w:hAnsi="Calibri"/>
                              <w:sz w:val="18"/>
                            </w:rPr>
                            <w:t>24</w:t>
                          </w:r>
                          <w:r>
                            <w:fldChar w:fldCharType="end"/>
                          </w:r>
                        </w:p>
                      </w:txbxContent>
                    </wps:txbx>
                    <wps:bodyPr vert="horz" wrap="square" lIns="0" tIns="0" rIns="0" bIns="0" anchor="t" anchorCtr="0" upright="1">
                      <a:noAutofit/>
                    </wps:bodyPr>
                  </wps:wsp>
                </a:graphicData>
              </a:graphic>
            </wp:anchor>
          </w:drawing>
        </mc:Choice>
        <mc:Fallback>
          <w:pict>
            <v:shape type="#_x0000_t202" id="文本框 5 9" o:spid="_x0000_s9" filled="f" stroked="f" style="position:absolute;margin-left:291.05pt;margin-top:778.35pt;width:13.15pt;height:10.999985pt;z-index:-29;mso-position-horizontal:absolute;mso-position-horizontal-relative:page;mso-position-vertical:absolute;mso-position-vertical-relative:page;mso-wrap-distance-left:8.999863pt;mso-wrap-distance-right:8.999863pt;mso-wrap-style:square;">
              <v:stroke color="#000000"/>
              <v:textbox id="872" inset="0mm,0mm,0mm,0mm" o:insetmode="custom" style="layout-flow:horizontal;v-text-anchor:top;">
                <w:txbxContent>
                  <w:p>
                    <w:pPr>
                      <w:spacing w:line="203" w:lineRule="exact"/>
                      <w:ind w:left="40"/>
                      <w:jc w:val="left"/>
                      <w:rPr>
                        <w:rFonts w:ascii="Calibri" w:hAnsi="Calibri"/>
                        <w:sz w:val="18"/>
                      </w:rPr>
                    </w:pPr>
                    <w:r>
                      <w:rPr>
                        <w:rFonts w:ascii="Calibri" w:hAnsi="Calibri"/>
                        <w:sz w:val="18"/>
                      </w:rPr>
                      <w:fldChar w:fldCharType="begin"/>
                    </w:r>
                    <w:r>
                      <w:rPr>
                        <w:rFonts w:ascii="Calibri" w:hAnsi="Calibri"/>
                        <w:sz w:val="18"/>
                      </w:rPr>
                      <w:instrText xml:space="preserve"> PAGE </w:instrText>
                    </w:r>
                    <w:r>
                      <w:fldChar w:fldCharType="separate"/>
                    </w:r>
                    <w:r>
                      <w:rPr>
                        <w:rFonts w:ascii="Calibri" w:hAnsi="Calibri"/>
                        <w:sz w:val="18"/>
                      </w:rPr>
                      <w:t>24</w:t>
                    </w:r>
                    <w:r>
                      <w:fldChar w:fldCharType="end"/>
                    </w:r>
                  </w:p>
                </w:txbxContent>
              </v:textbox>
            </v:shape>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m="http://schemas.openxmlformats.org/officeDocument/2006/math" xmlns:v="urn:schemas-microsoft-com:vml" xmlns:mc="http://schemas.openxmlformats.org/markup-compatibility/2006" xmlns:w14="http://schemas.microsoft.com/office/word/2010/wordml">
  <w:abstractNum w:abstractNumId="0">
    <w:nsid w:val="744F699E"/>
    <w:multiLevelType w:val="singleLevel"/>
    <w:tmpl w:val="744F699E"/>
    <w:lvl w:ilvl="0">
      <w:start w:val="1"/>
      <w:numFmt w:val="chineseCounting"/>
      <w:lvlRestart w:val="0"/>
      <w:suff w:val="space"/>
      <w:lvlText w:val="第%1章"/>
      <w:lvlJc w:val="left"/>
      <w:pPr>
        <w:ind w:left="0" w:hanging="0"/>
      </w:pPr>
      <w:rPr>
        <w:rFonts w:hint="eastAsia"/>
      </w:rPr>
    </w:lvl>
  </w:abstractNum>
  <w:abstractNum w:abstractNumId="1">
    <w:nsid w:val="B6E8E2DF"/>
    <w:multiLevelType w:val="singleLevel"/>
    <w:tmpl w:val="B6E8E2DF"/>
    <w:lvl w:ilvl="0">
      <w:start w:val="3"/>
      <w:numFmt w:val="decimal"/>
      <w:lvlRestart w:val="0"/>
      <w:suff w:val="nothing"/>
      <w:lvlText w:val="（%1）"/>
      <w:lvlJc w:val="left"/>
      <w:pPr>
        <w:ind w:left="0" w:hanging="0"/>
      </w:pPr>
    </w:lvl>
  </w:abstractNum>
  <w:abstractNum w:abstractNumId="2">
    <w:nsid w:val="53AE7EC3"/>
    <w:multiLevelType w:val="singleLevel"/>
    <w:tmpl w:val="53AE7EC3"/>
    <w:lvl w:ilvl="0">
      <w:start w:val="1"/>
      <w:numFmt w:val="decimal"/>
      <w:lvlRestart w:val="0"/>
      <w:suff w:val="nothing"/>
      <w:lvlText w:val="（%1）"/>
      <w:lvlJc w:val="left"/>
      <w:pPr>
        <w:ind w:left="0" w:hanging="0"/>
      </w:pPr>
    </w:lvl>
  </w:abstractNum>
  <w:abstractNum w:abstractNumId="3">
    <w:nsid w:val="9B90A9E7"/>
    <w:multiLevelType w:val="singleLevel"/>
    <w:tmpl w:val="9B90A9E7"/>
    <w:lvl w:ilvl="0">
      <w:start w:val="1"/>
      <w:numFmt w:val="decimal"/>
      <w:lvlRestart w:val="0"/>
      <w:suff w:val="nothing"/>
      <w:lvlText w:val="%1）"/>
      <w:lvlJc w:val="left"/>
      <w:pPr>
        <w:ind w:left="0" w:hanging="0"/>
      </w:pPr>
    </w:lvl>
  </w:abstractNum>
  <w:abstractNum w:abstractNumId="4">
    <w:nsid w:val="82B0D5F1"/>
    <w:multiLevelType w:val="multilevel"/>
    <w:tmpl w:val="7576BC7F"/>
    <w:lvl w:ilvl="0">
      <w:start w:val="1"/>
      <w:numFmt w:val="chineseCounting"/>
      <w:lvlRestart w:val="0"/>
      <w:pStyle w:val="1"/>
      <w:suff w:val="nothing"/>
      <w:lvlText w:val="第%1章 "/>
      <w:lvlJc w:val="left"/>
      <w:pPr>
        <w:ind w:left="432" w:hanging="432"/>
      </w:pPr>
      <w:rPr>
        <w:rFonts w:hint="eastAsia"/>
      </w:rPr>
    </w:lvl>
    <w:lvl w:ilvl="1">
      <w:start w:val="1"/>
      <w:numFmt w:val="decimal"/>
      <w:pStyle w:val="2"/>
      <w:isLgl/>
      <w:lvlText w:val="%1.%2."/>
      <w:lvlJc w:val="left"/>
      <w:pPr>
        <w:ind w:left="575" w:hanging="575"/>
      </w:pPr>
      <w:rPr>
        <w:rFonts w:hint="eastAsia"/>
      </w:rPr>
    </w:lvl>
    <w:lvl w:ilvl="2">
      <w:start w:val="1"/>
      <w:numFmt w:val="decimal"/>
      <w:pStyle w:val="3"/>
      <w:isLgl/>
      <w:lvlText w:val="%1.%2.%3."/>
      <w:lvlJc w:val="left"/>
      <w:pPr>
        <w:ind w:left="720" w:hanging="720"/>
      </w:pPr>
      <w:rPr>
        <w:rFonts w:hint="eastAsia"/>
      </w:rPr>
    </w:lvl>
    <w:lvl w:ilvl="3">
      <w:start w:val="1"/>
      <w:numFmt w:val="decimal"/>
      <w:pStyle w:val="4"/>
      <w:isLgl/>
      <w:lvlText w:val="%1.%2.%3.%4."/>
      <w:lvlJc w:val="left"/>
      <w:pPr>
        <w:ind w:left="864" w:hanging="864"/>
      </w:pPr>
      <w:rPr>
        <w:rFonts w:hint="eastAsia"/>
      </w:rPr>
    </w:lvl>
    <w:lvl w:ilvl="4">
      <w:start w:val="1"/>
      <w:numFmt w:val="decimal"/>
      <w:pStyle w:val="5"/>
      <w:isLgl/>
      <w:lvlText w:val="%1.%2.%3.%4.%5."/>
      <w:lvlJc w:val="left"/>
      <w:pPr>
        <w:ind w:left="1008" w:hanging="1008"/>
      </w:pPr>
      <w:rPr>
        <w:rFonts w:hint="eastAsia"/>
      </w:rPr>
    </w:lvl>
    <w:lvl w:ilvl="5">
      <w:start w:val="1"/>
      <w:numFmt w:val="decimal"/>
      <w:pStyle w:val="6"/>
      <w:isLgl/>
      <w:lvlText w:val="%1.%2.%3.%4.%5.%6."/>
      <w:lvlJc w:val="left"/>
      <w:pPr>
        <w:ind w:left="1151" w:hanging="1151"/>
      </w:pPr>
      <w:rPr>
        <w:rFonts w:hint="eastAsia"/>
      </w:rPr>
    </w:lvl>
    <w:lvl w:ilvl="6">
      <w:start w:val="1"/>
      <w:numFmt w:val="decimal"/>
      <w:pStyle w:val="7"/>
      <w:isLgl/>
      <w:lvlText w:val="%1.%2.%3.%4.%5.%6.%7."/>
      <w:lvlJc w:val="left"/>
      <w:pPr>
        <w:ind w:left="1296" w:hanging="1296"/>
      </w:pPr>
      <w:rPr>
        <w:rFonts w:hint="eastAsia"/>
      </w:rPr>
    </w:lvl>
    <w:lvl w:ilvl="7">
      <w:start w:val="1"/>
      <w:numFmt w:val="decimal"/>
      <w:pStyle w:val="8"/>
      <w:isLgl/>
      <w:lvlText w:val="%1.%2.%3.%4.%5.%6.%7.%8."/>
      <w:lvlJc w:val="left"/>
      <w:pPr>
        <w:ind w:left="1440" w:hanging="1440"/>
      </w:pPr>
      <w:rPr>
        <w:rFonts w:hint="eastAsia"/>
      </w:rPr>
    </w:lvl>
    <w:lvl w:ilvl="8">
      <w:start w:val="1"/>
      <w:numFmt w:val="decimal"/>
      <w:pStyle w:val="9"/>
      <w:isLgl/>
      <w:lvlText w:val="%1.%2.%3.%4.%5.%6.%7.%8.%9."/>
      <w:lvlJc w:val="left"/>
      <w:pPr>
        <w:ind w:left="1583" w:hanging="1583"/>
      </w:pPr>
      <w:rPr>
        <w:rFonts w:hint="eastAsia"/>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00"/>
  <w:bordersDoNotSurroundHeader/>
  <w:bordersDoNotSurroundFooter/>
  <w:documentProtection w:edit="readOnly" w:enforcement="0"/>
  <w:defaultTabStop w:val="420"/>
  <w:drawingGridHorizontalSpacing w:val="105"/>
  <w:drawingGridVerticalSpacing w:val="156"/>
  <w:displayHorizontalDrawingGridEvery w:val="0"/>
  <w:displayVerticalDrawingGridEvery w:val="1"/>
  <w:noPunctuationKerning/>
  <w:characterSpacingControl w:val="compressPunctuation"/>
  <w:compat>
    <w:spaceForUL/>
    <w:balanceSingleByteDoubleByteWidth/>
    <w:ulTrailSpace/>
    <w:doNotExpandShiftReturn/>
    <w:adjustLineHeightInTable/>
    <w:compatSetting w:name="compatibilityMode" w:uri="http://schemas.microsoft.com/office/word" w:val="14"/>
  </w:compat>
  <w:docVars>
    <w:docVar w:name="commondata" w:val="eyJoZGlkIjoiZGIxOWNlZTBkZTU1Zjc0NjkxMjNmYmQ3NGVkZjdkOWQifQ=="/>
  </w:docVars>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Arial"/>
        <w:lang w:val="en-US" w:eastAsia="zh-CN" w:bidi="ar-SA"/>
      </w:rPr>
    </w:rPrDefault>
    <w:pPrDefault/>
  </w:docDefaults>
  <w:style w:type="paragraph" w:default="1" w:styleId="0">
    <w:name w:val="Normal"/>
    <w:autoRedefine/>
    <w:pPr>
      <w:widowControl w:val="0"/>
      <w:jc w:val="both"/>
    </w:pPr>
    <w:rPr>
      <w:rFonts w:ascii="Calibri" w:eastAsia="宋体" w:cs="Arial" w:hAnsi="Times New Roman"/>
      <w:kern w:val="2"/>
      <w:sz w:val="21"/>
      <w:szCs w:val="24"/>
      <w:lang w:val="en-US" w:eastAsia="zh-CN" w:bidi="ar-SA"/>
    </w:rPr>
  </w:style>
  <w:style w:type="paragraph" w:styleId="1">
    <w:name w:val="heading 1"/>
    <w:basedOn w:val="0"/>
    <w:next w:val="0"/>
    <w:pPr>
      <w:keepNext/>
      <w:keepLines/>
      <w:widowControl w:val="0"/>
      <w:numPr>
        <w:ilvl w:val="0"/>
        <w:numId w:val="5"/>
      </w:numPr>
      <w:spacing w:line="576" w:lineRule="auto"/>
      <w:outlineLvl w:val="0"/>
    </w:pPr>
    <w:rPr>
      <w:b/>
      <w:kern w:val="44"/>
      <w:sz w:val="44"/>
    </w:rPr>
  </w:style>
  <w:style w:type="paragraph" w:styleId="2">
    <w:name w:val="heading 2"/>
    <w:basedOn w:val="0"/>
    <w:next w:val="0"/>
    <w:pPr>
      <w:keepNext/>
      <w:keepLines/>
      <w:widowControl w:val="0"/>
      <w:numPr>
        <w:ilvl w:val="1"/>
        <w:numId w:val="5"/>
      </w:numPr>
      <w:spacing w:line="413" w:lineRule="auto"/>
      <w:outlineLvl w:val="1"/>
    </w:pPr>
    <w:rPr>
      <w:rFonts w:ascii="Arial" w:eastAsia="黑体" w:hAnsi="Arial"/>
      <w:b/>
      <w:sz w:val="32"/>
    </w:rPr>
  </w:style>
  <w:style w:type="paragraph" w:styleId="3">
    <w:name w:val="heading 3"/>
    <w:basedOn w:val="0"/>
    <w:autoRedefine/>
    <w:next w:val="0"/>
    <w:pPr>
      <w:keepNext/>
      <w:keepLines/>
      <w:widowControl w:val="0"/>
      <w:numPr>
        <w:ilvl w:val="2"/>
        <w:numId w:val="5"/>
      </w:numPr>
      <w:spacing w:line="413" w:lineRule="auto"/>
      <w:outlineLvl w:val="2"/>
    </w:pPr>
    <w:rPr>
      <w:b/>
      <w:sz w:val="32"/>
    </w:rPr>
  </w:style>
  <w:style w:type="paragraph" w:styleId="4">
    <w:name w:val="heading 4"/>
    <w:basedOn w:val="0"/>
    <w:next w:val="0"/>
    <w:pPr>
      <w:keepNext/>
      <w:keepLines/>
      <w:widowControl w:val="0"/>
      <w:numPr>
        <w:ilvl w:val="3"/>
        <w:numId w:val="5"/>
      </w:numPr>
      <w:spacing w:line="372" w:lineRule="auto"/>
      <w:outlineLvl w:val="3"/>
    </w:pPr>
    <w:rPr>
      <w:rFonts w:ascii="Arial" w:eastAsia="黑体" w:hAnsi="Arial"/>
      <w:b/>
      <w:sz w:val="28"/>
    </w:rPr>
  </w:style>
  <w:style w:type="paragraph" w:styleId="5">
    <w:name w:val="heading 5"/>
    <w:basedOn w:val="0"/>
    <w:autoRedefine/>
    <w:next w:val="0"/>
    <w:pPr>
      <w:keepNext/>
      <w:keepLines/>
      <w:widowControl w:val="0"/>
      <w:numPr>
        <w:ilvl w:val="4"/>
        <w:numId w:val="5"/>
      </w:numPr>
      <w:spacing w:line="372" w:lineRule="auto"/>
      <w:outlineLvl w:val="4"/>
    </w:pPr>
    <w:rPr>
      <w:b/>
      <w:sz w:val="28"/>
    </w:rPr>
  </w:style>
  <w:style w:type="paragraph" w:styleId="6">
    <w:name w:val="heading 6"/>
    <w:basedOn w:val="0"/>
    <w:autoRedefine/>
    <w:next w:val="0"/>
    <w:pPr>
      <w:keepNext/>
      <w:keepLines/>
      <w:widowControl w:val="0"/>
      <w:numPr>
        <w:ilvl w:val="5"/>
        <w:numId w:val="5"/>
      </w:numPr>
      <w:spacing w:line="317" w:lineRule="auto"/>
      <w:outlineLvl w:val="5"/>
    </w:pPr>
    <w:rPr>
      <w:rFonts w:ascii="Arial" w:eastAsia="黑体" w:hAnsi="Arial"/>
      <w:b/>
      <w:sz w:val="24"/>
    </w:rPr>
  </w:style>
  <w:style w:type="paragraph" w:styleId="7">
    <w:name w:val="heading 7"/>
    <w:basedOn w:val="0"/>
    <w:autoRedefine/>
    <w:next w:val="0"/>
    <w:pPr>
      <w:keepNext/>
      <w:keepLines/>
      <w:widowControl w:val="0"/>
      <w:numPr>
        <w:ilvl w:val="6"/>
        <w:numId w:val="5"/>
      </w:numPr>
      <w:spacing w:line="317" w:lineRule="auto"/>
      <w:outlineLvl w:val="6"/>
    </w:pPr>
    <w:rPr>
      <w:b/>
      <w:sz w:val="24"/>
    </w:rPr>
  </w:style>
  <w:style w:type="paragraph" w:styleId="8">
    <w:name w:val="heading 8"/>
    <w:basedOn w:val="0"/>
    <w:autoRedefine/>
    <w:next w:val="0"/>
    <w:pPr>
      <w:keepNext/>
      <w:keepLines/>
      <w:widowControl w:val="0"/>
      <w:numPr>
        <w:ilvl w:val="7"/>
        <w:numId w:val="5"/>
      </w:numPr>
      <w:spacing w:line="317" w:lineRule="auto"/>
      <w:outlineLvl w:val="7"/>
    </w:pPr>
    <w:rPr>
      <w:rFonts w:ascii="Arial" w:eastAsia="黑体" w:hAnsi="Arial"/>
      <w:sz w:val="24"/>
    </w:rPr>
  </w:style>
  <w:style w:type="paragraph" w:styleId="9">
    <w:name w:val="heading 9"/>
    <w:basedOn w:val="0"/>
    <w:autoRedefine/>
    <w:next w:val="0"/>
    <w:pPr>
      <w:keepNext/>
      <w:keepLines/>
      <w:widowControl w:val="0"/>
      <w:numPr>
        <w:ilvl w:val="8"/>
        <w:numId w:val="5"/>
      </w:numPr>
      <w:spacing w:line="317" w:lineRule="auto"/>
      <w:outlineLvl w:val="8"/>
    </w:pPr>
    <w:rPr>
      <w:rFonts w:ascii="Arial" w:eastAsia="黑体" w:hAnsi="Arial"/>
    </w:rPr>
  </w:style>
  <w:style w:type="character" w:default="1" w:styleId="10">
    <w:name w:val="Default Paragraph Font"/>
  </w:style>
  <w:style w:type="paragraph" w:styleId="15">
    <w:name w:val="Document Map"/>
    <w:basedOn w:val="0"/>
    <w:rPr>
      <w:rFonts w:ascii="宋体" w:eastAsia="宋体"/>
      <w:sz w:val="18"/>
      <w:szCs w:val="18"/>
    </w:rPr>
  </w:style>
  <w:style w:type="paragraph" w:styleId="16">
    <w:name w:val="annotation text"/>
    <w:basedOn w:val="0"/>
    <w:autoRedefine/>
    <w:pPr>
      <w:jc w:val="left"/>
    </w:pPr>
  </w:style>
  <w:style w:type="paragraph" w:styleId="17">
    <w:name w:val="Body Text"/>
    <w:basedOn w:val="0"/>
    <w:autoRedefine/>
    <w:next w:val="0"/>
    <w:rPr>
      <w:rFonts w:ascii="宋体" w:eastAsia="宋体" w:cs="宋体" w:hAnsi="宋体"/>
      <w:sz w:val="24"/>
      <w:lang w:val="zh-CN" w:bidi="zh-CN"/>
    </w:rPr>
  </w:style>
  <w:style w:type="paragraph" w:styleId="18">
    <w:name w:val="Plain Text"/>
    <w:basedOn w:val="0"/>
    <w:rPr>
      <w:rFonts w:hAnsi="Courier New"/>
      <w:szCs w:val="20"/>
    </w:rPr>
  </w:style>
  <w:style w:type="paragraph" w:styleId="19">
    <w:name w:val="Balloon Text"/>
    <w:basedOn w:val="0"/>
    <w:rPr>
      <w:sz w:val="18"/>
      <w:szCs w:val="18"/>
    </w:rPr>
  </w:style>
  <w:style w:type="paragraph" w:styleId="20">
    <w:name w:val="footer"/>
    <w:basedOn w:val="0"/>
    <w:autoRedefine/>
    <w:pPr>
      <w:tabs>
        <w:tab w:val="center" w:pos="4153"/>
        <w:tab w:val="right" w:pos="8306"/>
      </w:tabs>
      <w:snapToGrid w:val="0"/>
      <w:jc w:val="left"/>
    </w:pPr>
    <w:rPr>
      <w:sz w:val="18"/>
    </w:rPr>
  </w:style>
  <w:style w:type="paragraph" w:styleId="21">
    <w:name w:val="header"/>
    <w:basedOn w:val="0"/>
    <w:autoRedefine/>
    <w:pPr>
      <w:pBdr>
        <w:top w:val="none" w:sz="0" w:space="0" w:color="auto"/>
        <w:left w:val="none" w:sz="0" w:space="0" w:color="auto"/>
        <w:bottom w:val="none" w:sz="0" w:space="0" w:color="auto"/>
        <w:right w:val="none" w:sz="0" w:space="0" w:color="auto"/>
      </w:pBdr>
      <w:tabs>
        <w:tab w:val="center" w:pos="4153"/>
        <w:tab w:val="right" w:pos="8306"/>
      </w:tabs>
      <w:snapToGrid w:val="0"/>
    </w:pPr>
    <w:rPr>
      <w:sz w:val="18"/>
    </w:rPr>
  </w:style>
  <w:style w:type="paragraph" w:styleId="22">
    <w:name w:val="toc 1"/>
    <w:basedOn w:val="0"/>
    <w:autoRedefine/>
    <w:next w:val="0"/>
    <w:rPr>
      <w:rFonts w:ascii="Calibri" w:hAnsi="Calibri"/>
      <w:sz w:val="28"/>
    </w:rPr>
  </w:style>
  <w:style w:type="paragraph" w:styleId="23">
    <w:name w:val="toc 2"/>
    <w:basedOn w:val="0"/>
    <w:autoRedefine/>
    <w:next w:val="0"/>
    <w:pPr>
      <w:ind w:leftChars="200" w:left="200"/>
    </w:pPr>
  </w:style>
  <w:style w:type="paragraph" w:styleId="24">
    <w:name w:val="Normal (Web)"/>
    <w:basedOn w:val="0"/>
    <w:autoRedefine/>
    <w:pPr>
      <w:spacing w:beforeAutospacing="1" w:afterAutospacing="1"/>
      <w:jc w:val="left"/>
    </w:pPr>
    <w:rPr>
      <w:rFonts w:cs="Times New Roman"/>
      <w:kern w:val="0"/>
      <w:sz w:val="24"/>
    </w:rPr>
  </w:style>
  <w:style w:type="paragraph" w:styleId="25">
    <w:name w:val="Title"/>
    <w:basedOn w:val="0"/>
    <w:next w:val="0"/>
    <w:pPr>
      <w:spacing w:before="240" w:after="60"/>
      <w:jc w:val="center"/>
      <w:outlineLvl w:val="0"/>
    </w:pPr>
    <w:rPr>
      <w:rFonts w:ascii="Cambria" w:hAnsi="Cambria"/>
      <w:b/>
      <w:bCs/>
      <w:sz w:val="32"/>
      <w:szCs w:val="32"/>
    </w:rPr>
  </w:style>
  <w:style w:type="character" w:styleId="26">
    <w:name w:val="Strong"/>
    <w:basedOn w:val="10"/>
    <w:autoRedefine/>
    <w:rPr>
      <w:b/>
    </w:rPr>
  </w:style>
  <w:style w:type="paragraph" w:customStyle="1" w:styleId="27">
    <w:name w:val="Default"/>
    <w:next w:val="0"/>
    <w:pPr>
      <w:widowControl w:val="0"/>
      <w:autoSpaceDE w:val="0"/>
      <w:autoSpaceDN w:val="0"/>
      <w:adjustRightInd w:val="0"/>
    </w:pPr>
    <w:rPr>
      <w:rFonts w:ascii="宋体" w:eastAsia="宋体" w:cs="宋体" w:hAnsi="Times New Roman"/>
      <w:color w:val="000000"/>
      <w:sz w:val="24"/>
      <w:szCs w:val="24"/>
      <w:lang w:val="en-US" w:eastAsia="zh-CN" w:bidi="ar-SA"/>
    </w:rPr>
  </w:style>
  <w:style w:type="paragraph" w:customStyle="1" w:styleId="28">
    <w:name w:val="Table Paragraph"/>
    <w:basedOn w:val="0"/>
    <w:autoRedefine/>
    <w:rPr>
      <w:lang w:val="zh-CN" w:bidi="zh-CN"/>
    </w:rPr>
  </w:style>
  <w:style w:type="paragraph" w:styleId="29">
    <w:name w:val="List Paragraph"/>
    <w:basedOn w:val="0"/>
    <w:autoRedefine/>
    <w:pPr>
      <w:ind w:firstLineChars="200" w:firstLine="200"/>
    </w:pPr>
  </w:style>
  <w:style w:type="character" w:customStyle="1" w:styleId="30">
    <w:name w:val="font11"/>
    <w:basedOn w:val="10"/>
    <w:rPr>
      <w:rFonts w:ascii="宋体" w:eastAsia="宋体" w:cs="宋体" w:hAnsi="宋体"/>
      <w:color w:val="000000"/>
      <w:sz w:val="22"/>
      <w:szCs w:val="22"/>
      <w:u w:val="none"/>
      <w:vertAlign w:val="superscript"/>
    </w:rPr>
  </w:style>
  <w:style w:type="paragraph" w:customStyle="1" w:styleId="31">
    <w:name w:val="6其他格式"/>
    <w:basedOn w:val="0"/>
    <w:pPr>
      <w:adjustRightInd w:val="0"/>
      <w:snapToGrid w:val="0"/>
      <w:spacing w:after="156" w:line="360" w:lineRule="auto"/>
      <w:ind w:firstLineChars="200" w:firstLine="200"/>
    </w:pPr>
    <w:rPr>
      <w:rFonts w:ascii="Calibri" w:eastAsia="仿宋_GB2312" w:hAnsi="Calibri"/>
      <w:sz w:val="24"/>
      <w:szCs w:val="22"/>
    </w:rPr>
  </w:style>
  <w:style w:type="paragraph" w:customStyle="1" w:styleId="32">
    <w:name w:val="6正文文本"/>
    <w:basedOn w:val="17"/>
    <w:pPr>
      <w:adjustRightInd w:val="0"/>
      <w:snapToGrid w:val="0"/>
      <w:spacing w:line="360" w:lineRule="auto"/>
      <w:ind w:firstLineChars="200" w:firstLine="200"/>
      <w:jc w:val="both"/>
    </w:pPr>
    <w:rPr>
      <w:rFonts w:ascii="Times New Roman" w:eastAsia="宋体" w:hAnsi="Times New Roman"/>
      <w:sz w:val="21"/>
      <w:szCs w:val="22"/>
    </w:rPr>
  </w:style>
  <w:style w:type="paragraph" w:customStyle="1" w:styleId="33">
    <w:name w:val="6表格内容"/>
    <w:basedOn w:val="0"/>
    <w:pPr>
      <w:adjustRightInd w:val="0"/>
      <w:snapToGrid w:val="0"/>
    </w:pPr>
    <w:rPr>
      <w:rFonts w:eastAsia="仿宋_GB2312"/>
      <w:szCs w:val="22"/>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oter" Target="footer1.xml"/><Relationship Id="rId3" Type="http://schemas.openxmlformats.org/officeDocument/2006/relationships/image" Target="media/2.jpeg"/><Relationship Id="rId4" Type="http://schemas.openxmlformats.org/officeDocument/2006/relationships/image" Target="media/5.jpeg"/><Relationship Id="rId5" Type="http://schemas.openxmlformats.org/officeDocument/2006/relationships/footer" Target="footer2.xml"/><Relationship Id="rId6" Type="http://schemas.openxmlformats.org/officeDocument/2006/relationships/image" Target="media/11.png"/><Relationship Id="rId7" Type="http://schemas.openxmlformats.org/officeDocument/2006/relationships/image" Target="media/14.png"/><Relationship Id="rId8" Type="http://schemas.openxmlformats.org/officeDocument/2006/relationships/image" Target="media/17.png"/><Relationship Id="rId9" Type="http://schemas.openxmlformats.org/officeDocument/2006/relationships/image" Target="media/20.png"/><Relationship Id="rId10" Type="http://schemas.openxmlformats.org/officeDocument/2006/relationships/image" Target="media/23.png"/><Relationship Id="rId11" Type="http://schemas.openxmlformats.org/officeDocument/2006/relationships/image" Target="media/26.png"/><Relationship Id="rId12" Type="http://schemas.openxmlformats.org/officeDocument/2006/relationships/image" Target="media/29.png"/><Relationship Id="rId13" Type="http://schemas.openxmlformats.org/officeDocument/2006/relationships/image" Target="media/32.png"/><Relationship Id="rId14" Type="http://schemas.openxmlformats.org/officeDocument/2006/relationships/image" Target="media/35.jpeg"/><Relationship Id="rId15" Type="http://schemas.openxmlformats.org/officeDocument/2006/relationships/image" Target="media/38.jpeg"/><Relationship Id="rId16" Type="http://schemas.openxmlformats.org/officeDocument/2006/relationships/image" Target="media/41.png"/><Relationship Id="rId17" Type="http://schemas.openxmlformats.org/officeDocument/2006/relationships/image" Target="media/44.png"/><Relationship Id="rId18" Type="http://schemas.openxmlformats.org/officeDocument/2006/relationships/image" Target="media/47.jpeg"/><Relationship Id="rId19" Type="http://schemas.openxmlformats.org/officeDocument/2006/relationships/image" Target="media/14.png"/><Relationship Id="rId20" Type="http://schemas.openxmlformats.org/officeDocument/2006/relationships/image" Target="media/52.png"/><Relationship Id="rId21" Type="http://schemas.openxmlformats.org/officeDocument/2006/relationships/image" Target="media/55.png"/><Relationship Id="rId22" Type="http://schemas.openxmlformats.org/officeDocument/2006/relationships/image" Target="media/58.png"/><Relationship Id="rId23" Type="http://schemas.openxmlformats.org/officeDocument/2006/relationships/image" Target="media/61.png"/><Relationship Id="rId24" Type="http://schemas.openxmlformats.org/officeDocument/2006/relationships/image" Target="media/64.png"/><Relationship Id="rId25" Type="http://schemas.openxmlformats.org/officeDocument/2006/relationships/image" Target="media/67.png"/><Relationship Id="rId26" Type="http://schemas.openxmlformats.org/officeDocument/2006/relationships/image" Target="media/70.png"/><Relationship Id="rId27" Type="http://schemas.openxmlformats.org/officeDocument/2006/relationships/image" Target="media/73.png"/><Relationship Id="rId28" Type="http://schemas.openxmlformats.org/officeDocument/2006/relationships/styles" Target="styles.xml"/><Relationship Id="rId29" Type="http://schemas.openxmlformats.org/officeDocument/2006/relationships/numbering" Target="numbering.xml"/><Relationship Id="rId30" Type="http://schemas.openxmlformats.org/officeDocument/2006/relationships/fontTable" Target="fontTable.xml"/></Relationships>
</file>

<file path=docProps/app.xml><?xml version="1.0" encoding="utf-8"?>
<Properties xmlns="http://schemas.openxmlformats.org/officeDocument/2006/extended-properties">
  <Template>Normal.eit</Template>
  <TotalTime>15</TotalTime>
  <Application>Yozo_Office27021597764231179</Application>
  <Pages>76</Pages>
  <Words>0</Words>
  <Characters>25791</Characters>
  <Lines>0</Lines>
  <Paragraphs>670</Paragraphs>
  <CharactersWithSpaces>34389</CharactersWithSpaces>
</Properties>
</file>

<file path=docProps/core.xml><?xml version="1.0" encoding="utf-8"?>
<cp:coreProperties xmlns:cp="http://schemas.openxmlformats.org/package/2006/metadata/core-properties" xmlns:dc="http://purl.org/dc/elements/1.1/" xmlns:dcterms="http://purl.org/dc/terms/" xmlns:xsi="http://www.w3.org/2001/XMLSchema-instance">
  <dc:creator>Administrator</dc:creator>
  <cp:lastModifiedBy>User</cp:lastModifiedBy>
  <cp:revision>2</cp:revision>
  <dcterms:created xsi:type="dcterms:W3CDTF">2023-08-09T07:06:00Z</dcterms:created>
  <dcterms:modified xsi:type="dcterms:W3CDTF">2025-10-29T08:09:53Z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2052-12.1.0.22529</vt:lpwstr>
  </property>
  <property fmtid="{D5CDD505-2E9C-101B-9397-08002B2CF9AE}" pid="3" name="ICV">
    <vt:lpwstr>C284C7C90DDF477890D8ACD0E8DE8D4A_13</vt:lpwstr>
  </property>
  <property fmtid="{D5CDD505-2E9C-101B-9397-08002B2CF9AE}" pid="4" name="KSOTemplateDocerSaveRecord">
    <vt:lpwstr>eyJoZGlkIjoiZDc1OGQzY2ZmNTYwYjNiMzQzOTQzZWQ3ZTUzMGMyNTkifQ==</vt:lpwstr>
  </property>
</Properties>
</file>