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ind w:firstLine="720"/>
        <w:jc w:val="center"/>
        <w:rPr>
          <w:rFonts w:ascii="Times New Roman" w:eastAsia="仿宋" w:cs="Times New Roman" w:hAnsi="Times New Roman"/>
          <w:kern w:val="0"/>
          <w:sz w:val="36"/>
          <w:szCs w:val="36"/>
        </w:rPr>
      </w:pPr>
    </w:p>
    <w:p>
      <w:pPr>
        <w:widowControl/>
        <w:ind w:firstLine="720"/>
        <w:jc w:val="center"/>
        <w:rPr>
          <w:rFonts w:ascii="Times New Roman" w:eastAsia="仿宋" w:cs="Times New Roman" w:hAnsi="Times New Roman"/>
          <w:kern w:val="0"/>
          <w:sz w:val="36"/>
          <w:szCs w:val="36"/>
        </w:rPr>
      </w:pPr>
    </w:p>
    <w:p>
      <w:pPr>
        <w:widowControl/>
        <w:ind w:firstLine="720"/>
        <w:jc w:val="center"/>
        <w:rPr>
          <w:rFonts w:ascii="Times New Roman" w:eastAsia="仿宋" w:cs="Times New Roman" w:hAnsi="Times New Roman"/>
          <w:kern w:val="0"/>
          <w:sz w:val="36"/>
          <w:szCs w:val="36"/>
        </w:rPr>
      </w:pPr>
    </w:p>
    <w:p>
      <w:pPr>
        <w:widowControl/>
        <w:ind w:firstLine="720"/>
        <w:jc w:val="center"/>
        <w:rPr>
          <w:rFonts w:ascii="Times New Roman" w:eastAsia="仿宋" w:cs="Times New Roman" w:hAnsi="Times New Roman"/>
          <w:kern w:val="0"/>
          <w:sz w:val="36"/>
          <w:szCs w:val="36"/>
        </w:rPr>
      </w:pPr>
    </w:p>
    <w:p>
      <w:pPr>
        <w:widowControl/>
        <w:ind w:firstLine="720"/>
        <w:jc w:val="center"/>
        <w:rPr>
          <w:rFonts w:ascii="Times New Roman" w:eastAsia="仿宋" w:cs="Times New Roman" w:hAnsi="Times New Roman" w:hint="eastAsia"/>
          <w:kern w:val="0"/>
          <w:sz w:val="36"/>
          <w:szCs w:val="36"/>
        </w:rPr>
      </w:pPr>
    </w:p>
    <w:p>
      <w:pPr>
        <w:widowControl/>
        <w:jc w:val="center"/>
        <w:rPr>
          <w:rFonts w:ascii="Times New Roman" w:eastAsia="仿宋" w:cs="Times New Roman" w:hAnsi="Times New Roman"/>
          <w:kern w:val="0"/>
          <w:sz w:val="36"/>
          <w:szCs w:val="36"/>
        </w:rPr>
      </w:pPr>
    </w:p>
    <w:p>
      <w:pPr>
        <w:spacing w:line="360" w:lineRule="auto"/>
        <w:jc w:val="center"/>
        <w:rPr>
          <w:rFonts w:ascii="宋体" w:eastAsia="宋体" w:cs="宋体" w:hAnsi="宋体"/>
          <w:b/>
          <w:kern w:val="0"/>
          <w:sz w:val="44"/>
          <w:szCs w:val="44"/>
        </w:rPr>
      </w:pPr>
      <w:r>
        <w:rPr>
          <w:rFonts w:ascii="宋体" w:eastAsia="宋体" w:cs="宋体" w:hAnsi="宋体" w:hint="eastAsia"/>
          <w:b/>
          <w:kern w:val="0"/>
          <w:sz w:val="44"/>
          <w:szCs w:val="44"/>
        </w:rPr>
        <w:t>钦北区乡村地区“通则式”规划管理规定</w:t>
      </w:r>
    </w:p>
    <w:p>
      <w:pPr>
        <w:spacing w:line="360" w:lineRule="auto"/>
        <w:jc w:val="center"/>
        <w:rPr>
          <w:rFonts w:ascii="宋体" w:eastAsia="宋体" w:cs="宋体" w:hAnsi="宋体"/>
          <w:b/>
          <w:kern w:val="0"/>
          <w:sz w:val="44"/>
          <w:szCs w:val="44"/>
        </w:rPr>
      </w:pPr>
      <w:r>
        <w:rPr>
          <w:rFonts w:ascii="宋体" w:eastAsia="宋体" w:cs="宋体" w:hAnsi="宋体" w:hint="eastAsia"/>
          <w:b/>
          <w:kern w:val="0"/>
          <w:sz w:val="44"/>
          <w:szCs w:val="44"/>
        </w:rPr>
        <w:t>（征求意见稿）</w:t>
      </w: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ind w:firstLine="420"/>
        <w:rPr>
          <w:rFonts w:ascii="宋体" w:eastAsia="宋体" w:cs="宋体" w:hAnsi="宋体"/>
        </w:rPr>
      </w:pPr>
    </w:p>
    <w:p>
      <w:pPr>
        <w:spacing w:line="360" w:lineRule="auto"/>
        <w:jc w:val="center"/>
        <w:outlineLvl w:val="0"/>
        <w:rPr>
          <w:rFonts w:ascii="宋体" w:eastAsia="宋体" w:cs="宋体" w:hAnsi="宋体"/>
          <w:b/>
          <w:sz w:val="30"/>
          <w:szCs w:val="30"/>
        </w:rPr>
      </w:pPr>
      <w:r>
        <w:rPr>
          <w:rFonts w:ascii="宋体" w:eastAsia="宋体" w:cs="宋体" w:hAnsi="宋体" w:hint="eastAsia"/>
          <w:b/>
          <w:sz w:val="30"/>
          <w:szCs w:val="30"/>
        </w:rPr>
        <w:t>钦州市钦北区自然资源局</w:t>
      </w:r>
    </w:p>
    <w:p>
      <w:pPr>
        <w:spacing w:line="360" w:lineRule="auto"/>
        <w:jc w:val="center"/>
        <w:outlineLvl w:val="0"/>
        <w:rPr>
          <w:rFonts w:ascii="宋体" w:eastAsia="宋体" w:cs="宋体" w:hAnsi="宋体"/>
          <w:b/>
          <w:sz w:val="30"/>
          <w:szCs w:val="30"/>
        </w:rPr>
      </w:pPr>
      <w:bookmarkStart w:id="0" w:name="_Toc28272"/>
      <w:bookmarkStart w:id="1" w:name="_Toc4367"/>
      <w:bookmarkStart w:id="2" w:name="_Toc209510439"/>
      <w:bookmarkStart w:id="3" w:name="_Toc14608"/>
      <w:bookmarkStart w:id="4" w:name="_Toc150091248"/>
      <w:bookmarkStart w:id="5" w:name="_Toc17963"/>
      <w:bookmarkStart w:id="6" w:name="_Toc17216"/>
      <w:bookmarkStart w:id="7" w:name="_Toc150546449"/>
      <w:bookmarkStart w:id="8" w:name="_Toc22356"/>
      <w:bookmarkStart w:id="9" w:name="_Toc24915"/>
      <w:bookmarkStart w:id="10" w:name="_Toc492"/>
      <w:bookmarkStart w:id="11" w:name="_Toc20609"/>
      <w:bookmarkStart w:id="12" w:name="_Toc29278"/>
      <w:bookmarkStart w:id="13" w:name="_Toc24732"/>
      <w:bookmarkStart w:id="14" w:name="_Toc20984"/>
      <w:bookmarkStart w:id="15" w:name="_Toc24440"/>
      <w:bookmarkStart w:id="16" w:name="_Toc16348"/>
      <w:bookmarkStart w:id="17" w:name="_Toc29339"/>
      <w:bookmarkStart w:id="18" w:name="_Toc21451"/>
      <w:bookmarkStart w:id="19" w:name="_Toc18727"/>
      <w:bookmarkStart w:id="20" w:name="_Toc7520"/>
      <w:bookmarkStart w:id="21" w:name="_Toc209509591"/>
      <w:bookmarkStart w:id="22" w:name="_Toc24255"/>
      <w:bookmarkStart w:id="23" w:name="_Toc31281"/>
      <w:bookmarkStart w:id="24" w:name="_Toc13019"/>
      <w:bookmarkStart w:id="25" w:name="_Hlk101167615"/>
      <w:r>
        <w:rPr>
          <w:rFonts w:ascii="宋体" w:eastAsia="宋体" w:cs="宋体" w:hAnsi="宋体" w:hint="eastAsia"/>
          <w:b/>
          <w:sz w:val="30"/>
          <w:szCs w:val="30"/>
        </w:rPr>
        <w:t>广西国土资源规划设计集团有限公司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spacing w:line="360" w:lineRule="auto"/>
        <w:jc w:val="center"/>
        <w:rPr>
          <w:rFonts w:ascii="宋体" w:eastAsia="宋体" w:cs="宋体" w:hAnsi="宋体"/>
          <w:b/>
          <w:sz w:val="30"/>
          <w:szCs w:val="30"/>
        </w:rPr>
        <w:sectPr>
          <w:footerReference w:type="default" r:id="rId2"/>
          <w:pgSz w:w="11910" w:h="16840"/>
          <w:pgMar w:top="1440" w:right="1800" w:bottom="1440" w:left="1800" w:header="720" w:footer="720" w:gutter="0"/>
          <w:pgNumType w:fmt="upperRoman" w:start="1"/>
          <w:titlePg/>
          <w:docGrid w:linePitch="381" w:charSpace="0"/>
        </w:sectPr>
      </w:pPr>
      <w:bookmarkEnd w:id="25"/>
      <w:r>
        <w:rPr>
          <w:rFonts w:ascii="宋体" w:eastAsia="宋体" w:cs="宋体" w:hAnsi="宋体" w:hint="eastAsia"/>
          <w:b/>
          <w:sz w:val="30"/>
          <w:szCs w:val="30"/>
        </w:rPr>
        <w:t>202</w:t>
      </w:r>
      <w:r>
        <w:rPr>
          <w:rFonts w:ascii="宋体" w:eastAsia="宋体" w:cs="宋体" w:hAnsi="宋体"/>
          <w:b/>
          <w:sz w:val="30"/>
          <w:szCs w:val="30"/>
        </w:rPr>
        <w:t>5</w:t>
      </w:r>
      <w:r>
        <w:rPr>
          <w:rFonts w:ascii="宋体" w:eastAsia="宋体" w:cs="宋体" w:hAnsi="宋体" w:hint="eastAsia"/>
          <w:b/>
          <w:sz w:val="30"/>
          <w:szCs w:val="30"/>
        </w:rPr>
        <w:t>年</w:t>
      </w:r>
      <w:r>
        <w:rPr>
          <w:rFonts w:ascii="宋体" w:eastAsia="宋体" w:cs="宋体" w:hAnsi="宋体"/>
          <w:b/>
          <w:sz w:val="30"/>
          <w:szCs w:val="30"/>
        </w:rPr>
        <w:t>10</w:t>
      </w:r>
      <w:r>
        <w:rPr>
          <w:rFonts w:ascii="宋体" w:eastAsia="宋体" w:cs="宋体" w:hAnsi="宋体" w:hint="eastAsia"/>
          <w:b/>
          <w:sz w:val="30"/>
          <w:szCs w:val="30"/>
        </w:rPr>
        <w:t>月</w:t>
      </w:r>
    </w:p>
    <w:sdt>
      <w:sdtPr>
        <w:rPr>
          <w:rFonts w:ascii="方正公文小标宋" w:eastAsia="方正公文小标宋" w:cs="方正公文小标宋" w:hAnsi="方正公文小标宋" w:hint="eastAsia"/>
          <w:sz w:val="36"/>
          <w:szCs w:val="36"/>
        </w:rPr>
        <w:id w:val="1957897617"/>
        <w15:color w:val="DBDBDB"/>
        <w:docPartObj>
          <w:docPartGallery w:val="Table of Contents"/>
          <w:docPartUnique/>
        </w:docPartObj>
      </w:sdtPr>
      <w:sdtEndPr>
        <w:rPr>
          <w:rFonts w:ascii="仿宋" w:eastAsia="仿宋" w:cs="Times New Roman" w:hAnsi="仿宋"/>
          <w:sz w:val="24"/>
          <w:szCs w:val="24"/>
        </w:rPr>
      </w:sdtEndPr>
      <w:sdtContent>
        <w:p>
          <w:pPr>
            <w:spacing w:line="360" w:lineRule="auto"/>
            <w:ind w:firstLine="420"/>
            <w:jc w:val="center"/>
            <w:rPr>
              <w:rFonts w:ascii="仿宋" w:eastAsia="仿宋" w:hAnsi="仿宋"/>
              <w:sz w:val="24"/>
            </w:rPr>
          </w:pPr>
          <w:r>
            <w:rPr>
              <w:rFonts w:ascii="方正公文小标宋" w:eastAsia="方正公文小标宋" w:cs="方正公文小标宋" w:hAnsi="方正公文小标宋" w:hint="eastAsia"/>
              <w:sz w:val="36"/>
              <w:szCs w:val="36"/>
            </w:rPr>
            <w:t>目  录</w:t>
          </w:r>
          <w:r>
            <w:rPr>
              <w:rFonts w:ascii="仿宋" w:eastAsia="仿宋" w:cs="Times New Roman" w:hAnsi="仿宋"/>
              <w:sz w:val="24"/>
            </w:rPr>
            <w:fldChar w:fldCharType="begin"/>
          </w:r>
          <w:r>
            <w:rPr>
              <w:rFonts w:ascii="仿宋" w:eastAsia="仿宋" w:cs="Times New Roman" w:hAnsi="仿宋"/>
              <w:sz w:val="24"/>
            </w:rPr>
            <w:instrText xml:space="preserve">TOC \o "1-3" \h \u </w:instrText>
          </w:r>
          <w:r>
            <w:rPr>
              <w:rFonts w:ascii="仿宋" w:eastAsia="仿宋" w:cs="Times New Roman" w:hAnsi="仿宋"/>
              <w:sz w:val="24"/>
            </w:rPr>
            <w:fldChar w:fldCharType="separate"/>
          </w:r>
        </w:p>
        <w:p>
          <w:pPr>
            <w:pStyle w:val="20"/>
            <w:tabs>
              <w:tab w:val="left" w:pos="1050"/>
              <w:tab w:val="right" w:leader="dot" w:pos="8296"/>
            </w:tabs>
            <w:spacing w:line="360" w:lineRule="auto"/>
            <w:rPr>
              <w:rFonts w:ascii="仿宋" w:eastAsia="仿宋" w:hAnsi="仿宋"/>
              <w:sz w:val="24"/>
            </w:rPr>
          </w:pPr>
          <w:r>
            <w:fldChar w:fldCharType="begin"/>
          </w:r>
          <w:r>
            <w:instrText>Hyperlink \l "_Toc209510440"</w:instrText>
          </w:r>
          <w:r>
            <w:fldChar w:fldCharType="separate"/>
          </w:r>
          <w:r>
            <w:rPr>
              <w:rFonts w:ascii="仿宋" w:eastAsia="仿宋" w:hAnsi="仿宋"/>
              <w:sz w:val="24"/>
            </w:rPr>
            <w:t>第一章</w:t>
            <w:tab/>
            <w:t>总则</w:t>
            <w:tab/>
          </w:r>
          <w:r>
            <w:rPr>
              <w:rFonts w:ascii="仿宋" w:eastAsia="仿宋" w:hAnsi="仿宋"/>
              <w:sz w:val="24"/>
            </w:rPr>
            <w:fldChar w:fldCharType="begin"/>
          </w:r>
          <w:r>
            <w:rPr>
              <w:rFonts w:ascii="仿宋" w:eastAsia="仿宋" w:hAnsi="仿宋"/>
              <w:sz w:val="24"/>
            </w:rPr>
            <w:instrText xml:space="preserve"> PAGEREF _Toc209510440 \h </w:instrText>
          </w:r>
          <w:r>
            <w:rPr>
              <w:rFonts w:ascii="仿宋" w:eastAsia="仿宋" w:hAnsi="仿宋"/>
              <w:sz w:val="24"/>
            </w:rPr>
            <w:fldChar w:fldCharType="separate"/>
          </w:r>
          <w:r>
            <w:rPr>
              <w:rFonts w:ascii="仿宋" w:eastAsia="仿宋" w:hAnsi="仿宋"/>
              <w:sz w:val="24"/>
            </w:rPr>
            <w:t>1</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"_Toc209510441"</w:instrText>
          </w:r>
          <w:r>
            <w:fldChar w:fldCharType="separate"/>
          </w:r>
          <w:r>
            <w:rPr>
              <w:rFonts w:ascii="仿宋" w:eastAsia="仿宋" w:hAnsi="仿宋"/>
              <w:sz w:val="24"/>
            </w:rPr>
            <w:t>第1条</w:t>
            <w:tab/>
            <w:t>制定目的</w:t>
            <w:tab/>
          </w:r>
          <w:r>
            <w:rPr>
              <w:rFonts w:ascii="仿宋" w:eastAsia="仿宋" w:hAnsi="仿宋"/>
              <w:sz w:val="24"/>
            </w:rPr>
            <w:fldChar w:fldCharType="begin"/>
          </w:r>
          <w:r>
            <w:rPr>
              <w:rFonts w:ascii="仿宋" w:eastAsia="仿宋" w:hAnsi="仿宋"/>
              <w:sz w:val="24"/>
            </w:rPr>
            <w:instrText xml:space="preserve"> PAGEREF _Toc209510441 \h </w:instrText>
          </w:r>
          <w:r>
            <w:rPr>
              <w:rFonts w:ascii="仿宋" w:eastAsia="仿宋" w:hAnsi="仿宋"/>
              <w:sz w:val="24"/>
            </w:rPr>
            <w:fldChar w:fldCharType="separate"/>
          </w:r>
          <w:r>
            <w:rPr>
              <w:rFonts w:ascii="仿宋" w:eastAsia="仿宋" w:hAnsi="仿宋"/>
              <w:sz w:val="24"/>
            </w:rPr>
            <w:t>1</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"_Toc209510442"</w:instrText>
          </w:r>
          <w:r>
            <w:fldChar w:fldCharType="separate"/>
          </w:r>
          <w:r>
            <w:rPr>
              <w:rFonts w:ascii="仿宋" w:eastAsia="仿宋" w:hAnsi="仿宋"/>
              <w:sz w:val="24"/>
            </w:rPr>
            <w:t>第2条</w:t>
            <w:tab/>
            <w:t>制定依据</w:t>
            <w:tab/>
          </w:r>
          <w:r>
            <w:rPr>
              <w:rFonts w:ascii="仿宋" w:eastAsia="仿宋" w:hAnsi="仿宋"/>
              <w:sz w:val="24"/>
            </w:rPr>
            <w:fldChar w:fldCharType="begin"/>
          </w:r>
          <w:r>
            <w:rPr>
              <w:rFonts w:ascii="仿宋" w:eastAsia="仿宋" w:hAnsi="仿宋"/>
              <w:sz w:val="24"/>
            </w:rPr>
            <w:instrText xml:space="preserve"> PAGEREF _Toc209510442 \h </w:instrText>
          </w:r>
          <w:r>
            <w:rPr>
              <w:rFonts w:ascii="仿宋" w:eastAsia="仿宋" w:hAnsi="仿宋"/>
              <w:sz w:val="24"/>
            </w:rPr>
            <w:fldChar w:fldCharType="separate"/>
          </w:r>
          <w:r>
            <w:rPr>
              <w:rFonts w:ascii="仿宋" w:eastAsia="仿宋" w:hAnsi="仿宋"/>
              <w:sz w:val="24"/>
            </w:rPr>
            <w:t>1</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"_Toc209510443"</w:instrText>
          </w:r>
          <w:r>
            <w:fldChar w:fldCharType="separate"/>
          </w:r>
          <w:r>
            <w:rPr>
              <w:rFonts w:ascii="仿宋" w:eastAsia="仿宋" w:hAnsi="仿宋"/>
              <w:sz w:val="24"/>
            </w:rPr>
            <w:t>第3条</w:t>
            <w:tab/>
            <w:t>适用范围</w:t>
            <w:tab/>
          </w:r>
          <w:r>
            <w:rPr>
              <w:rFonts w:ascii="仿宋" w:eastAsia="仿宋" w:hAnsi="仿宋"/>
              <w:sz w:val="24"/>
            </w:rPr>
            <w:fldChar w:fldCharType="begin"/>
          </w:r>
          <w:r>
            <w:rPr>
              <w:rFonts w:ascii="仿宋" w:eastAsia="仿宋" w:hAnsi="仿宋"/>
              <w:sz w:val="24"/>
            </w:rPr>
            <w:instrText xml:space="preserve"> PAGEREF _Toc209510443 \h </w:instrText>
          </w:r>
          <w:r>
            <w:rPr>
              <w:rFonts w:ascii="仿宋" w:eastAsia="仿宋" w:hAnsi="仿宋"/>
              <w:sz w:val="24"/>
            </w:rPr>
            <w:fldChar w:fldCharType="separate"/>
          </w:r>
          <w:r>
            <w:rPr>
              <w:rFonts w:ascii="仿宋" w:eastAsia="仿宋" w:hAnsi="仿宋"/>
              <w:sz w:val="24"/>
            </w:rPr>
            <w:t>1</w:t>
          </w:r>
          <w:r>
            <w:rPr>
              <w:rFonts w:ascii="仿宋" w:eastAsia="仿宋" w:hAnsi="仿宋"/>
              <w:sz w:val="24"/>
            </w:rPr>
            <w:fldChar w:fldCharType="end"/>
          </w:r>
          <w:r>
            <w:fldChar w:fldCharType="end"/>
          </w:r>
        </w:p>
        <w:p>
          <w:pPr>
            <w:pStyle w:val="20"/>
            <w:tabs>
              <w:tab w:val="left" w:pos="1050"/>
              <w:tab w:val="right" w:leader="dot" w:pos="8296"/>
            </w:tabs>
            <w:spacing w:line="360" w:lineRule="auto"/>
            <w:rPr>
              <w:rFonts w:ascii="仿宋" w:eastAsia="仿宋" w:hAnsi="仿宋"/>
              <w:sz w:val="24"/>
            </w:rPr>
          </w:pPr>
          <w:r>
            <w:fldChar w:fldCharType="begin"/>
          </w:r>
          <w:r>
            <w:instrText>Hyperlink \l "_Toc209510444"</w:instrText>
          </w:r>
          <w:r>
            <w:fldChar w:fldCharType="separate"/>
          </w:r>
          <w:r>
            <w:rPr>
              <w:rFonts w:ascii="仿宋" w:eastAsia="仿宋" w:hAnsi="仿宋"/>
              <w:sz w:val="24"/>
            </w:rPr>
            <w:t>第二章</w:t>
            <w:tab/>
            <w:t>村庄概况</w:t>
            <w:tab/>
          </w:r>
          <w:r>
            <w:rPr>
              <w:rFonts w:ascii="仿宋" w:eastAsia="仿宋" w:hAnsi="仿宋"/>
              <w:sz w:val="24"/>
            </w:rPr>
            <w:fldChar w:fldCharType="begin"/>
          </w:r>
          <w:r>
            <w:rPr>
              <w:rFonts w:ascii="仿宋" w:eastAsia="仿宋" w:hAnsi="仿宋"/>
              <w:sz w:val="24"/>
            </w:rPr>
            <w:instrText xml:space="preserve"> PAGEREF _Toc209510444 \h </w:instrText>
          </w:r>
          <w:r>
            <w:rPr>
              <w:rFonts w:ascii="仿宋" w:eastAsia="仿宋" w:hAnsi="仿宋"/>
              <w:sz w:val="24"/>
            </w:rPr>
            <w:fldChar w:fldCharType="separate"/>
          </w:r>
          <w:r>
            <w:rPr>
              <w:rFonts w:ascii="仿宋" w:eastAsia="仿宋" w:hAnsi="仿宋"/>
              <w:sz w:val="24"/>
            </w:rPr>
            <w:t>2</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"_Toc209510445"</w:instrText>
          </w:r>
          <w:r>
            <w:fldChar w:fldCharType="separate"/>
          </w:r>
          <w:r>
            <w:rPr>
              <w:rFonts w:ascii="仿宋" w:eastAsia="仿宋" w:hAnsi="仿宋"/>
              <w:sz w:val="24"/>
            </w:rPr>
            <w:t>第4条</w:t>
            <w:tab/>
          </w:r>
          <w:r>
            <w:rPr>
              <w:rFonts w:ascii="仿宋" w:eastAsia="仿宋" w:hAnsi="仿宋" w:hint="eastAsia"/>
              <w:sz w:val="24"/>
            </w:rPr>
            <w:t>镇村</w:t>
          </w:r>
          <w:r>
            <w:rPr>
              <w:rFonts w:ascii="仿宋" w:eastAsia="仿宋" w:hAnsi="仿宋"/>
              <w:sz w:val="24"/>
            </w:rPr>
            <w:t>体系</w:t>
            <w:tab/>
          </w:r>
          <w:r>
            <w:rPr>
              <w:rFonts w:ascii="仿宋" w:eastAsia="仿宋" w:hAnsi="仿宋"/>
              <w:sz w:val="24"/>
            </w:rPr>
            <w:fldChar w:fldCharType="begin"/>
          </w:r>
          <w:r>
            <w:rPr>
              <w:rFonts w:ascii="仿宋" w:eastAsia="仿宋" w:hAnsi="仿宋"/>
              <w:sz w:val="24"/>
            </w:rPr>
            <w:instrText xml:space="preserve"> PAGEREF _Toc209510445 \h </w:instrText>
          </w:r>
          <w:r>
            <w:rPr>
              <w:rFonts w:ascii="仿宋" w:eastAsia="仿宋" w:hAnsi="仿宋"/>
              <w:sz w:val="24"/>
            </w:rPr>
            <w:fldChar w:fldCharType="separate"/>
          </w:r>
          <w:r>
            <w:rPr>
              <w:rFonts w:ascii="仿宋" w:eastAsia="仿宋" w:hAnsi="仿宋"/>
              <w:sz w:val="24"/>
            </w:rPr>
            <w:t>2</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"_Toc209510446"</w:instrText>
          </w:r>
          <w:r>
            <w:fldChar w:fldCharType="separate"/>
          </w:r>
          <w:r>
            <w:rPr>
              <w:rFonts w:ascii="仿宋" w:eastAsia="仿宋" w:hAnsi="仿宋"/>
              <w:sz w:val="24"/>
            </w:rPr>
            <w:t>第5条</w:t>
            <w:tab/>
            <w:t>村庄分类</w:t>
            <w:tab/>
          </w:r>
          <w:r>
            <w:rPr>
              <w:rFonts w:ascii="仿宋" w:eastAsia="仿宋" w:hAnsi="仿宋"/>
              <w:sz w:val="24"/>
            </w:rPr>
            <w:fldChar w:fldCharType="begin"/>
          </w:r>
          <w:r>
            <w:rPr>
              <w:rFonts w:ascii="仿宋" w:eastAsia="仿宋" w:hAnsi="仿宋"/>
              <w:sz w:val="24"/>
            </w:rPr>
            <w:instrText xml:space="preserve"> PAGEREF _Toc209510446 \h </w:instrText>
          </w:r>
          <w:r>
            <w:rPr>
              <w:rFonts w:ascii="仿宋" w:eastAsia="仿宋" w:hAnsi="仿宋"/>
              <w:sz w:val="24"/>
            </w:rPr>
            <w:fldChar w:fldCharType="separate"/>
          </w:r>
          <w:r>
            <w:rPr>
              <w:rFonts w:ascii="仿宋" w:eastAsia="仿宋" w:hAnsi="仿宋"/>
              <w:sz w:val="24"/>
            </w:rPr>
            <w:t>2</w:t>
          </w:r>
          <w:r>
            <w:rPr>
              <w:rFonts w:ascii="仿宋" w:eastAsia="仿宋" w:hAnsi="仿宋"/>
              <w:sz w:val="24"/>
            </w:rPr>
            <w:fldChar w:fldCharType="end"/>
          </w:r>
          <w:r>
            <w:fldChar w:fldCharType="end"/>
          </w:r>
        </w:p>
        <w:p>
          <w:pPr>
            <w:pStyle w:val="20"/>
            <w:tabs>
              <w:tab w:val="left" w:pos="1050"/>
              <w:tab w:val="right" w:leader="dot" w:pos="8296"/>
            </w:tabs>
            <w:spacing w:line="360" w:lineRule="auto"/>
            <w:rPr>
              <w:rFonts w:ascii="仿宋" w:eastAsia="仿宋" w:hAnsi="仿宋"/>
              <w:sz w:val="24"/>
            </w:rPr>
          </w:pPr>
          <w:r>
            <w:fldChar w:fldCharType="begin"/>
          </w:r>
          <w:r>
            <w:instrText>Hyperlink \l "_Toc209510447"</w:instrText>
          </w:r>
          <w:r>
            <w:fldChar w:fldCharType="separate"/>
          </w:r>
          <w:r>
            <w:rPr>
              <w:rFonts w:ascii="仿宋" w:eastAsia="仿宋" w:hAnsi="仿宋"/>
              <w:sz w:val="24"/>
            </w:rPr>
            <w:t>第三章</w:t>
            <w:tab/>
            <w:t>管控要求</w:t>
            <w:tab/>
          </w:r>
          <w:r>
            <w:rPr>
              <w:rFonts w:ascii="仿宋" w:eastAsia="仿宋" w:hAnsi="仿宋"/>
              <w:sz w:val="24"/>
            </w:rPr>
            <w:fldChar w:fldCharType="begin"/>
          </w:r>
          <w:r>
            <w:rPr>
              <w:rFonts w:ascii="仿宋" w:eastAsia="仿宋" w:hAnsi="仿宋"/>
              <w:sz w:val="24"/>
            </w:rPr>
            <w:instrText xml:space="preserve"> PAGEREF _Toc209510447 \h </w:instrText>
          </w:r>
          <w:r>
            <w:rPr>
              <w:rFonts w:ascii="仿宋" w:eastAsia="仿宋" w:hAnsi="仿宋"/>
              <w:sz w:val="24"/>
            </w:rPr>
            <w:fldChar w:fldCharType="separate"/>
          </w:r>
          <w:r>
            <w:rPr>
              <w:rFonts w:ascii="仿宋" w:eastAsia="仿宋" w:hAnsi="仿宋"/>
              <w:sz w:val="24"/>
            </w:rPr>
            <w:t>3</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"_Toc209510448"</w:instrText>
          </w:r>
          <w:r>
            <w:fldChar w:fldCharType="separate"/>
          </w:r>
          <w:r>
            <w:rPr>
              <w:rFonts w:ascii="仿宋" w:eastAsia="仿宋" w:hAnsi="仿宋"/>
              <w:sz w:val="24"/>
            </w:rPr>
            <w:t>第一节</w:t>
            <w:tab/>
            <w:t>底线管控</w:t>
            <w:tab/>
          </w:r>
          <w:r>
            <w:rPr>
              <w:rFonts w:ascii="仿宋" w:eastAsia="仿宋" w:hAnsi="仿宋"/>
              <w:sz w:val="24"/>
            </w:rPr>
            <w:fldChar w:fldCharType="begin"/>
          </w:r>
          <w:r>
            <w:rPr>
              <w:rFonts w:ascii="仿宋" w:eastAsia="仿宋" w:hAnsi="仿宋"/>
              <w:sz w:val="24"/>
            </w:rPr>
            <w:instrText xml:space="preserve"> PAGEREF _Toc209510448 \h </w:instrText>
          </w:r>
          <w:r>
            <w:rPr>
              <w:rFonts w:ascii="仿宋" w:eastAsia="仿宋" w:hAnsi="仿宋"/>
              <w:sz w:val="24"/>
            </w:rPr>
            <w:fldChar w:fldCharType="separate"/>
          </w:r>
          <w:r>
            <w:rPr>
              <w:rFonts w:ascii="仿宋" w:eastAsia="仿宋" w:hAnsi="仿宋"/>
              <w:sz w:val="24"/>
            </w:rPr>
            <w:t>3</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"_Toc209510449"</w:instrText>
          </w:r>
          <w:r>
            <w:fldChar w:fldCharType="separate"/>
          </w:r>
          <w:r>
            <w:rPr>
              <w:rFonts w:ascii="仿宋" w:eastAsia="仿宋" w:hAnsi="仿宋"/>
              <w:sz w:val="24"/>
            </w:rPr>
            <w:t>第6条</w:t>
            <w:tab/>
            <w:t>耕地和永久基本农田保护红线</w:t>
            <w:tab/>
          </w:r>
          <w:r>
            <w:rPr>
              <w:rFonts w:ascii="仿宋" w:eastAsia="仿宋" w:hAnsi="仿宋"/>
              <w:sz w:val="24"/>
            </w:rPr>
            <w:fldChar w:fldCharType="begin"/>
          </w:r>
          <w:r>
            <w:rPr>
              <w:rFonts w:ascii="仿宋" w:eastAsia="仿宋" w:hAnsi="仿宋"/>
              <w:sz w:val="24"/>
            </w:rPr>
            <w:instrText xml:space="preserve"> PAGEREF _Toc209510449 \h </w:instrText>
          </w:r>
          <w:r>
            <w:rPr>
              <w:rFonts w:ascii="仿宋" w:eastAsia="仿宋" w:hAnsi="仿宋"/>
              <w:sz w:val="24"/>
            </w:rPr>
            <w:fldChar w:fldCharType="separate"/>
          </w:r>
          <w:r>
            <w:rPr>
              <w:rFonts w:ascii="仿宋" w:eastAsia="仿宋" w:hAnsi="仿宋"/>
              <w:sz w:val="24"/>
            </w:rPr>
            <w:t>3</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"_Toc209510450"</w:instrText>
          </w:r>
          <w:r>
            <w:fldChar w:fldCharType="separate"/>
          </w:r>
          <w:r>
            <w:rPr>
              <w:rFonts w:ascii="仿宋" w:eastAsia="仿宋" w:hAnsi="仿宋"/>
              <w:sz w:val="24"/>
            </w:rPr>
            <w:t>第7条</w:t>
            <w:tab/>
            <w:t>生态保护红线</w:t>
            <w:tab/>
          </w:r>
          <w:r>
            <w:rPr>
              <w:rFonts w:ascii="仿宋" w:eastAsia="仿宋" w:hAnsi="仿宋"/>
              <w:sz w:val="24"/>
            </w:rPr>
            <w:fldChar w:fldCharType="begin"/>
          </w:r>
          <w:r>
            <w:rPr>
              <w:rFonts w:ascii="仿宋" w:eastAsia="仿宋" w:hAnsi="仿宋"/>
              <w:sz w:val="24"/>
            </w:rPr>
            <w:instrText xml:space="preserve"> PAGEREF _Toc209510450 \h </w:instrText>
          </w:r>
          <w:r>
            <w:rPr>
              <w:rFonts w:ascii="仿宋" w:eastAsia="仿宋" w:hAnsi="仿宋"/>
              <w:sz w:val="24"/>
            </w:rPr>
            <w:fldChar w:fldCharType="separate"/>
          </w:r>
          <w:r>
            <w:rPr>
              <w:rFonts w:ascii="仿宋" w:eastAsia="仿宋" w:hAnsi="仿宋"/>
              <w:sz w:val="24"/>
            </w:rPr>
            <w:t>5</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"_Toc209510451"</w:instrText>
          </w:r>
          <w:r>
            <w:fldChar w:fldCharType="separate"/>
          </w:r>
          <w:r>
            <w:rPr>
              <w:rFonts w:ascii="仿宋" w:eastAsia="仿宋" w:hAnsi="仿宋"/>
              <w:sz w:val="24"/>
            </w:rPr>
            <w:t>第8条</w:t>
            <w:tab/>
            <w:t>村庄建设边界</w:t>
            <w:tab/>
          </w:r>
          <w:r>
            <w:rPr>
              <w:rFonts w:ascii="仿宋" w:eastAsia="仿宋" w:hAnsi="仿宋"/>
              <w:sz w:val="24"/>
            </w:rPr>
            <w:fldChar w:fldCharType="begin"/>
          </w:r>
          <w:r>
            <w:rPr>
              <w:rFonts w:ascii="仿宋" w:eastAsia="仿宋" w:hAnsi="仿宋"/>
              <w:sz w:val="24"/>
            </w:rPr>
            <w:instrText xml:space="preserve"> PAGEREF _Toc209510451 \h </w:instrText>
          </w:r>
          <w:r>
            <w:rPr>
              <w:rFonts w:ascii="仿宋" w:eastAsia="仿宋" w:hAnsi="仿宋"/>
              <w:sz w:val="24"/>
            </w:rPr>
            <w:fldChar w:fldCharType="separate"/>
          </w:r>
          <w:r>
            <w:rPr>
              <w:rFonts w:ascii="仿宋" w:eastAsia="仿宋" w:hAnsi="仿宋"/>
              <w:sz w:val="24"/>
            </w:rPr>
            <w:t>7</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"_Toc209510452"</w:instrText>
          </w:r>
          <w:r>
            <w:fldChar w:fldCharType="separate"/>
          </w:r>
          <w:r>
            <w:rPr>
              <w:rFonts w:ascii="仿宋" w:eastAsia="仿宋" w:hAnsi="仿宋"/>
              <w:sz w:val="24"/>
            </w:rPr>
            <w:t>第9条</w:t>
            <w:tab/>
            <w:t>其他底线红线</w:t>
            <w:tab/>
          </w:r>
          <w:r>
            <w:rPr>
              <w:rFonts w:ascii="仿宋" w:eastAsia="仿宋" w:hAnsi="仿宋"/>
              <w:sz w:val="24"/>
            </w:rPr>
            <w:fldChar w:fldCharType="begin"/>
          </w:r>
          <w:r>
            <w:rPr>
              <w:rFonts w:ascii="仿宋" w:eastAsia="仿宋" w:hAnsi="仿宋"/>
              <w:sz w:val="24"/>
            </w:rPr>
            <w:instrText xml:space="preserve"> PAGEREF _Toc209510452 \h </w:instrText>
          </w:r>
          <w:r>
            <w:rPr>
              <w:rFonts w:ascii="仿宋" w:eastAsia="仿宋" w:hAnsi="仿宋"/>
              <w:sz w:val="24"/>
            </w:rPr>
            <w:fldChar w:fldCharType="separate"/>
          </w:r>
          <w:r>
            <w:rPr>
              <w:rFonts w:ascii="仿宋" w:eastAsia="仿宋" w:hAnsi="仿宋"/>
              <w:sz w:val="24"/>
            </w:rPr>
            <w:t>7</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"_Toc209510453"</w:instrText>
          </w:r>
          <w:r>
            <w:fldChar w:fldCharType="separate"/>
          </w:r>
          <w:r>
            <w:rPr>
              <w:rFonts w:ascii="仿宋" w:eastAsia="仿宋" w:hAnsi="仿宋"/>
              <w:sz w:val="24"/>
            </w:rPr>
            <w:t>第二节</w:t>
            <w:tab/>
            <w:t>用地布局</w:t>
            <w:tab/>
          </w:r>
          <w:r>
            <w:rPr>
              <w:rFonts w:ascii="仿宋" w:eastAsia="仿宋" w:hAnsi="仿宋"/>
              <w:sz w:val="24"/>
            </w:rPr>
            <w:fldChar w:fldCharType="begin"/>
          </w:r>
          <w:r>
            <w:rPr>
              <w:rFonts w:ascii="仿宋" w:eastAsia="仿宋" w:hAnsi="仿宋"/>
              <w:sz w:val="24"/>
            </w:rPr>
            <w:instrText xml:space="preserve"> PAGEREF _Toc209510453 \h </w:instrText>
          </w:r>
          <w:r>
            <w:rPr>
              <w:rFonts w:ascii="仿宋" w:eastAsia="仿宋" w:hAnsi="仿宋"/>
              <w:sz w:val="24"/>
            </w:rPr>
            <w:fldChar w:fldCharType="separate"/>
          </w:r>
          <w:r>
            <w:rPr>
              <w:rFonts w:ascii="仿宋" w:eastAsia="仿宋" w:hAnsi="仿宋"/>
              <w:sz w:val="24"/>
            </w:rPr>
            <w:t>10</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"_Toc209510454"</w:instrText>
          </w:r>
          <w:r>
            <w:fldChar w:fldCharType="separate"/>
          </w:r>
          <w:r>
            <w:rPr>
              <w:rFonts w:ascii="仿宋" w:eastAsia="仿宋" w:hAnsi="仿宋"/>
              <w:sz w:val="24"/>
            </w:rPr>
            <w:t>第10条</w:t>
            <w:tab/>
            <w:t>村庄建设用地布局通用要求</w:t>
            <w:tab/>
          </w:r>
          <w:r>
            <w:rPr>
              <w:rFonts w:ascii="仿宋" w:eastAsia="仿宋" w:hAnsi="仿宋"/>
              <w:sz w:val="24"/>
            </w:rPr>
            <w:fldChar w:fldCharType="begin"/>
          </w:r>
          <w:r>
            <w:rPr>
              <w:rFonts w:ascii="仿宋" w:eastAsia="仿宋" w:hAnsi="仿宋"/>
              <w:sz w:val="24"/>
            </w:rPr>
            <w:instrText xml:space="preserve"> PAGEREF _Toc209510454 \h </w:instrText>
          </w:r>
          <w:r>
            <w:rPr>
              <w:rFonts w:ascii="仿宋" w:eastAsia="仿宋" w:hAnsi="仿宋"/>
              <w:sz w:val="24"/>
            </w:rPr>
            <w:fldChar w:fldCharType="separate"/>
          </w:r>
          <w:r>
            <w:rPr>
              <w:rFonts w:ascii="仿宋" w:eastAsia="仿宋" w:hAnsi="仿宋"/>
              <w:sz w:val="24"/>
            </w:rPr>
            <w:t>10</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"_Toc209510455"</w:instrText>
          </w:r>
          <w:r>
            <w:fldChar w:fldCharType="separate"/>
          </w:r>
          <w:r>
            <w:rPr>
              <w:rFonts w:ascii="仿宋" w:eastAsia="仿宋" w:hAnsi="仿宋"/>
              <w:sz w:val="24"/>
            </w:rPr>
            <w:t>第11条</w:t>
            <w:tab/>
            <w:t>村民住房布局要求</w:t>
            <w:tab/>
          </w:r>
          <w:r>
            <w:rPr>
              <w:rFonts w:ascii="仿宋" w:eastAsia="仿宋" w:hAnsi="仿宋"/>
              <w:sz w:val="24"/>
            </w:rPr>
            <w:fldChar w:fldCharType="begin"/>
          </w:r>
          <w:r>
            <w:rPr>
              <w:rFonts w:ascii="仿宋" w:eastAsia="仿宋" w:hAnsi="仿宋"/>
              <w:sz w:val="24"/>
            </w:rPr>
            <w:instrText xml:space="preserve"> PAGEREF _Toc209510455 \h </w:instrText>
          </w:r>
          <w:r>
            <w:rPr>
              <w:rFonts w:ascii="仿宋" w:eastAsia="仿宋" w:hAnsi="仿宋"/>
              <w:sz w:val="24"/>
            </w:rPr>
            <w:fldChar w:fldCharType="separate"/>
          </w:r>
          <w:r>
            <w:rPr>
              <w:rFonts w:ascii="仿宋" w:eastAsia="仿宋" w:hAnsi="仿宋"/>
              <w:sz w:val="24"/>
            </w:rPr>
            <w:t>11</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"_Toc209510456"</w:instrText>
          </w:r>
          <w:r>
            <w:fldChar w:fldCharType="separate"/>
          </w:r>
          <w:r>
            <w:rPr>
              <w:rFonts w:ascii="仿宋" w:eastAsia="仿宋" w:hAnsi="仿宋"/>
              <w:sz w:val="24"/>
            </w:rPr>
            <w:t>第12条</w:t>
            <w:tab/>
            <w:t>公共服务设施布局要求</w:t>
            <w:tab/>
          </w:r>
          <w:r>
            <w:rPr>
              <w:rFonts w:ascii="仿宋" w:eastAsia="仿宋" w:hAnsi="仿宋"/>
              <w:sz w:val="24"/>
            </w:rPr>
            <w:fldChar w:fldCharType="begin"/>
          </w:r>
          <w:r>
            <w:rPr>
              <w:rFonts w:ascii="仿宋" w:eastAsia="仿宋" w:hAnsi="仿宋"/>
              <w:sz w:val="24"/>
            </w:rPr>
            <w:instrText xml:space="preserve"> PAGEREF _Toc209510456 \h </w:instrText>
          </w:r>
          <w:r>
            <w:rPr>
              <w:rFonts w:ascii="仿宋" w:eastAsia="仿宋" w:hAnsi="仿宋"/>
              <w:sz w:val="24"/>
            </w:rPr>
            <w:fldChar w:fldCharType="separate"/>
          </w:r>
          <w:r>
            <w:rPr>
              <w:rFonts w:ascii="仿宋" w:eastAsia="仿宋" w:hAnsi="仿宋"/>
              <w:sz w:val="24"/>
            </w:rPr>
            <w:t>11</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"_Toc209510457"</w:instrText>
          </w:r>
          <w:r>
            <w:fldChar w:fldCharType="separate"/>
          </w:r>
          <w:r>
            <w:rPr>
              <w:rFonts w:ascii="仿宋" w:eastAsia="仿宋" w:hAnsi="仿宋"/>
              <w:sz w:val="24"/>
            </w:rPr>
            <w:t>第13条</w:t>
            <w:tab/>
            <w:t>市政公用设施布局要求</w:t>
            <w:tab/>
          </w:r>
          <w:r>
            <w:rPr>
              <w:rFonts w:ascii="仿宋" w:eastAsia="仿宋" w:hAnsi="仿宋"/>
              <w:sz w:val="24"/>
            </w:rPr>
            <w:fldChar w:fldCharType="begin"/>
          </w:r>
          <w:r>
            <w:rPr>
              <w:rFonts w:ascii="仿宋" w:eastAsia="仿宋" w:hAnsi="仿宋"/>
              <w:sz w:val="24"/>
            </w:rPr>
            <w:instrText xml:space="preserve"> PAGEREF _Toc209510457 \h </w:instrText>
          </w:r>
          <w:r>
            <w:rPr>
              <w:rFonts w:ascii="仿宋" w:eastAsia="仿宋" w:hAnsi="仿宋"/>
              <w:sz w:val="24"/>
            </w:rPr>
            <w:fldChar w:fldCharType="separate"/>
          </w:r>
          <w:r>
            <w:rPr>
              <w:rFonts w:ascii="仿宋" w:eastAsia="仿宋" w:hAnsi="仿宋"/>
              <w:sz w:val="24"/>
            </w:rPr>
            <w:t>14</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"_Toc209510458"</w:instrText>
          </w:r>
          <w:r>
            <w:fldChar w:fldCharType="separate"/>
          </w:r>
          <w:r>
            <w:rPr>
              <w:rFonts w:ascii="仿宋" w:eastAsia="仿宋" w:hAnsi="仿宋"/>
              <w:sz w:val="24"/>
            </w:rPr>
            <w:t>第14条</w:t>
            <w:tab/>
            <w:t>乡村产业用地布局要求</w:t>
            <w:tab/>
          </w:r>
          <w:r>
            <w:rPr>
              <w:rFonts w:ascii="仿宋" w:eastAsia="仿宋" w:hAnsi="仿宋"/>
              <w:sz w:val="24"/>
            </w:rPr>
            <w:fldChar w:fldCharType="begin"/>
          </w:r>
          <w:r>
            <w:rPr>
              <w:rFonts w:ascii="仿宋" w:eastAsia="仿宋" w:hAnsi="仿宋"/>
              <w:sz w:val="24"/>
            </w:rPr>
            <w:instrText xml:space="preserve"> PAGEREF _Toc209510458 \h </w:instrText>
          </w:r>
          <w:r>
            <w:rPr>
              <w:rFonts w:ascii="仿宋" w:eastAsia="仿宋" w:hAnsi="仿宋"/>
              <w:sz w:val="24"/>
            </w:rPr>
            <w:fldChar w:fldCharType="separate"/>
          </w:r>
          <w:r>
            <w:rPr>
              <w:rFonts w:ascii="仿宋" w:eastAsia="仿宋" w:hAnsi="仿宋"/>
              <w:sz w:val="24"/>
            </w:rPr>
            <w:t>15</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"_Toc209510459"</w:instrText>
          </w:r>
          <w:r>
            <w:fldChar w:fldCharType="separate"/>
          </w:r>
          <w:r>
            <w:rPr>
              <w:rFonts w:ascii="仿宋" w:eastAsia="仿宋" w:hAnsi="仿宋"/>
              <w:sz w:val="24"/>
            </w:rPr>
            <w:t>第15条</w:t>
            <w:tab/>
            <w:t>矿业用地布局要求</w:t>
            <w:tab/>
          </w:r>
          <w:r>
            <w:rPr>
              <w:rFonts w:ascii="仿宋" w:eastAsia="仿宋" w:hAnsi="仿宋"/>
              <w:sz w:val="24"/>
            </w:rPr>
            <w:fldChar w:fldCharType="begin"/>
          </w:r>
          <w:r>
            <w:rPr>
              <w:rFonts w:ascii="仿宋" w:eastAsia="仿宋" w:hAnsi="仿宋"/>
              <w:sz w:val="24"/>
            </w:rPr>
            <w:instrText xml:space="preserve"> PAGEREF _Toc209510459 \h </w:instrText>
          </w:r>
          <w:r>
            <w:rPr>
              <w:rFonts w:ascii="仿宋" w:eastAsia="仿宋" w:hAnsi="仿宋"/>
              <w:sz w:val="24"/>
            </w:rPr>
            <w:fldChar w:fldCharType="separate"/>
          </w:r>
          <w:r>
            <w:rPr>
              <w:rFonts w:ascii="仿宋" w:eastAsia="仿宋" w:hAnsi="仿宋"/>
              <w:sz w:val="24"/>
            </w:rPr>
            <w:t>16</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"_Toc209510460"</w:instrText>
          </w:r>
          <w:r>
            <w:fldChar w:fldCharType="separate"/>
          </w:r>
          <w:r>
            <w:rPr>
              <w:rFonts w:ascii="仿宋" w:eastAsia="仿宋" w:hAnsi="仿宋"/>
              <w:sz w:val="24"/>
            </w:rPr>
            <w:t>第16条</w:t>
            <w:tab/>
            <w:t>设施农用地布局要求</w:t>
            <w:tab/>
          </w:r>
          <w:r>
            <w:rPr>
              <w:rFonts w:ascii="仿宋" w:eastAsia="仿宋" w:hAnsi="仿宋"/>
              <w:sz w:val="24"/>
            </w:rPr>
            <w:fldChar w:fldCharType="begin"/>
          </w:r>
          <w:r>
            <w:rPr>
              <w:rFonts w:ascii="仿宋" w:eastAsia="仿宋" w:hAnsi="仿宋"/>
              <w:sz w:val="24"/>
            </w:rPr>
            <w:instrText xml:space="preserve"> PAGEREF _Toc209510460 \h </w:instrText>
          </w:r>
          <w:r>
            <w:rPr>
              <w:rFonts w:ascii="仿宋" w:eastAsia="仿宋" w:hAnsi="仿宋"/>
              <w:sz w:val="24"/>
            </w:rPr>
            <w:fldChar w:fldCharType="separate"/>
          </w:r>
          <w:r>
            <w:rPr>
              <w:rFonts w:ascii="仿宋" w:eastAsia="仿宋" w:hAnsi="仿宋"/>
              <w:sz w:val="24"/>
            </w:rPr>
            <w:t>17</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"_Toc209510461"</w:instrText>
          </w:r>
          <w:r>
            <w:fldChar w:fldCharType="separate"/>
          </w:r>
          <w:r>
            <w:rPr>
              <w:rFonts w:ascii="仿宋" w:eastAsia="仿宋" w:hAnsi="仿宋"/>
              <w:sz w:val="24"/>
            </w:rPr>
            <w:t>第三节</w:t>
            <w:tab/>
            <w:t>建设控制</w:t>
            <w:tab/>
          </w:r>
          <w:r>
            <w:rPr>
              <w:rFonts w:ascii="仿宋" w:eastAsia="仿宋" w:hAnsi="仿宋"/>
              <w:sz w:val="24"/>
            </w:rPr>
            <w:fldChar w:fldCharType="begin"/>
          </w:r>
          <w:r>
            <w:rPr>
              <w:rFonts w:ascii="仿宋" w:eastAsia="仿宋" w:hAnsi="仿宋"/>
              <w:sz w:val="24"/>
            </w:rPr>
            <w:instrText xml:space="preserve"> PAGEREF _Toc209510461 \h </w:instrText>
          </w:r>
          <w:r>
            <w:rPr>
              <w:rFonts w:ascii="仿宋" w:eastAsia="仿宋" w:hAnsi="仿宋"/>
              <w:sz w:val="24"/>
            </w:rPr>
            <w:fldChar w:fldCharType="separate"/>
          </w:r>
          <w:r>
            <w:rPr>
              <w:rFonts w:ascii="仿宋" w:eastAsia="仿宋" w:hAnsi="仿宋"/>
              <w:sz w:val="24"/>
            </w:rPr>
            <w:t>18</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"_Toc209510462"</w:instrText>
          </w:r>
          <w:r>
            <w:fldChar w:fldCharType="separate"/>
          </w:r>
          <w:r>
            <w:rPr>
              <w:rFonts w:ascii="仿宋" w:eastAsia="仿宋" w:hAnsi="仿宋"/>
              <w:sz w:val="24"/>
            </w:rPr>
            <w:t>第17条</w:t>
            <w:tab/>
            <w:t>村庄建设用地建设标准</w:t>
            <w:tab/>
          </w:r>
          <w:r>
            <w:rPr>
              <w:rFonts w:ascii="仿宋" w:eastAsia="仿宋" w:hAnsi="仿宋"/>
              <w:sz w:val="24"/>
            </w:rPr>
            <w:fldChar w:fldCharType="begin"/>
          </w:r>
          <w:r>
            <w:rPr>
              <w:rFonts w:ascii="仿宋" w:eastAsia="仿宋" w:hAnsi="仿宋"/>
              <w:sz w:val="24"/>
            </w:rPr>
            <w:instrText xml:space="preserve"> PAGEREF _Toc209510462 \h </w:instrText>
          </w:r>
          <w:r>
            <w:rPr>
              <w:rFonts w:ascii="仿宋" w:eastAsia="仿宋" w:hAnsi="仿宋"/>
              <w:sz w:val="24"/>
            </w:rPr>
            <w:fldChar w:fldCharType="separate"/>
          </w:r>
          <w:r>
            <w:rPr>
              <w:rFonts w:ascii="仿宋" w:eastAsia="仿宋" w:hAnsi="仿宋"/>
              <w:sz w:val="24"/>
            </w:rPr>
            <w:t>18</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"_Toc209510463"</w:instrText>
          </w:r>
          <w:r>
            <w:fldChar w:fldCharType="separate"/>
          </w:r>
          <w:r>
            <w:rPr>
              <w:rFonts w:ascii="仿宋" w:eastAsia="仿宋" w:hAnsi="仿宋"/>
              <w:sz w:val="24"/>
            </w:rPr>
            <w:t>第18条</w:t>
            <w:tab/>
            <w:t>建筑临距控制</w:t>
            <w:tab/>
          </w:r>
          <w:r>
            <w:rPr>
              <w:rFonts w:ascii="仿宋" w:eastAsia="仿宋" w:hAnsi="仿宋"/>
              <w:sz w:val="24"/>
            </w:rPr>
            <w:fldChar w:fldCharType="begin"/>
          </w:r>
          <w:r>
            <w:rPr>
              <w:rFonts w:ascii="仿宋" w:eastAsia="仿宋" w:hAnsi="仿宋"/>
              <w:sz w:val="24"/>
            </w:rPr>
            <w:instrText xml:space="preserve"> PAGEREF _Toc209510463 \h </w:instrText>
          </w:r>
          <w:r>
            <w:rPr>
              <w:rFonts w:ascii="仿宋" w:eastAsia="仿宋" w:hAnsi="仿宋"/>
              <w:sz w:val="24"/>
            </w:rPr>
            <w:fldChar w:fldCharType="separate"/>
          </w:r>
          <w:r>
            <w:rPr>
              <w:rFonts w:ascii="仿宋" w:eastAsia="仿宋" w:hAnsi="仿宋"/>
              <w:sz w:val="24"/>
            </w:rPr>
            <w:t>22</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"_Toc209510464"</w:instrText>
          </w:r>
          <w:r>
            <w:fldChar w:fldCharType="separate"/>
          </w:r>
          <w:r>
            <w:rPr>
              <w:rFonts w:ascii="仿宋" w:eastAsia="仿宋" w:hAnsi="仿宋"/>
              <w:sz w:val="24"/>
            </w:rPr>
            <w:t>第19条</w:t>
            <w:tab/>
            <w:t>建筑高度控制</w:t>
            <w:tab/>
          </w:r>
          <w:r>
            <w:rPr>
              <w:rFonts w:ascii="仿宋" w:eastAsia="仿宋" w:hAnsi="仿宋"/>
              <w:sz w:val="24"/>
            </w:rPr>
            <w:fldChar w:fldCharType="begin"/>
          </w:r>
          <w:r>
            <w:rPr>
              <w:rFonts w:ascii="仿宋" w:eastAsia="仿宋" w:hAnsi="仿宋"/>
              <w:sz w:val="24"/>
            </w:rPr>
            <w:instrText xml:space="preserve"> PAGEREF _Toc209510464 \h </w:instrText>
          </w:r>
          <w:r>
            <w:rPr>
              <w:rFonts w:ascii="仿宋" w:eastAsia="仿宋" w:hAnsi="仿宋"/>
              <w:sz w:val="24"/>
            </w:rPr>
            <w:fldChar w:fldCharType="separate"/>
          </w:r>
          <w:r>
            <w:rPr>
              <w:rFonts w:ascii="仿宋" w:eastAsia="仿宋" w:hAnsi="仿宋"/>
              <w:sz w:val="24"/>
            </w:rPr>
            <w:t>24</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"_Toc209510465"</w:instrText>
          </w:r>
          <w:r>
            <w:fldChar w:fldCharType="separate"/>
          </w:r>
          <w:r>
            <w:rPr>
              <w:rFonts w:ascii="仿宋" w:eastAsia="仿宋" w:hAnsi="仿宋"/>
              <w:sz w:val="24"/>
            </w:rPr>
            <w:t>第20条</w:t>
            <w:tab/>
            <w:t>建筑风貌控制</w:t>
            <w:tab/>
          </w:r>
          <w:r>
            <w:rPr>
              <w:rFonts w:ascii="仿宋" w:eastAsia="仿宋" w:hAnsi="仿宋"/>
              <w:sz w:val="24"/>
            </w:rPr>
            <w:fldChar w:fldCharType="begin"/>
          </w:r>
          <w:r>
            <w:rPr>
              <w:rFonts w:ascii="仿宋" w:eastAsia="仿宋" w:hAnsi="仿宋"/>
              <w:sz w:val="24"/>
            </w:rPr>
            <w:instrText xml:space="preserve"> PAGEREF _Toc209510465 \h </w:instrText>
          </w:r>
          <w:r>
            <w:rPr>
              <w:rFonts w:ascii="仿宋" w:eastAsia="仿宋" w:hAnsi="仿宋"/>
              <w:sz w:val="24"/>
            </w:rPr>
            <w:fldChar w:fldCharType="separate"/>
          </w:r>
          <w:r>
            <w:rPr>
              <w:rFonts w:ascii="仿宋" w:eastAsia="仿宋" w:hAnsi="仿宋"/>
              <w:sz w:val="24"/>
            </w:rPr>
            <w:t>25</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"_Toc209510466"</w:instrText>
          </w:r>
          <w:r>
            <w:fldChar w:fldCharType="separate"/>
          </w:r>
          <w:r>
            <w:rPr>
              <w:rFonts w:ascii="仿宋" w:eastAsia="仿宋" w:hAnsi="仿宋"/>
              <w:sz w:val="24"/>
            </w:rPr>
            <w:t>第四节</w:t>
            <w:tab/>
            <w:t>其他管控指引</w:t>
            <w:tab/>
          </w:r>
          <w:r>
            <w:rPr>
              <w:rFonts w:ascii="仿宋" w:eastAsia="仿宋" w:hAnsi="仿宋"/>
              <w:sz w:val="24"/>
            </w:rPr>
            <w:fldChar w:fldCharType="begin"/>
          </w:r>
          <w:r>
            <w:rPr>
              <w:rFonts w:ascii="仿宋" w:eastAsia="仿宋" w:hAnsi="仿宋"/>
              <w:sz w:val="24"/>
            </w:rPr>
            <w:instrText xml:space="preserve"> PAGEREF _Toc209510466 \h </w:instrText>
          </w:r>
          <w:r>
            <w:rPr>
              <w:rFonts w:ascii="仿宋" w:eastAsia="仿宋" w:hAnsi="仿宋"/>
              <w:sz w:val="24"/>
            </w:rPr>
            <w:fldChar w:fldCharType="separate"/>
          </w:r>
          <w:r>
            <w:rPr>
              <w:rFonts w:ascii="仿宋" w:eastAsia="仿宋" w:hAnsi="仿宋"/>
              <w:sz w:val="24"/>
            </w:rPr>
            <w:t>25</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"_Toc209510467"</w:instrText>
          </w:r>
          <w:r>
            <w:fldChar w:fldCharType="separate"/>
          </w:r>
          <w:r>
            <w:rPr>
              <w:rFonts w:ascii="仿宋" w:eastAsia="仿宋" w:hAnsi="仿宋"/>
              <w:sz w:val="24"/>
            </w:rPr>
            <w:t>第21条</w:t>
            <w:tab/>
            <w:t>乡村道路管控</w:t>
            <w:tab/>
          </w:r>
          <w:r>
            <w:rPr>
              <w:rFonts w:ascii="仿宋" w:eastAsia="仿宋" w:hAnsi="仿宋"/>
              <w:sz w:val="24"/>
            </w:rPr>
            <w:fldChar w:fldCharType="begin"/>
          </w:r>
          <w:r>
            <w:rPr>
              <w:rFonts w:ascii="仿宋" w:eastAsia="仿宋" w:hAnsi="仿宋"/>
              <w:sz w:val="24"/>
            </w:rPr>
            <w:instrText xml:space="preserve"> PAGEREF _Toc209510467 \h </w:instrText>
          </w:r>
          <w:r>
            <w:rPr>
              <w:rFonts w:ascii="仿宋" w:eastAsia="仿宋" w:hAnsi="仿宋"/>
              <w:sz w:val="24"/>
            </w:rPr>
            <w:fldChar w:fldCharType="separate"/>
          </w:r>
          <w:r>
            <w:rPr>
              <w:rFonts w:ascii="仿宋" w:eastAsia="仿宋" w:hAnsi="仿宋"/>
              <w:sz w:val="24"/>
            </w:rPr>
            <w:t>25</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"_Toc209510468"</w:instrText>
          </w:r>
          <w:r>
            <w:fldChar w:fldCharType="separate"/>
          </w:r>
          <w:r>
            <w:rPr>
              <w:rFonts w:ascii="仿宋" w:eastAsia="仿宋" w:hAnsi="仿宋"/>
              <w:sz w:val="24"/>
            </w:rPr>
            <w:t>第22条</w:t>
            <w:tab/>
            <w:t>历史文化遗产保护管控</w:t>
            <w:tab/>
          </w:r>
          <w:r>
            <w:rPr>
              <w:rFonts w:ascii="仿宋" w:eastAsia="仿宋" w:hAnsi="仿宋"/>
              <w:sz w:val="24"/>
            </w:rPr>
            <w:fldChar w:fldCharType="begin"/>
          </w:r>
          <w:r>
            <w:rPr>
              <w:rFonts w:ascii="仿宋" w:eastAsia="仿宋" w:hAnsi="仿宋"/>
              <w:sz w:val="24"/>
            </w:rPr>
            <w:instrText xml:space="preserve"> PAGEREF _Toc209510468 \h </w:instrText>
          </w:r>
          <w:r>
            <w:rPr>
              <w:rFonts w:ascii="仿宋" w:eastAsia="仿宋" w:hAnsi="仿宋"/>
              <w:sz w:val="24"/>
            </w:rPr>
            <w:fldChar w:fldCharType="separate"/>
          </w:r>
          <w:r>
            <w:rPr>
              <w:rFonts w:ascii="仿宋" w:eastAsia="仿宋" w:hAnsi="仿宋"/>
              <w:sz w:val="24"/>
            </w:rPr>
            <w:t>26</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"_Toc209510469"</w:instrText>
          </w:r>
          <w:r>
            <w:fldChar w:fldCharType="separate"/>
          </w:r>
          <w:r>
            <w:rPr>
              <w:rFonts w:ascii="仿宋" w:eastAsia="仿宋" w:hAnsi="仿宋"/>
              <w:sz w:val="24"/>
            </w:rPr>
            <w:t>第23条</w:t>
            <w:tab/>
            <w:t>滨水区域管控</w:t>
            <w:tab/>
          </w:r>
          <w:r>
            <w:rPr>
              <w:rFonts w:ascii="仿宋" w:eastAsia="仿宋" w:hAnsi="仿宋"/>
              <w:sz w:val="24"/>
            </w:rPr>
            <w:fldChar w:fldCharType="begin"/>
          </w:r>
          <w:r>
            <w:rPr>
              <w:rFonts w:ascii="仿宋" w:eastAsia="仿宋" w:hAnsi="仿宋"/>
              <w:sz w:val="24"/>
            </w:rPr>
            <w:instrText xml:space="preserve"> PAGEREF _Toc209510469 \h </w:instrText>
          </w:r>
          <w:r>
            <w:rPr>
              <w:rFonts w:ascii="仿宋" w:eastAsia="仿宋" w:hAnsi="仿宋"/>
              <w:sz w:val="24"/>
            </w:rPr>
            <w:fldChar w:fldCharType="separate"/>
          </w:r>
          <w:r>
            <w:rPr>
              <w:rFonts w:ascii="仿宋" w:eastAsia="仿宋" w:hAnsi="仿宋"/>
              <w:sz w:val="24"/>
            </w:rPr>
            <w:t>27</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"_Toc209510470"</w:instrText>
          </w:r>
          <w:r>
            <w:fldChar w:fldCharType="separate"/>
          </w:r>
          <w:r>
            <w:rPr>
              <w:rFonts w:ascii="仿宋" w:eastAsia="仿宋" w:hAnsi="仿宋"/>
              <w:sz w:val="24"/>
            </w:rPr>
            <w:t>第24条</w:t>
            <w:tab/>
            <w:t>临山区域管控</w:t>
            <w:tab/>
          </w:r>
          <w:r>
            <w:rPr>
              <w:rFonts w:ascii="仿宋" w:eastAsia="仿宋" w:hAnsi="仿宋"/>
              <w:sz w:val="24"/>
            </w:rPr>
            <w:fldChar w:fldCharType="begin"/>
          </w:r>
          <w:r>
            <w:rPr>
              <w:rFonts w:ascii="仿宋" w:eastAsia="仿宋" w:hAnsi="仿宋"/>
              <w:sz w:val="24"/>
            </w:rPr>
            <w:instrText xml:space="preserve"> PAGEREF _Toc209510470 \h </w:instrText>
          </w:r>
          <w:r>
            <w:rPr>
              <w:rFonts w:ascii="仿宋" w:eastAsia="仿宋" w:hAnsi="仿宋"/>
              <w:sz w:val="24"/>
            </w:rPr>
            <w:fldChar w:fldCharType="separate"/>
          </w:r>
          <w:r>
            <w:rPr>
              <w:rFonts w:ascii="仿宋" w:eastAsia="仿宋" w:hAnsi="仿宋"/>
              <w:sz w:val="24"/>
            </w:rPr>
            <w:t>27</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"_Toc209510471"</w:instrText>
          </w:r>
          <w:r>
            <w:fldChar w:fldCharType="separate"/>
          </w:r>
          <w:r>
            <w:rPr>
              <w:rFonts w:ascii="仿宋" w:eastAsia="仿宋" w:hAnsi="仿宋"/>
              <w:sz w:val="24"/>
            </w:rPr>
            <w:t>第25条</w:t>
            <w:tab/>
            <w:t>国土空间整治与生态修复</w:t>
            <w:tab/>
          </w:r>
          <w:r>
            <w:rPr>
              <w:rFonts w:ascii="仿宋" w:eastAsia="仿宋" w:hAnsi="仿宋"/>
              <w:sz w:val="24"/>
            </w:rPr>
            <w:fldChar w:fldCharType="begin"/>
          </w:r>
          <w:r>
            <w:rPr>
              <w:rFonts w:ascii="仿宋" w:eastAsia="仿宋" w:hAnsi="仿宋"/>
              <w:sz w:val="24"/>
            </w:rPr>
            <w:instrText xml:space="preserve"> PAGEREF _Toc209510471 \h </w:instrText>
          </w:r>
          <w:r>
            <w:rPr>
              <w:rFonts w:ascii="仿宋" w:eastAsia="仿宋" w:hAnsi="仿宋"/>
              <w:sz w:val="24"/>
            </w:rPr>
            <w:fldChar w:fldCharType="separate"/>
          </w:r>
          <w:r>
            <w:rPr>
              <w:rFonts w:ascii="仿宋" w:eastAsia="仿宋" w:hAnsi="仿宋"/>
              <w:sz w:val="24"/>
            </w:rPr>
            <w:t>27</w:t>
          </w:r>
          <w:r>
            <w:rPr>
              <w:rFonts w:ascii="仿宋" w:eastAsia="仿宋" w:hAnsi="仿宋"/>
              <w:sz w:val="24"/>
            </w:rPr>
            <w:fldChar w:fldCharType="end"/>
          </w:r>
          <w:r>
            <w:fldChar w:fldCharType="end"/>
          </w:r>
        </w:p>
        <w:p>
          <w:pPr>
            <w:pStyle w:val="20"/>
            <w:tabs>
              <w:tab w:val="left" w:pos="1050"/>
              <w:tab w:val="right" w:leader="dot" w:pos="8296"/>
            </w:tabs>
            <w:spacing w:line="360" w:lineRule="auto"/>
            <w:rPr>
              <w:rFonts w:ascii="仿宋" w:eastAsia="仿宋" w:hAnsi="仿宋"/>
              <w:sz w:val="24"/>
            </w:rPr>
          </w:pPr>
          <w:r>
            <w:fldChar w:fldCharType="begin"/>
          </w:r>
          <w:r>
            <w:instrText>Hyperlink \l "_Toc209510472"</w:instrText>
          </w:r>
          <w:r>
            <w:fldChar w:fldCharType="separate"/>
          </w:r>
          <w:r>
            <w:rPr>
              <w:rFonts w:ascii="仿宋" w:eastAsia="仿宋" w:hAnsi="仿宋"/>
              <w:sz w:val="24"/>
            </w:rPr>
            <w:t>第四章</w:t>
            <w:tab/>
            <w:t>实施保障</w:t>
            <w:tab/>
          </w:r>
          <w:r>
            <w:rPr>
              <w:rFonts w:ascii="仿宋" w:eastAsia="仿宋" w:hAnsi="仿宋"/>
              <w:sz w:val="24"/>
            </w:rPr>
            <w:fldChar w:fldCharType="begin"/>
          </w:r>
          <w:r>
            <w:rPr>
              <w:rFonts w:ascii="仿宋" w:eastAsia="仿宋" w:hAnsi="仿宋"/>
              <w:sz w:val="24"/>
            </w:rPr>
            <w:instrText xml:space="preserve"> PAGEREF _Toc209510472 \h </w:instrText>
          </w:r>
          <w:r>
            <w:rPr>
              <w:rFonts w:ascii="仿宋" w:eastAsia="仿宋" w:hAnsi="仿宋"/>
              <w:sz w:val="24"/>
            </w:rPr>
            <w:fldChar w:fldCharType="separate"/>
          </w:r>
          <w:r>
            <w:rPr>
              <w:rFonts w:ascii="仿宋" w:eastAsia="仿宋" w:hAnsi="仿宋"/>
              <w:sz w:val="24"/>
            </w:rPr>
            <w:t>28</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"_Toc209510473"</w:instrText>
          </w:r>
          <w:r>
            <w:fldChar w:fldCharType="separate"/>
          </w:r>
          <w:r>
            <w:rPr>
              <w:rFonts w:ascii="仿宋" w:eastAsia="仿宋" w:hAnsi="仿宋"/>
              <w:sz w:val="24"/>
            </w:rPr>
            <w:t>第26条</w:t>
            <w:tab/>
          </w:r>
          <w:r>
            <w:rPr>
              <w:rFonts w:ascii="仿宋" w:eastAsia="仿宋" w:hAnsi="仿宋" w:hint="eastAsia"/>
              <w:sz w:val="24"/>
            </w:rPr>
            <w:t>实施管理</w:t>
          </w:r>
          <w:r>
            <w:rPr>
              <w:rFonts w:ascii="仿宋" w:eastAsia="仿宋" w:hAnsi="仿宋"/>
              <w:sz w:val="24"/>
            </w:rPr>
            <w:tab/>
          </w:r>
          <w:r>
            <w:rPr>
              <w:rFonts w:ascii="仿宋" w:eastAsia="仿宋" w:hAnsi="仿宋"/>
              <w:sz w:val="24"/>
            </w:rPr>
            <w:fldChar w:fldCharType="begin"/>
          </w:r>
          <w:r>
            <w:rPr>
              <w:rFonts w:ascii="仿宋" w:eastAsia="仿宋" w:hAnsi="仿宋"/>
              <w:sz w:val="24"/>
            </w:rPr>
            <w:instrText xml:space="preserve"> PAGEREF _Toc209510473 \h </w:instrText>
          </w:r>
          <w:r>
            <w:rPr>
              <w:rFonts w:ascii="仿宋" w:eastAsia="仿宋" w:hAnsi="仿宋"/>
              <w:sz w:val="24"/>
            </w:rPr>
            <w:fldChar w:fldCharType="separate"/>
          </w:r>
          <w:r>
            <w:rPr>
              <w:rFonts w:ascii="仿宋" w:eastAsia="仿宋" w:hAnsi="仿宋"/>
              <w:sz w:val="24"/>
            </w:rPr>
            <w:t>28</w:t>
          </w:r>
          <w:r>
            <w:rPr>
              <w:rFonts w:ascii="仿宋" w:eastAsia="仿宋" w:hAnsi="仿宋"/>
              <w:sz w:val="24"/>
            </w:rPr>
            <w:fldChar w:fldCharType="end"/>
          </w:r>
          <w:r>
            <w:fldChar w:fldCharType="end"/>
          </w:r>
        </w:p>
        <w:p>
          <w:pPr>
            <w:pStyle w:val="21"/>
            <w:tabs>
              <w:tab w:val="left" w:pos="1470"/>
              <w:tab w:val="right" w:leader="dot" w:pos="8296"/>
            </w:tabs>
            <w:spacing w:line="360" w:lineRule="auto"/>
            <w:rPr>
              <w:rFonts w:ascii="仿宋" w:eastAsia="仿宋" w:hAnsi="仿宋"/>
              <w:sz w:val="24"/>
            </w:rPr>
          </w:pPr>
          <w:r>
            <w:fldChar w:fldCharType="begin"/>
          </w:r>
          <w:r>
            <w:instrText>Hyperlink \l "_Toc209510474"</w:instrText>
          </w:r>
          <w:r>
            <w:fldChar w:fldCharType="separate"/>
          </w:r>
          <w:r>
            <w:rPr>
              <w:rFonts w:ascii="仿宋" w:eastAsia="仿宋" w:hAnsi="仿宋"/>
              <w:sz w:val="24"/>
            </w:rPr>
            <w:t>第27条</w:t>
            <w:tab/>
            <w:t>图则管控</w:t>
            <w:tab/>
          </w:r>
          <w:r>
            <w:rPr>
              <w:rFonts w:ascii="仿宋" w:eastAsia="仿宋" w:hAnsi="仿宋"/>
              <w:sz w:val="24"/>
            </w:rPr>
            <w:fldChar w:fldCharType="begin"/>
          </w:r>
          <w:r>
            <w:rPr>
              <w:rFonts w:ascii="仿宋" w:eastAsia="仿宋" w:hAnsi="仿宋"/>
              <w:sz w:val="24"/>
            </w:rPr>
            <w:instrText xml:space="preserve"> PAGEREF _Toc209510474 \h </w:instrText>
          </w:r>
          <w:r>
            <w:rPr>
              <w:rFonts w:ascii="仿宋" w:eastAsia="仿宋" w:hAnsi="仿宋"/>
              <w:sz w:val="24"/>
            </w:rPr>
            <w:fldChar w:fldCharType="separate"/>
          </w:r>
          <w:r>
            <w:rPr>
              <w:rFonts w:ascii="仿宋" w:eastAsia="仿宋" w:hAnsi="仿宋"/>
              <w:sz w:val="24"/>
            </w:rPr>
            <w:t>29</w:t>
          </w:r>
          <w:r>
            <w:rPr>
              <w:rFonts w:ascii="仿宋" w:eastAsia="仿宋" w:hAnsi="仿宋"/>
              <w:sz w:val="24"/>
            </w:rPr>
            <w:fldChar w:fldCharType="end"/>
          </w:r>
          <w:r>
            <w:fldChar w:fldCharType="end"/>
          </w:r>
        </w:p>
        <w:p>
          <w:pPr>
            <w:pStyle w:val="20"/>
            <w:tabs>
              <w:tab w:val="right" w:leader="dot" w:pos="8296"/>
            </w:tabs>
            <w:spacing w:line="360" w:lineRule="auto"/>
            <w:rPr>
              <w:rFonts w:ascii="仿宋" w:eastAsia="仿宋" w:hAnsi="仿宋"/>
              <w:sz w:val="24"/>
            </w:rPr>
          </w:pPr>
          <w:r>
            <w:fldChar w:fldCharType="begin"/>
          </w:r>
          <w:r>
            <w:instrText>Hyperlink \l "_Toc209510475"</w:instrText>
          </w:r>
          <w:r>
            <w:fldChar w:fldCharType="separate"/>
          </w:r>
          <w:r>
            <w:rPr>
              <w:rFonts w:ascii="仿宋" w:eastAsia="仿宋" w:hAnsi="仿宋"/>
              <w:sz w:val="24"/>
            </w:rPr>
            <w:t>附则</w:t>
            <w:tab/>
          </w:r>
          <w:r>
            <w:rPr>
              <w:rFonts w:ascii="仿宋" w:eastAsia="仿宋" w:hAnsi="仿宋"/>
              <w:sz w:val="24"/>
            </w:rPr>
            <w:fldChar w:fldCharType="begin"/>
          </w:r>
          <w:r>
            <w:rPr>
              <w:rFonts w:ascii="仿宋" w:eastAsia="仿宋" w:hAnsi="仿宋"/>
              <w:sz w:val="24"/>
            </w:rPr>
            <w:instrText xml:space="preserve"> PAGEREF _Toc209510475 \h </w:instrText>
          </w:r>
          <w:r>
            <w:rPr>
              <w:rFonts w:ascii="仿宋" w:eastAsia="仿宋" w:hAnsi="仿宋"/>
              <w:sz w:val="24"/>
            </w:rPr>
            <w:fldChar w:fldCharType="separate"/>
          </w:r>
          <w:r>
            <w:rPr>
              <w:rFonts w:ascii="仿宋" w:eastAsia="仿宋" w:hAnsi="仿宋"/>
              <w:sz w:val="24"/>
            </w:rPr>
            <w:t>30</w:t>
          </w:r>
          <w:r>
            <w:rPr>
              <w:rFonts w:ascii="仿宋" w:eastAsia="仿宋" w:hAnsi="仿宋"/>
              <w:sz w:val="24"/>
            </w:rPr>
            <w:fldChar w:fldCharType="end"/>
          </w:r>
          <w:r>
            <w:fldChar w:fldCharType="end"/>
          </w:r>
        </w:p>
        <w:p>
          <w:pPr>
            <w:pStyle w:val="20"/>
            <w:tabs>
              <w:tab w:val="right" w:leader="dot" w:pos="8296"/>
            </w:tabs>
            <w:spacing w:line="360" w:lineRule="auto"/>
            <w:rPr>
              <w:rFonts w:ascii="仿宋" w:eastAsia="仿宋" w:hAnsi="仿宋"/>
              <w:sz w:val="24"/>
            </w:rPr>
          </w:pPr>
          <w:r>
            <w:fldChar w:fldCharType="begin"/>
          </w:r>
          <w:r>
            <w:instrText>Hyperlink \l "_Toc209510479"</w:instrText>
          </w:r>
          <w:r>
            <w:fldChar w:fldCharType="separate"/>
          </w:r>
          <w:r>
            <w:rPr>
              <w:rFonts w:ascii="仿宋" w:eastAsia="仿宋" w:hAnsi="仿宋"/>
              <w:sz w:val="24"/>
            </w:rPr>
            <w:t>附录</w:t>
            <w:tab/>
          </w:r>
          <w:r>
            <w:rPr>
              <w:rFonts w:ascii="仿宋" w:eastAsia="仿宋" w:hAnsi="仿宋"/>
              <w:sz w:val="24"/>
            </w:rPr>
            <w:fldChar w:fldCharType="begin"/>
          </w:r>
          <w:r>
            <w:rPr>
              <w:rFonts w:ascii="仿宋" w:eastAsia="仿宋" w:hAnsi="仿宋"/>
              <w:sz w:val="24"/>
            </w:rPr>
            <w:instrText xml:space="preserve"> PAGEREF _Toc209510479 \h </w:instrText>
          </w:r>
          <w:r>
            <w:rPr>
              <w:rFonts w:ascii="仿宋" w:eastAsia="仿宋" w:hAnsi="仿宋"/>
              <w:sz w:val="24"/>
            </w:rPr>
            <w:fldChar w:fldCharType="separate"/>
          </w:r>
          <w:r>
            <w:rPr>
              <w:rFonts w:ascii="仿宋" w:eastAsia="仿宋" w:hAnsi="仿宋"/>
              <w:sz w:val="24"/>
            </w:rPr>
            <w:t>32</w:t>
          </w:r>
          <w:r>
            <w:rPr>
              <w:rFonts w:ascii="仿宋" w:eastAsia="仿宋" w:hAnsi="仿宋"/>
              <w:sz w:val="24"/>
            </w:rPr>
            <w:fldChar w:fldCharType="end"/>
          </w:r>
          <w:r>
            <w:fldChar w:fldCharType="end"/>
          </w:r>
        </w:p>
        <w:p>
          <w:pPr>
            <w:pStyle w:val="21"/>
            <w:tabs>
              <w:tab w:val="right" w:leader="dot" w:pos="8296"/>
            </w:tabs>
            <w:spacing w:line="360" w:lineRule="auto"/>
            <w:rPr>
              <w:rFonts w:ascii="仿宋" w:eastAsia="仿宋" w:hAnsi="仿宋"/>
              <w:sz w:val="24"/>
            </w:rPr>
          </w:pPr>
          <w:r>
            <w:fldChar w:fldCharType="begin"/>
          </w:r>
          <w:r>
            <w:instrText>Hyperlink \l "_Toc209510480"</w:instrText>
          </w:r>
          <w:r>
            <w:fldChar w:fldCharType="separate"/>
          </w:r>
          <w:r>
            <w:rPr>
              <w:rFonts w:ascii="仿宋" w:eastAsia="仿宋" w:hAnsi="仿宋"/>
              <w:sz w:val="24"/>
            </w:rPr>
            <w:t>附录1 名词解释</w:t>
            <w:tab/>
          </w:r>
          <w:r>
            <w:rPr>
              <w:rFonts w:ascii="仿宋" w:eastAsia="仿宋" w:hAnsi="仿宋"/>
              <w:sz w:val="24"/>
            </w:rPr>
            <w:fldChar w:fldCharType="begin"/>
          </w:r>
          <w:r>
            <w:rPr>
              <w:rFonts w:ascii="仿宋" w:eastAsia="仿宋" w:hAnsi="仿宋"/>
              <w:sz w:val="24"/>
            </w:rPr>
            <w:instrText xml:space="preserve"> PAGEREF _Toc209510480 \h </w:instrText>
          </w:r>
          <w:r>
            <w:rPr>
              <w:rFonts w:ascii="仿宋" w:eastAsia="仿宋" w:hAnsi="仿宋"/>
              <w:sz w:val="24"/>
            </w:rPr>
            <w:fldChar w:fldCharType="separate"/>
          </w:r>
          <w:r>
            <w:rPr>
              <w:rFonts w:ascii="仿宋" w:eastAsia="仿宋" w:hAnsi="仿宋"/>
              <w:sz w:val="24"/>
            </w:rPr>
            <w:t>32</w:t>
          </w:r>
          <w:r>
            <w:rPr>
              <w:rFonts w:ascii="仿宋" w:eastAsia="仿宋" w:hAnsi="仿宋"/>
              <w:sz w:val="24"/>
            </w:rPr>
            <w:fldChar w:fldCharType="end"/>
          </w:r>
          <w:r>
            <w:fldChar w:fldCharType="end"/>
          </w:r>
        </w:p>
        <w:p>
          <w:pPr>
            <w:pStyle w:val="21"/>
            <w:tabs>
              <w:tab w:val="right" w:leader="dot" w:pos="8296"/>
            </w:tabs>
            <w:spacing w:line="360" w:lineRule="auto"/>
            <w:rPr>
              <w:rFonts w:ascii="仿宋" w:eastAsia="仿宋" w:hAnsi="仿宋"/>
              <w:sz w:val="24"/>
            </w:rPr>
          </w:pPr>
          <w:r>
            <w:fldChar w:fldCharType="begin"/>
          </w:r>
          <w:r>
            <w:instrText>Hyperlink \l "_Toc209510481"</w:instrText>
          </w:r>
          <w:r>
            <w:fldChar w:fldCharType="separate"/>
          </w:r>
          <w:r>
            <w:rPr>
              <w:rFonts w:ascii="仿宋" w:eastAsia="仿宋" w:hAnsi="仿宋"/>
              <w:sz w:val="24"/>
            </w:rPr>
            <w:t>附录2 指标计算规则</w:t>
            <w:tab/>
          </w:r>
          <w:r>
            <w:rPr>
              <w:rFonts w:ascii="仿宋" w:eastAsia="仿宋" w:hAnsi="仿宋"/>
              <w:sz w:val="24"/>
            </w:rPr>
            <w:fldChar w:fldCharType="begin"/>
          </w:r>
          <w:r>
            <w:rPr>
              <w:rFonts w:ascii="仿宋" w:eastAsia="仿宋" w:hAnsi="仿宋"/>
              <w:sz w:val="24"/>
            </w:rPr>
            <w:instrText xml:space="preserve"> PAGEREF _Toc209510481 \h </w:instrText>
          </w:r>
          <w:r>
            <w:rPr>
              <w:rFonts w:ascii="仿宋" w:eastAsia="仿宋" w:hAnsi="仿宋"/>
              <w:sz w:val="24"/>
            </w:rPr>
            <w:fldChar w:fldCharType="separate"/>
          </w:r>
          <w:r>
            <w:rPr>
              <w:rFonts w:ascii="仿宋" w:eastAsia="仿宋" w:hAnsi="仿宋"/>
              <w:sz w:val="24"/>
            </w:rPr>
            <w:t>34</w:t>
          </w:r>
          <w:r>
            <w:rPr>
              <w:rFonts w:ascii="仿宋" w:eastAsia="仿宋" w:hAnsi="仿宋"/>
              <w:sz w:val="24"/>
            </w:rPr>
            <w:fldChar w:fldCharType="end"/>
          </w:r>
          <w:r>
            <w:fldChar w:fldCharType="end"/>
          </w:r>
        </w:p>
        <w:p>
          <w:pPr>
            <w:pStyle w:val="21"/>
            <w:tabs>
              <w:tab w:val="right" w:leader="dot" w:pos="8296"/>
            </w:tabs>
            <w:spacing w:line="360" w:lineRule="auto"/>
            <w:rPr>
              <w:rFonts w:ascii="仿宋" w:eastAsia="仿宋" w:hAnsi="仿宋"/>
              <w:sz w:val="24"/>
            </w:rPr>
          </w:pPr>
          <w:r>
            <w:fldChar w:fldCharType="begin"/>
          </w:r>
          <w:r>
            <w:instrText>Hyperlink \l "_Toc209510482"</w:instrText>
          </w:r>
          <w:r>
            <w:fldChar w:fldCharType="separate"/>
          </w:r>
          <w:r>
            <w:rPr>
              <w:rFonts w:ascii="仿宋" w:eastAsia="仿宋" w:hAnsi="仿宋"/>
              <w:sz w:val="24"/>
            </w:rPr>
            <w:t>附录3 引用法律法规、政策文件和标准规范名录</w:t>
            <w:tab/>
          </w:r>
          <w:r>
            <w:rPr>
              <w:rFonts w:ascii="仿宋" w:eastAsia="仿宋" w:hAnsi="仿宋"/>
              <w:sz w:val="24"/>
            </w:rPr>
            <w:fldChar w:fldCharType="begin"/>
          </w:r>
          <w:r>
            <w:rPr>
              <w:rFonts w:ascii="仿宋" w:eastAsia="仿宋" w:hAnsi="仿宋"/>
              <w:sz w:val="24"/>
            </w:rPr>
            <w:instrText xml:space="preserve"> PAGEREF _Toc209510482 \h </w:instrText>
          </w:r>
          <w:r>
            <w:rPr>
              <w:rFonts w:ascii="仿宋" w:eastAsia="仿宋" w:hAnsi="仿宋"/>
              <w:sz w:val="24"/>
            </w:rPr>
            <w:fldChar w:fldCharType="separate"/>
          </w:r>
          <w:r>
            <w:rPr>
              <w:rFonts w:ascii="仿宋" w:eastAsia="仿宋" w:hAnsi="仿宋"/>
              <w:sz w:val="24"/>
            </w:rPr>
            <w:t>35</w:t>
          </w:r>
          <w:r>
            <w:rPr>
              <w:rFonts w:ascii="仿宋" w:eastAsia="仿宋" w:hAnsi="仿宋"/>
              <w:sz w:val="24"/>
            </w:rPr>
            <w:fldChar w:fldCharType="end"/>
          </w:r>
          <w:r>
            <w:fldChar w:fldCharType="end"/>
          </w:r>
        </w:p>
        <w:p>
          <w:pPr>
            <w:pStyle w:val="20"/>
            <w:tabs>
              <w:tab w:val="right" w:leader="dot" w:pos="8296"/>
            </w:tabs>
            <w:spacing w:line="360" w:lineRule="auto"/>
            <w:rPr>
              <w:rFonts w:ascii="仿宋" w:eastAsia="仿宋" w:hAnsi="仿宋"/>
              <w:sz w:val="24"/>
            </w:rPr>
          </w:pPr>
          <w:r>
            <w:fldChar w:fldCharType="begin"/>
          </w:r>
          <w:r>
            <w:instrText>Hyperlink \l "_Toc209510483"</w:instrText>
          </w:r>
          <w:r>
            <w:fldChar w:fldCharType="separate"/>
          </w:r>
          <w:r>
            <w:rPr>
              <w:rFonts w:ascii="仿宋" w:eastAsia="仿宋" w:hAnsi="仿宋"/>
              <w:sz w:val="24"/>
            </w:rPr>
            <w:t>附表</w:t>
            <w:tab/>
          </w:r>
          <w:r>
            <w:rPr>
              <w:rFonts w:ascii="仿宋" w:eastAsia="仿宋" w:hAnsi="仿宋"/>
              <w:sz w:val="24"/>
            </w:rPr>
            <w:fldChar w:fldCharType="begin"/>
          </w:r>
          <w:r>
            <w:rPr>
              <w:rFonts w:ascii="仿宋" w:eastAsia="仿宋" w:hAnsi="仿宋"/>
              <w:sz w:val="24"/>
            </w:rPr>
            <w:instrText xml:space="preserve"> PAGEREF _Toc209510483 \h </w:instrText>
          </w:r>
          <w:r>
            <w:rPr>
              <w:rFonts w:ascii="仿宋" w:eastAsia="仿宋" w:hAnsi="仿宋"/>
              <w:sz w:val="24"/>
            </w:rPr>
            <w:fldChar w:fldCharType="separate"/>
          </w:r>
          <w:r>
            <w:rPr>
              <w:rFonts w:ascii="仿宋" w:eastAsia="仿宋" w:hAnsi="仿宋"/>
              <w:sz w:val="24"/>
            </w:rPr>
            <w:t>39</w:t>
          </w:r>
          <w:r>
            <w:rPr>
              <w:rFonts w:ascii="仿宋" w:eastAsia="仿宋" w:hAnsi="仿宋"/>
              <w:sz w:val="24"/>
            </w:rPr>
            <w:fldChar w:fldCharType="end"/>
          </w:r>
          <w:r>
            <w:fldChar w:fldCharType="end"/>
          </w:r>
        </w:p>
        <w:p>
          <w:pPr>
            <w:pStyle w:val="21"/>
            <w:tabs>
              <w:tab w:val="right" w:leader="dot" w:pos="8296"/>
            </w:tabs>
            <w:spacing w:line="360" w:lineRule="auto"/>
            <w:rPr>
              <w:rFonts w:ascii="仿宋" w:eastAsia="仿宋" w:hAnsi="仿宋"/>
              <w:sz w:val="24"/>
            </w:rPr>
          </w:pPr>
          <w:r>
            <w:fldChar w:fldCharType="begin"/>
          </w:r>
          <w:r>
            <w:instrText>Hyperlink \l "_Toc209510484"</w:instrText>
          </w:r>
          <w:r>
            <w:fldChar w:fldCharType="separate"/>
          </w:r>
          <w:r>
            <w:rPr>
              <w:rFonts w:ascii="仿宋" w:eastAsia="仿宋" w:hAnsi="仿宋"/>
              <w:sz w:val="24"/>
            </w:rPr>
            <w:t>附表1 钦北区村庄分类一览表</w:t>
            <w:tab/>
          </w:r>
          <w:r>
            <w:rPr>
              <w:rFonts w:ascii="仿宋" w:eastAsia="仿宋" w:hAnsi="仿宋"/>
              <w:sz w:val="24"/>
            </w:rPr>
            <w:fldChar w:fldCharType="begin"/>
          </w:r>
          <w:r>
            <w:rPr>
              <w:rFonts w:ascii="仿宋" w:eastAsia="仿宋" w:hAnsi="仿宋"/>
              <w:sz w:val="24"/>
            </w:rPr>
            <w:instrText xml:space="preserve"> PAGEREF _Toc209510484 \h </w:instrText>
          </w:r>
          <w:r>
            <w:rPr>
              <w:rFonts w:ascii="仿宋" w:eastAsia="仿宋" w:hAnsi="仿宋"/>
              <w:sz w:val="24"/>
            </w:rPr>
            <w:fldChar w:fldCharType="separate"/>
          </w:r>
          <w:r>
            <w:rPr>
              <w:rFonts w:ascii="仿宋" w:eastAsia="仿宋" w:hAnsi="仿宋"/>
              <w:sz w:val="24"/>
            </w:rPr>
            <w:t>39</w:t>
          </w:r>
          <w:r>
            <w:rPr>
              <w:rFonts w:ascii="仿宋" w:eastAsia="仿宋" w:hAnsi="仿宋"/>
              <w:sz w:val="24"/>
            </w:rPr>
            <w:fldChar w:fldCharType="end"/>
          </w:r>
          <w:r>
            <w:fldChar w:fldCharType="end"/>
          </w:r>
        </w:p>
        <w:p>
          <w:pPr>
            <w:pStyle w:val="21"/>
            <w:tabs>
              <w:tab w:val="right" w:leader="dot" w:pos="8296"/>
            </w:tabs>
            <w:spacing w:line="360" w:lineRule="auto"/>
            <w:rPr>
              <w:rFonts w:ascii="仿宋" w:eastAsia="仿宋" w:hAnsi="仿宋"/>
              <w:sz w:val="24"/>
            </w:rPr>
          </w:pPr>
          <w:r>
            <w:fldChar w:fldCharType="begin"/>
          </w:r>
          <w:r>
            <w:instrText>Hyperlink \l "_Toc209510485"</w:instrText>
          </w:r>
          <w:r>
            <w:fldChar w:fldCharType="separate"/>
          </w:r>
          <w:r>
            <w:rPr>
              <w:rFonts w:ascii="仿宋" w:eastAsia="仿宋" w:hAnsi="仿宋"/>
              <w:sz w:val="24"/>
            </w:rPr>
            <w:t>附表2 钦北区村庄建设用地指标分解表</w:t>
            <w:tab/>
          </w:r>
          <w:r>
            <w:rPr>
              <w:rFonts w:ascii="仿宋" w:eastAsia="仿宋" w:hAnsi="仿宋"/>
              <w:sz w:val="24"/>
            </w:rPr>
            <w:fldChar w:fldCharType="begin"/>
          </w:r>
          <w:r>
            <w:rPr>
              <w:rFonts w:ascii="仿宋" w:eastAsia="仿宋" w:hAnsi="仿宋"/>
              <w:sz w:val="24"/>
            </w:rPr>
            <w:instrText xml:space="preserve"> PAGEREF _Toc209510485 \h </w:instrText>
          </w:r>
          <w:r>
            <w:rPr>
              <w:rFonts w:ascii="仿宋" w:eastAsia="仿宋" w:hAnsi="仿宋"/>
              <w:sz w:val="24"/>
            </w:rPr>
            <w:fldChar w:fldCharType="separate"/>
          </w:r>
          <w:r>
            <w:rPr>
              <w:rFonts w:ascii="仿宋" w:eastAsia="仿宋" w:hAnsi="仿宋"/>
              <w:sz w:val="24"/>
            </w:rPr>
            <w:t>40</w:t>
          </w:r>
          <w:r>
            <w:rPr>
              <w:rFonts w:ascii="仿宋" w:eastAsia="仿宋" w:hAnsi="仿宋"/>
              <w:sz w:val="24"/>
            </w:rPr>
            <w:fldChar w:fldCharType="end"/>
          </w:r>
          <w:r>
            <w:fldChar w:fldCharType="end"/>
          </w:r>
        </w:p>
        <w:p>
          <w:pPr>
            <w:pStyle w:val="21"/>
            <w:tabs>
              <w:tab w:val="right" w:leader="dot" w:pos="8296"/>
            </w:tabs>
            <w:spacing w:line="360" w:lineRule="auto"/>
            <w:rPr>
              <w:rFonts w:ascii="仿宋" w:eastAsia="仿宋" w:hAnsi="仿宋"/>
              <w:sz w:val="24"/>
            </w:rPr>
          </w:pPr>
          <w:r>
            <w:fldChar w:fldCharType="begin"/>
          </w:r>
          <w:r>
            <w:instrText>Hyperlink \l "_Toc209510486"</w:instrText>
          </w:r>
          <w:r>
            <w:fldChar w:fldCharType="separate"/>
          </w:r>
          <w:r>
            <w:rPr>
              <w:rFonts w:ascii="仿宋" w:eastAsia="仿宋" w:hAnsi="仿宋"/>
              <w:sz w:val="24"/>
            </w:rPr>
            <w:t>附表3 钦北区历史文化保护资源一览表</w:t>
            <w:tab/>
          </w:r>
          <w:r>
            <w:rPr>
              <w:rFonts w:ascii="仿宋" w:eastAsia="仿宋" w:hAnsi="仿宋"/>
              <w:sz w:val="24"/>
            </w:rPr>
            <w:fldChar w:fldCharType="begin"/>
          </w:r>
          <w:r>
            <w:rPr>
              <w:rFonts w:ascii="仿宋" w:eastAsia="仿宋" w:hAnsi="仿宋"/>
              <w:sz w:val="24"/>
            </w:rPr>
            <w:instrText xml:space="preserve"> PAGEREF _Toc209510486 \h </w:instrText>
          </w:r>
          <w:r>
            <w:rPr>
              <w:rFonts w:ascii="仿宋" w:eastAsia="仿宋" w:hAnsi="仿宋"/>
              <w:sz w:val="24"/>
            </w:rPr>
            <w:fldChar w:fldCharType="separate"/>
          </w:r>
          <w:r>
            <w:rPr>
              <w:rFonts w:ascii="仿宋" w:eastAsia="仿宋" w:hAnsi="仿宋"/>
              <w:sz w:val="24"/>
            </w:rPr>
            <w:t>48</w:t>
          </w:r>
          <w:r>
            <w:rPr>
              <w:rFonts w:ascii="仿宋" w:eastAsia="仿宋" w:hAnsi="仿宋"/>
              <w:sz w:val="24"/>
            </w:rPr>
            <w:fldChar w:fldCharType="end"/>
          </w:r>
          <w:r>
            <w:fldChar w:fldCharType="end"/>
          </w:r>
        </w:p>
        <w:p>
          <w:pPr>
            <w:pStyle w:val="21"/>
            <w:tabs>
              <w:tab w:val="right" w:leader="dot" w:pos="8296"/>
            </w:tabs>
            <w:spacing w:line="360" w:lineRule="auto"/>
            <w:rPr>
              <w:rFonts w:ascii="仿宋" w:eastAsia="仿宋" w:hAnsi="仿宋"/>
              <w:sz w:val="24"/>
            </w:rPr>
          </w:pPr>
          <w:r>
            <w:fldChar w:fldCharType="begin"/>
          </w:r>
          <w:r>
            <w:instrText>Hyperlink \l "_Toc209510487"</w:instrText>
          </w:r>
          <w:r>
            <w:fldChar w:fldCharType="separate"/>
          </w:r>
          <w:r>
            <w:rPr>
              <w:rFonts w:ascii="仿宋" w:eastAsia="仿宋" w:hAnsi="仿宋"/>
              <w:sz w:val="24"/>
            </w:rPr>
            <w:t>附表4 机动指标使用正面清单</w:t>
            <w:tab/>
          </w:r>
          <w:r>
            <w:rPr>
              <w:rFonts w:ascii="仿宋" w:eastAsia="仿宋" w:hAnsi="仿宋"/>
              <w:sz w:val="24"/>
            </w:rPr>
            <w:fldChar w:fldCharType="begin"/>
          </w:r>
          <w:r>
            <w:rPr>
              <w:rFonts w:ascii="仿宋" w:eastAsia="仿宋" w:hAnsi="仿宋"/>
              <w:sz w:val="24"/>
            </w:rPr>
            <w:instrText xml:space="preserve"> PAGEREF _Toc209510487 \h </w:instrText>
          </w:r>
          <w:r>
            <w:rPr>
              <w:rFonts w:ascii="仿宋" w:eastAsia="仿宋" w:hAnsi="仿宋"/>
              <w:sz w:val="24"/>
            </w:rPr>
            <w:fldChar w:fldCharType="separate"/>
          </w:r>
          <w:r>
            <w:rPr>
              <w:rFonts w:ascii="仿宋" w:eastAsia="仿宋" w:hAnsi="仿宋"/>
              <w:sz w:val="24"/>
            </w:rPr>
            <w:t>49</w:t>
          </w:r>
          <w:r>
            <w:rPr>
              <w:rFonts w:ascii="仿宋" w:eastAsia="仿宋" w:hAnsi="仿宋"/>
              <w:sz w:val="24"/>
            </w:rPr>
            <w:fldChar w:fldCharType="end"/>
          </w:r>
          <w:r>
            <w:fldChar w:fldCharType="end"/>
          </w:r>
        </w:p>
        <w:p>
          <w:pPr>
            <w:pStyle w:val="21"/>
            <w:tabs>
              <w:tab w:val="right" w:leader="dot" w:pos="8296"/>
            </w:tabs>
            <w:spacing w:line="360" w:lineRule="auto"/>
            <w:rPr>
              <w:rFonts w:ascii="仿宋" w:eastAsia="仿宋" w:hAnsi="仿宋"/>
              <w:sz w:val="24"/>
            </w:rPr>
          </w:pPr>
          <w:r>
            <w:fldChar w:fldCharType="begin"/>
          </w:r>
          <w:r>
            <w:instrText>Hyperlink \l "_Toc209510488"</w:instrText>
          </w:r>
          <w:r>
            <w:fldChar w:fldCharType="separate"/>
          </w:r>
          <w:r>
            <w:rPr>
              <w:rFonts w:ascii="仿宋" w:eastAsia="仿宋" w:hAnsi="仿宋"/>
              <w:sz w:val="24"/>
            </w:rPr>
            <w:t>附表5 乡村建设行为负面清单</w:t>
            <w:tab/>
          </w:r>
          <w:r>
            <w:rPr>
              <w:rFonts w:ascii="仿宋" w:eastAsia="仿宋" w:hAnsi="仿宋"/>
              <w:sz w:val="24"/>
            </w:rPr>
            <w:fldChar w:fldCharType="begin"/>
          </w:r>
          <w:r>
            <w:rPr>
              <w:rFonts w:ascii="仿宋" w:eastAsia="仿宋" w:hAnsi="仿宋"/>
              <w:sz w:val="24"/>
            </w:rPr>
            <w:instrText xml:space="preserve"> PAGEREF _Toc209510488 \h </w:instrText>
          </w:r>
          <w:r>
            <w:rPr>
              <w:rFonts w:ascii="仿宋" w:eastAsia="仿宋" w:hAnsi="仿宋"/>
              <w:sz w:val="24"/>
            </w:rPr>
            <w:fldChar w:fldCharType="separate"/>
          </w:r>
          <w:r>
            <w:rPr>
              <w:rFonts w:ascii="仿宋" w:eastAsia="仿宋" w:hAnsi="仿宋"/>
              <w:sz w:val="24"/>
            </w:rPr>
            <w:t>50</w:t>
          </w:r>
          <w:r>
            <w:rPr>
              <w:rFonts w:ascii="仿宋" w:eastAsia="仿宋" w:hAnsi="仿宋"/>
              <w:sz w:val="24"/>
            </w:rPr>
            <w:fldChar w:fldCharType="end"/>
          </w:r>
          <w:r>
            <w:fldChar w:fldCharType="end"/>
          </w:r>
        </w:p>
        <w:p>
          <w:pPr>
            <w:pStyle w:val="21"/>
            <w:tabs>
              <w:tab w:val="right" w:leader="dot" w:pos="8296"/>
            </w:tabs>
            <w:spacing w:line="360" w:lineRule="auto"/>
            <w:rPr>
              <w:rFonts w:ascii="仿宋" w:eastAsia="仿宋" w:hAnsi="仿宋"/>
              <w:sz w:val="24"/>
            </w:rPr>
          </w:pPr>
          <w:r>
            <w:fldChar w:fldCharType="begin"/>
          </w:r>
          <w:r>
            <w:instrText>Hyperlink \l "_Toc209510489"</w:instrText>
          </w:r>
          <w:r>
            <w:fldChar w:fldCharType="separate"/>
          </w:r>
          <w:r>
            <w:rPr>
              <w:rFonts w:ascii="仿宋" w:eastAsia="仿宋" w:hAnsi="仿宋"/>
              <w:sz w:val="24"/>
            </w:rPr>
            <w:t>附表6 乡村产业准入清单</w:t>
            <w:tab/>
          </w:r>
          <w:r>
            <w:rPr>
              <w:rFonts w:ascii="仿宋" w:eastAsia="仿宋" w:hAnsi="仿宋"/>
              <w:sz w:val="24"/>
            </w:rPr>
            <w:fldChar w:fldCharType="begin"/>
          </w:r>
          <w:r>
            <w:rPr>
              <w:rFonts w:ascii="仿宋" w:eastAsia="仿宋" w:hAnsi="仿宋"/>
              <w:sz w:val="24"/>
            </w:rPr>
            <w:instrText xml:space="preserve"> PAGEREF _Toc209510489 \h </w:instrText>
          </w:r>
          <w:r>
            <w:rPr>
              <w:rFonts w:ascii="仿宋" w:eastAsia="仿宋" w:hAnsi="仿宋"/>
              <w:sz w:val="24"/>
            </w:rPr>
            <w:fldChar w:fldCharType="separate"/>
          </w:r>
          <w:r>
            <w:rPr>
              <w:rFonts w:ascii="仿宋" w:eastAsia="仿宋" w:hAnsi="仿宋"/>
              <w:sz w:val="24"/>
            </w:rPr>
            <w:t>51</w:t>
          </w:r>
          <w:r>
            <w:rPr>
              <w:rFonts w:ascii="仿宋" w:eastAsia="仿宋" w:hAnsi="仿宋"/>
              <w:sz w:val="24"/>
            </w:rPr>
            <w:fldChar w:fldCharType="end"/>
          </w:r>
          <w:r>
            <w:fldChar w:fldCharType="end"/>
          </w:r>
        </w:p>
        <w:p>
          <w:pPr>
            <w:spacing w:line="360" w:lineRule="auto"/>
            <w:ind w:firstLine="720"/>
            <w:jc w:val="center"/>
            <w:rPr>
              <w:rFonts w:ascii="仿宋" w:eastAsia="仿宋" w:cs="Times New Roman" w:hAnsi="仿宋"/>
              <w:sz w:val="24"/>
            </w:rPr>
          </w:pPr>
          <w:r>
            <w:rPr>
              <w:rFonts w:ascii="仿宋" w:eastAsia="仿宋" w:cs="Times New Roman" w:hAnsi="仿宋"/>
              <w:sz w:val="24"/>
            </w:rPr>
            <w:fldChar w:fldCharType="end"/>
          </w:r>
        </w:p>
      </w:sdtContent>
    </w:sdt>
    <w:p>
      <w:pPr>
        <w:pStyle w:val="1"/>
        <w:ind w:firstLine="643"/>
        <w:sectPr>
          <w:footerReference w:type="default" r:id="rId3"/>
          <w:pgSz w:w="11906" w:h="16838"/>
          <w:pgMar w:top="1440" w:right="1800" w:bottom="1440" w:left="1800" w:header="851" w:footer="992" w:gutter="0"/>
          <w:pgNumType w:start="1"/>
          <w:docGrid w:type="lines" w:linePitch="312" w:charSpace="0"/>
        </w:sectPr>
      </w:pPr>
    </w:p>
    <w:p>
      <w:pPr>
        <w:pStyle w:val="1"/>
        <w:ind w:firstLine="643"/>
      </w:pPr>
      <w:bookmarkStart w:id="26" w:name="_Toc209510440"/>
      <w:r>
        <w:rPr>
          <w:rFonts w:hint="eastAsia"/>
        </w:rPr>
        <w:t>总则</w:t>
      </w:r>
      <w:bookmarkEnd w:id="26"/>
    </w:p>
    <w:p>
      <w:pPr>
        <w:pStyle w:val="2"/>
        <w:ind w:left="0" w:firstLineChars="200" w:firstLine="640"/>
      </w:pPr>
      <w:bookmarkStart w:id="27" w:name="_Toc209510441"/>
      <w:bookmarkStart w:id="28" w:name="_Toc29822"/>
      <w:r>
        <w:t>制定目的</w:t>
      </w:r>
      <w:bookmarkEnd w:id="27"/>
      <w:bookmarkEnd w:id="28"/>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根据《广西壮族自治区自然资源厅办公室关于印发</w:t>
      </w:r>
      <w:r>
        <w:rPr>
          <w:rFonts w:ascii="Times New Roman" w:eastAsia="仿宋" w:cs="Times New Roman" w:hAnsi="Times New Roman" w:hint="eastAsia"/>
          <w:sz w:val="32"/>
          <w:szCs w:val="32"/>
        </w:rPr>
        <w:t>〈</w:t>
      </w:r>
      <w:r>
        <w:rPr>
          <w:rFonts w:ascii="Times New Roman" w:eastAsia="仿宋" w:cs="Times New Roman" w:hAnsi="Times New Roman"/>
          <w:sz w:val="32"/>
          <w:szCs w:val="32"/>
        </w:rPr>
        <w:t>广西壮族自治区乡村地区“通则式”规划管理规定编制指引（试行）</w:t>
      </w:r>
      <w:r>
        <w:rPr>
          <w:rFonts w:ascii="Times New Roman" w:eastAsia="仿宋" w:cs="Times New Roman" w:hAnsi="Times New Roman" w:hint="eastAsia"/>
          <w:sz w:val="32"/>
          <w:szCs w:val="32"/>
        </w:rPr>
        <w:t>〉</w:t>
      </w:r>
      <w:r>
        <w:rPr>
          <w:rFonts w:ascii="Times New Roman" w:eastAsia="仿宋" w:cs="Times New Roman" w:hAnsi="Times New Roman"/>
          <w:sz w:val="32"/>
          <w:szCs w:val="32"/>
        </w:rPr>
        <w:t>的通知》（桂自然资办〔2024〕196号）要求，为规范</w:t>
      </w:r>
      <w:r>
        <w:rPr>
          <w:rFonts w:ascii="Times New Roman" w:eastAsia="仿宋" w:cs="Times New Roman" w:hAnsi="Times New Roman" w:hint="eastAsia"/>
          <w:sz w:val="32"/>
          <w:szCs w:val="32"/>
        </w:rPr>
        <w:t>管理钦北区</w:t>
      </w:r>
      <w:r>
        <w:rPr>
          <w:rFonts w:ascii="Times New Roman" w:eastAsia="仿宋" w:cs="Times New Roman" w:hAnsi="Times New Roman"/>
          <w:sz w:val="32"/>
          <w:szCs w:val="32"/>
        </w:rPr>
        <w:t>乡村地区</w:t>
      </w:r>
      <w:r>
        <w:rPr>
          <w:rFonts w:ascii="Times New Roman" w:eastAsia="仿宋" w:cs="Times New Roman" w:hAnsi="Times New Roman" w:hint="eastAsia"/>
          <w:sz w:val="32"/>
          <w:szCs w:val="32"/>
        </w:rPr>
        <w:t>建设活动</w:t>
      </w:r>
      <w:r>
        <w:rPr>
          <w:rFonts w:ascii="Times New Roman" w:eastAsia="仿宋" w:cs="Times New Roman" w:hAnsi="Times New Roman"/>
          <w:sz w:val="32"/>
          <w:szCs w:val="32"/>
        </w:rPr>
        <w:t>，解决村庄规划未覆盖的乡村地区空间规划管理、核发规划许可的问题，指导乡村地区村民住房、公共服务设施、市政公用设施、乡村产业等项目建设，统筹安排村庄建设用地规模，结合</w:t>
      </w:r>
      <w:r>
        <w:rPr>
          <w:rFonts w:ascii="Times New Roman" w:eastAsia="仿宋" w:cs="Times New Roman" w:hAnsi="Times New Roman" w:hint="eastAsia"/>
          <w:sz w:val="32"/>
          <w:szCs w:val="32"/>
        </w:rPr>
        <w:t>钦北区</w:t>
      </w:r>
      <w:r>
        <w:rPr>
          <w:rFonts w:ascii="Times New Roman" w:eastAsia="仿宋" w:cs="Times New Roman" w:hAnsi="Times New Roman"/>
          <w:sz w:val="32"/>
          <w:szCs w:val="32"/>
        </w:rPr>
        <w:t>村庄特点和实际需要，制定本“通则式”规划管理规定（以下简称“通则”）。</w:t>
      </w:r>
    </w:p>
    <w:p>
      <w:pPr>
        <w:pStyle w:val="2"/>
        <w:ind w:left="0" w:firstLineChars="200" w:firstLine="640"/>
      </w:pPr>
      <w:bookmarkStart w:id="29" w:name="_Toc209510442"/>
      <w:bookmarkStart w:id="30" w:name="_Toc2156"/>
      <w:r>
        <w:rPr>
          <w:rFonts w:hint="eastAsia"/>
        </w:rPr>
        <w:t>制定依据</w:t>
      </w:r>
      <w:bookmarkEnd w:id="29"/>
      <w:bookmarkEnd w:id="30"/>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本通则以</w:t>
      </w:r>
      <w:r>
        <w:rPr>
          <w:rFonts w:ascii="Times New Roman" w:eastAsia="仿宋" w:cs="Times New Roman" w:hAnsi="Times New Roman"/>
          <w:sz w:val="32"/>
          <w:szCs w:val="32"/>
        </w:rPr>
        <w:t>国家和地方相关法律法规、标准规范</w:t>
      </w:r>
      <w:r>
        <w:rPr>
          <w:rFonts w:ascii="Times New Roman" w:eastAsia="仿宋" w:cs="Times New Roman" w:hAnsi="Times New Roman" w:hint="eastAsia"/>
          <w:sz w:val="32"/>
          <w:szCs w:val="32"/>
        </w:rPr>
        <w:t>、</w:t>
      </w:r>
      <w:r>
        <w:rPr>
          <w:rFonts w:ascii="Times New Roman" w:eastAsia="仿宋" w:cs="Times New Roman" w:hAnsi="Times New Roman"/>
          <w:sz w:val="32"/>
          <w:szCs w:val="32"/>
        </w:rPr>
        <w:t>政策文件等为依据（详见</w:t>
      </w:r>
      <w:r>
        <w:rPr>
          <w:rFonts w:ascii="Times New Roman" w:eastAsia="仿宋" w:cs="Times New Roman" w:hAnsi="Times New Roman" w:hint="eastAsia"/>
          <w:sz w:val="32"/>
          <w:szCs w:val="32"/>
        </w:rPr>
        <w:t>附录3</w:t>
      </w:r>
      <w:r>
        <w:rPr>
          <w:rFonts w:ascii="Times New Roman" w:eastAsia="仿宋" w:cs="Times New Roman" w:hAnsi="Times New Roman"/>
          <w:sz w:val="32"/>
          <w:szCs w:val="32"/>
        </w:rPr>
        <w:t>）</w:t>
      </w:r>
      <w:r>
        <w:rPr>
          <w:rFonts w:ascii="Times New Roman" w:eastAsia="仿宋" w:cs="Times New Roman" w:hAnsi="Times New Roman" w:hint="eastAsia"/>
          <w:sz w:val="32"/>
          <w:szCs w:val="32"/>
        </w:rPr>
        <w:t>。</w:t>
      </w:r>
    </w:p>
    <w:p>
      <w:pPr>
        <w:pStyle w:val="2"/>
        <w:ind w:left="0" w:firstLineChars="200" w:firstLine="640"/>
      </w:pPr>
      <w:bookmarkStart w:id="31" w:name="_Toc19553"/>
      <w:bookmarkStart w:id="32" w:name="_Toc209510443"/>
      <w:r>
        <w:t>适用范围</w:t>
      </w:r>
      <w:bookmarkEnd w:id="31"/>
      <w:bookmarkEnd w:id="32"/>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本通则适用</w:t>
      </w:r>
      <w:r>
        <w:rPr>
          <w:rFonts w:ascii="Times New Roman" w:eastAsia="仿宋" w:cs="Times New Roman" w:hAnsi="Times New Roman"/>
          <w:sz w:val="32"/>
          <w:szCs w:val="32"/>
        </w:rPr>
        <w:t>于</w:t>
      </w:r>
      <w:r>
        <w:rPr>
          <w:rFonts w:ascii="Times New Roman" w:eastAsia="仿宋" w:cs="Times New Roman" w:hAnsi="Times New Roman" w:hint="eastAsia"/>
          <w:sz w:val="32"/>
          <w:szCs w:val="32"/>
        </w:rPr>
        <w:t>钦北区</w:t>
      </w:r>
      <w:r>
        <w:rPr>
          <w:rFonts w:ascii="Times New Roman" w:eastAsia="仿宋" w:cs="Times New Roman" w:hAnsi="Times New Roman"/>
          <w:sz w:val="32"/>
          <w:szCs w:val="32"/>
        </w:rPr>
        <w:t>城镇开发边界外乡村地区建设项目的规划管控，主要包括乡村地区的村民住房、</w:t>
      </w:r>
      <w:r>
        <w:rPr>
          <w:rFonts w:ascii="Times New Roman" w:eastAsia="仿宋" w:cs="Times New Roman" w:hAnsi="Times New Roman" w:hint="eastAsia"/>
          <w:sz w:val="32"/>
          <w:szCs w:val="32"/>
        </w:rPr>
        <w:t>市政公用设施</w:t>
      </w:r>
      <w:r>
        <w:rPr>
          <w:rFonts w:ascii="Times New Roman" w:eastAsia="仿宋" w:cs="Times New Roman" w:hAnsi="Times New Roman"/>
          <w:sz w:val="32"/>
          <w:szCs w:val="32"/>
        </w:rPr>
        <w:t>和公共服务设施、乡村产业发展等项目。</w:t>
      </w:r>
    </w:p>
    <w:p>
      <w:pPr>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乡村地区未编制村庄规划的区域，依据</w:t>
      </w:r>
      <w:r>
        <w:rPr>
          <w:rFonts w:ascii="Times New Roman" w:eastAsia="仿宋" w:cs="Times New Roman" w:hAnsi="Times New Roman" w:hint="eastAsia"/>
          <w:sz w:val="32"/>
          <w:szCs w:val="32"/>
        </w:rPr>
        <w:t>本通则</w:t>
      </w:r>
      <w:r>
        <w:rPr>
          <w:rFonts w:ascii="Times New Roman" w:eastAsia="仿宋" w:cs="Times New Roman" w:hAnsi="Times New Roman"/>
          <w:sz w:val="32"/>
          <w:szCs w:val="32"/>
        </w:rPr>
        <w:t>核发规划许可</w:t>
      </w:r>
      <w:r>
        <w:rPr>
          <w:rFonts w:ascii="Times New Roman" w:eastAsia="仿宋" w:cs="Times New Roman" w:hAnsi="Times New Roman" w:hint="eastAsia"/>
          <w:sz w:val="32"/>
          <w:szCs w:val="32"/>
        </w:rPr>
        <w:t>，国有农林场等特殊行政单元可依据本通则核发规划许可。</w:t>
      </w:r>
      <w:r>
        <w:rPr>
          <w:rFonts w:ascii="Times New Roman" w:eastAsia="仿宋" w:cs="Times New Roman" w:hAnsi="Times New Roman"/>
          <w:sz w:val="32"/>
          <w:szCs w:val="32"/>
        </w:rPr>
        <w:t>涉及农用地转用审批的，按照国家和自治区有关规定办理。</w:t>
      </w:r>
    </w:p>
    <w:p>
      <w:pPr>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乡村地区已编制审批村庄规划的区域，以村庄规划作为用途管制及核发规划许可的依据；或结合</w:t>
      </w:r>
      <w:r>
        <w:rPr>
          <w:rFonts w:ascii="Times New Roman" w:eastAsia="仿宋" w:cs="Times New Roman" w:hAnsi="Times New Roman" w:hint="eastAsia"/>
          <w:sz w:val="32"/>
          <w:szCs w:val="32"/>
        </w:rPr>
        <w:t>本通则</w:t>
      </w:r>
      <w:r>
        <w:rPr>
          <w:rFonts w:ascii="Times New Roman" w:eastAsia="仿宋" w:cs="Times New Roman" w:hAnsi="Times New Roman"/>
          <w:sz w:val="32"/>
          <w:szCs w:val="32"/>
        </w:rPr>
        <w:t>核发规划许可。</w:t>
      </w:r>
    </w:p>
    <w:p>
      <w:pPr>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通则印发实施后，若</w:t>
      </w:r>
      <w:r>
        <w:rPr>
          <w:rFonts w:ascii="Times New Roman" w:eastAsia="仿宋" w:cs="Times New Roman" w:hAnsi="Times New Roman" w:hint="eastAsia"/>
          <w:sz w:val="32"/>
          <w:szCs w:val="32"/>
        </w:rPr>
        <w:t>通则中</w:t>
      </w:r>
      <w:r>
        <w:rPr>
          <w:rFonts w:ascii="Times New Roman" w:eastAsia="仿宋" w:cs="Times New Roman" w:hAnsi="Times New Roman"/>
          <w:sz w:val="32"/>
          <w:szCs w:val="32"/>
        </w:rPr>
        <w:t>条文内容无法满足具体项目建设管控要求的，可在通则的基础上另行编制乡村地区重点地块图则</w:t>
      </w:r>
      <w:r>
        <w:rPr>
          <w:rFonts w:ascii="Times New Roman" w:eastAsia="仿宋" w:cs="Times New Roman" w:hAnsi="Times New Roman" w:hint="eastAsia"/>
          <w:sz w:val="32"/>
          <w:szCs w:val="32"/>
        </w:rPr>
        <w:t>，</w:t>
      </w:r>
      <w:r>
        <w:rPr>
          <w:rFonts w:ascii="Times New Roman" w:eastAsia="仿宋" w:cs="Times New Roman" w:hAnsi="Times New Roman"/>
          <w:sz w:val="32"/>
          <w:szCs w:val="32"/>
        </w:rPr>
        <w:t>作为核发规划许可的依据。</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列入乡村振兴规划、计划或项目库的农村生活污水处理、垃圾储运、粪污处理、公共厕所等农村人居环境建设项目，村内道路等基础设施项目和农村给排水、供电、供气、通讯、文化体育等小型（项目用地面积不超过</w:t>
      </w:r>
      <w:r>
        <w:rPr>
          <w:rFonts w:ascii="Times New Roman" w:eastAsia="仿宋" w:cs="Times New Roman" w:hAnsi="Times New Roman"/>
          <w:sz w:val="32"/>
          <w:szCs w:val="32"/>
        </w:rPr>
        <w:t xml:space="preserve">400 </w:t>
      </w:r>
      <w:r>
        <w:rPr>
          <w:rFonts w:ascii="Times New Roman" w:eastAsia="仿宋" w:cs="Times New Roman" w:hAnsi="Times New Roman" w:hint="eastAsia"/>
          <w:sz w:val="32"/>
          <w:szCs w:val="32"/>
        </w:rPr>
        <w:t>平方米，但露天篮球场不受此面积限制）零星公用公服设施，符合国土空间规划和用途管制规则，满足有关法律法规、有关标准规范和技术规定要求的，按规定报备后可免于办理乡村建设规划许可手续。</w:t>
      </w:r>
    </w:p>
    <w:p>
      <w:pPr>
        <w:pStyle w:val="1"/>
        <w:ind w:firstLine="643"/>
      </w:pPr>
      <w:bookmarkStart w:id="33" w:name="_Toc19001"/>
      <w:bookmarkStart w:id="34" w:name="_Toc209510444"/>
      <w:r>
        <w:t>村庄概况</w:t>
      </w:r>
      <w:bookmarkEnd w:id="33"/>
      <w:bookmarkEnd w:id="34"/>
    </w:p>
    <w:p>
      <w:pPr>
        <w:pStyle w:val="2"/>
        <w:ind w:left="0" w:firstLineChars="200" w:firstLine="640"/>
      </w:pPr>
      <w:bookmarkStart w:id="35" w:name="_Toc209510445"/>
      <w:bookmarkStart w:id="36" w:name="_Toc22713"/>
      <w:r>
        <w:rPr>
          <w:rFonts w:hint="eastAsia"/>
        </w:rPr>
        <w:t>镇村体系</w:t>
      </w:r>
      <w:bookmarkEnd w:id="35"/>
    </w:p>
    <w:p>
      <w:pPr>
        <w:widowControl/>
        <w:snapToGrid w:val="0"/>
        <w:spacing w:line="560" w:lineRule="exact"/>
        <w:ind w:firstLineChars="200" w:firstLine="640"/>
        <w:rPr>
          <w:rFonts w:ascii="Times New Roman" w:cs="Times New Roman" w:hAnsi="Times New Roman"/>
          <w:szCs w:val="32"/>
        </w:rPr>
      </w:pPr>
      <w:r>
        <w:rPr>
          <w:rFonts w:ascii="Times New Roman" w:eastAsia="仿宋" w:cs="Times New Roman" w:hAnsi="Times New Roman" w:hint="eastAsia"/>
          <w:sz w:val="32"/>
          <w:szCs w:val="32"/>
        </w:rPr>
        <w:t>根据已批复的《钦州市国土空间总体规划（2</w:t>
      </w:r>
      <w:r>
        <w:rPr>
          <w:rFonts w:ascii="Times New Roman" w:eastAsia="仿宋" w:cs="Times New Roman" w:hAnsi="Times New Roman"/>
          <w:sz w:val="32"/>
          <w:szCs w:val="32"/>
        </w:rPr>
        <w:t>021</w:t>
      </w:r>
      <w:r>
        <w:rPr>
          <w:rFonts w:ascii="Times New Roman" w:eastAsia="仿宋" w:cs="Times New Roman" w:hAnsi="Times New Roman" w:hint="eastAsia"/>
          <w:sz w:val="32"/>
          <w:szCs w:val="32"/>
        </w:rPr>
        <w:t>-</w:t>
      </w:r>
      <w:r>
        <w:rPr>
          <w:rFonts w:ascii="Times New Roman" w:eastAsia="仿宋" w:cs="Times New Roman" w:hAnsi="Times New Roman"/>
          <w:sz w:val="32"/>
          <w:szCs w:val="32"/>
        </w:rPr>
        <w:t>2035</w:t>
      </w:r>
      <w:r>
        <w:rPr>
          <w:rFonts w:ascii="Times New Roman" w:eastAsia="仿宋" w:cs="Times New Roman" w:hAnsi="Times New Roman" w:hint="eastAsia"/>
          <w:sz w:val="32"/>
          <w:szCs w:val="32"/>
        </w:rPr>
        <w:t>年）》，钦州市形成“市域中心城市—市域副中心城市—重点镇—一般镇”四级城镇体系。钦北区长田街道、鸿亭街道、子材街道位于市域中心城市范围，大垌镇、小董镇、大寺镇为重点镇，其余为一般镇。</w:t>
      </w:r>
    </w:p>
    <w:p>
      <w:pPr>
        <w:pStyle w:val="2"/>
        <w:ind w:left="0" w:firstLineChars="200" w:firstLine="640"/>
      </w:pPr>
      <w:bookmarkStart w:id="37" w:name="_Toc209510446"/>
      <w:r>
        <w:rPr>
          <w:rFonts w:hint="eastAsia"/>
        </w:rPr>
        <w:t>村庄分类</w:t>
      </w:r>
      <w:bookmarkEnd w:id="36"/>
      <w:bookmarkEnd w:id="37"/>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钦北区</w:t>
      </w:r>
      <w:r>
        <w:rPr>
          <w:rFonts w:ascii="Times New Roman" w:eastAsia="仿宋" w:cs="Times New Roman" w:hAnsi="Times New Roman"/>
          <w:sz w:val="32"/>
          <w:szCs w:val="32"/>
        </w:rPr>
        <w:t>共14个乡镇</w:t>
      </w:r>
      <w:r>
        <w:rPr>
          <w:rFonts w:ascii="Times New Roman" w:eastAsia="仿宋" w:cs="Times New Roman" w:hAnsi="Times New Roman" w:hint="eastAsia"/>
          <w:sz w:val="32"/>
          <w:szCs w:val="32"/>
        </w:rPr>
        <w:t>（含街道）</w:t>
      </w:r>
      <w:r>
        <w:rPr>
          <w:rFonts w:ascii="Times New Roman" w:eastAsia="仿宋" w:cs="Times New Roman" w:hAnsi="Times New Roman"/>
          <w:sz w:val="32"/>
          <w:szCs w:val="32"/>
        </w:rPr>
        <w:t>，193个行政村（包含社区</w:t>
      </w:r>
      <w:r>
        <w:rPr>
          <w:rFonts w:ascii="Times New Roman" w:eastAsia="仿宋" w:cs="Times New Roman" w:hAnsi="Times New Roman" w:hint="eastAsia"/>
          <w:sz w:val="32"/>
          <w:szCs w:val="32"/>
        </w:rPr>
        <w:t>、国有农林场</w:t>
      </w:r>
      <w:r>
        <w:rPr>
          <w:rFonts w:ascii="Times New Roman" w:eastAsia="仿宋" w:cs="Times New Roman" w:hAnsi="Times New Roman"/>
          <w:sz w:val="32"/>
          <w:szCs w:val="32"/>
        </w:rPr>
        <w:t>）</w:t>
      </w:r>
      <w:r>
        <w:rPr>
          <w:rFonts w:ascii="Times New Roman" w:eastAsia="仿宋" w:cs="Times New Roman" w:hAnsi="Times New Roman" w:hint="eastAsia"/>
          <w:sz w:val="32"/>
          <w:szCs w:val="32"/>
        </w:rPr>
        <w:t>。</w:t>
      </w:r>
      <w:r>
        <w:rPr>
          <w:rFonts w:ascii="Times New Roman" w:eastAsia="仿宋" w:cs="Times New Roman" w:hAnsi="Times New Roman"/>
          <w:sz w:val="32"/>
          <w:szCs w:val="32"/>
        </w:rPr>
        <w:t>根据已批复的《</w:t>
      </w:r>
      <w:r>
        <w:rPr>
          <w:rFonts w:ascii="Times New Roman" w:eastAsia="仿宋" w:cs="Times New Roman" w:hAnsi="Times New Roman" w:hint="eastAsia"/>
          <w:sz w:val="32"/>
          <w:szCs w:val="32"/>
        </w:rPr>
        <w:t>钦州市</w:t>
      </w:r>
      <w:r>
        <w:rPr>
          <w:rFonts w:ascii="Times New Roman" w:eastAsia="仿宋" w:cs="Times New Roman" w:hAnsi="Times New Roman"/>
          <w:sz w:val="32"/>
          <w:szCs w:val="32"/>
        </w:rPr>
        <w:t>国土空间总体规划（2021</w:t>
      </w:r>
      <w:r>
        <w:rPr>
          <w:rFonts w:ascii="Times New Roman" w:eastAsia="仿宋" w:cs="Times New Roman" w:hAnsi="Times New Roman" w:hint="eastAsia"/>
          <w:sz w:val="32"/>
          <w:szCs w:val="32"/>
        </w:rPr>
        <w:t>—</w:t>
      </w:r>
      <w:r>
        <w:rPr>
          <w:rFonts w:ascii="Times New Roman" w:eastAsia="仿宋" w:cs="Times New Roman" w:hAnsi="Times New Roman"/>
          <w:sz w:val="32"/>
          <w:szCs w:val="32"/>
        </w:rPr>
        <w:t>2035年）》，</w:t>
      </w:r>
      <w:r>
        <w:rPr>
          <w:rFonts w:ascii="Times New Roman" w:eastAsia="仿宋" w:cs="Times New Roman" w:hAnsi="Times New Roman" w:hint="eastAsia"/>
          <w:sz w:val="32"/>
          <w:szCs w:val="32"/>
        </w:rPr>
        <w:t>钦北区</w:t>
      </w:r>
      <w:r>
        <w:rPr>
          <w:rFonts w:ascii="Times New Roman" w:eastAsia="仿宋" w:cs="Times New Roman" w:hAnsi="Times New Roman"/>
          <w:sz w:val="32"/>
          <w:szCs w:val="32"/>
        </w:rPr>
        <w:t>193个行政村划分为集聚提升类、城郊融合类、特色保护类</w:t>
      </w:r>
      <w:r>
        <w:rPr>
          <w:rFonts w:ascii="Times New Roman" w:eastAsia="仿宋" w:cs="Times New Roman" w:hAnsi="Times New Roman" w:hint="eastAsia"/>
          <w:sz w:val="32"/>
          <w:szCs w:val="32"/>
        </w:rPr>
        <w:t>、暂不分类村庄四</w:t>
      </w:r>
      <w:r>
        <w:rPr>
          <w:rFonts w:ascii="Times New Roman" w:eastAsia="仿宋" w:cs="Times New Roman" w:hAnsi="Times New Roman"/>
          <w:sz w:val="32"/>
          <w:szCs w:val="32"/>
        </w:rPr>
        <w:t>种类型</w:t>
      </w:r>
      <w:r>
        <w:rPr>
          <w:rFonts w:ascii="Times New Roman" w:eastAsia="仿宋" w:cs="Times New Roman" w:hAnsi="Times New Roman" w:hint="eastAsia"/>
          <w:sz w:val="32"/>
          <w:szCs w:val="32"/>
        </w:rPr>
        <w:t>（详见附表1）</w:t>
      </w:r>
      <w:r>
        <w:rPr>
          <w:rFonts w:ascii="Times New Roman" w:eastAsia="仿宋" w:cs="Times New Roman" w:hAnsi="Times New Roman"/>
          <w:sz w:val="32"/>
          <w:szCs w:val="32"/>
        </w:rPr>
        <w:t>。</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集聚提升型村庄共有37个。</w:t>
      </w:r>
      <w:r>
        <w:rPr>
          <w:rFonts w:ascii="Times New Roman" w:eastAsia="仿宋" w:cs="Times New Roman" w:hAnsi="Times New Roman" w:hint="eastAsia"/>
          <w:sz w:val="32"/>
          <w:szCs w:val="32"/>
        </w:rPr>
        <w:t>此类村庄优先集聚建设，以人口与产业的集聚，适当增加村庄建设用地，用以构建新型乡村社区，推动农村三产融合。强化基础设施和公共服务设施，承接周边迁出村庄人口及部分城市逆向流动人口；节约集约利用土地，推进农业规模化、集约化发展</w:t>
      </w:r>
      <w:r>
        <w:rPr>
          <w:rFonts w:ascii="Times New Roman" w:eastAsia="仿宋" w:cs="Times New Roman" w:hAnsi="Times New Roman"/>
          <w:sz w:val="32"/>
          <w:szCs w:val="32"/>
        </w:rPr>
        <w:t>。</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特色保护型村庄共有2个</w:t>
      </w:r>
      <w:r>
        <w:rPr>
          <w:rFonts w:ascii="Times New Roman" w:eastAsia="仿宋" w:cs="Times New Roman" w:hAnsi="Times New Roman" w:hint="eastAsia"/>
          <w:sz w:val="32"/>
          <w:szCs w:val="32"/>
        </w:rPr>
        <w:t>。此类村庄原则上建设用地指标不增加，除用于保障传统村落保护、开发利用外。应重点加强传统村落整体风貌保护，适度发展特色旅游业</w:t>
      </w:r>
      <w:r>
        <w:rPr>
          <w:rFonts w:ascii="Times New Roman" w:eastAsia="仿宋" w:cs="Times New Roman" w:hAnsi="Times New Roman"/>
          <w:sz w:val="32"/>
          <w:szCs w:val="32"/>
        </w:rPr>
        <w:t>。</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城郊融合型村庄共有11个。</w:t>
      </w:r>
      <w:r>
        <w:rPr>
          <w:rFonts w:ascii="Times New Roman" w:eastAsia="仿宋" w:cs="Times New Roman" w:hAnsi="Times New Roman" w:hint="eastAsia"/>
          <w:sz w:val="32"/>
          <w:szCs w:val="32"/>
        </w:rPr>
        <w:t>优先保障此类村庄的用地需求。以承接城市人口疏解和外溢功能为主，有条件的村庄积极推进村改居，加快城乡产业融合发展、基础设施互联互通、公共服务共建共享，保留现有村庄空间形态和风貌特色，打造城市后花园</w:t>
      </w:r>
      <w:r>
        <w:rPr>
          <w:rFonts w:ascii="Times New Roman" w:eastAsia="仿宋" w:cs="Times New Roman" w:hAnsi="Times New Roman"/>
          <w:sz w:val="32"/>
          <w:szCs w:val="32"/>
        </w:rPr>
        <w:t>。</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暂不分类村庄共1</w:t>
      </w:r>
      <w:r>
        <w:rPr>
          <w:rFonts w:ascii="Times New Roman" w:eastAsia="仿宋" w:cs="Times New Roman" w:hAnsi="Times New Roman"/>
          <w:sz w:val="32"/>
          <w:szCs w:val="32"/>
        </w:rPr>
        <w:t>43</w:t>
      </w:r>
      <w:r>
        <w:rPr>
          <w:rFonts w:ascii="Times New Roman" w:eastAsia="仿宋" w:cs="Times New Roman" w:hAnsi="Times New Roman" w:hint="eastAsia"/>
          <w:sz w:val="32"/>
          <w:szCs w:val="32"/>
        </w:rPr>
        <w:t>个。近期保障村民合理的宅基地新建、改建需求，完善村庄配套设施建设，因地制宜确定村庄各项设施布置和产业融合发展。</w:t>
      </w:r>
    </w:p>
    <w:p>
      <w:pPr>
        <w:pStyle w:val="1"/>
      </w:pPr>
      <w:bookmarkStart w:id="38" w:name="_Toc209510447"/>
      <w:bookmarkStart w:id="39" w:name="_Toc9612"/>
      <w:r>
        <w:t>管控要求</w:t>
      </w:r>
      <w:bookmarkEnd w:id="38"/>
      <w:bookmarkEnd w:id="39"/>
    </w:p>
    <w:p>
      <w:pPr>
        <w:pStyle w:val="32"/>
      </w:pPr>
      <w:bookmarkStart w:id="40" w:name="_Toc25800"/>
      <w:bookmarkStart w:id="41" w:name="_Toc209510448"/>
      <w:r>
        <w:rPr>
          <w:rFonts w:hint="eastAsia"/>
        </w:rPr>
        <w:t>底线管控</w:t>
      </w:r>
      <w:bookmarkEnd w:id="40"/>
      <w:bookmarkEnd w:id="41"/>
    </w:p>
    <w:p>
      <w:pPr>
        <w:pStyle w:val="2"/>
        <w:ind w:left="0" w:firstLineChars="200" w:firstLine="640"/>
      </w:pPr>
      <w:bookmarkStart w:id="42" w:name="_Toc18921"/>
      <w:bookmarkStart w:id="43" w:name="_Toc209510449"/>
      <w:r>
        <w:t>耕地和永久基本农田保护红线</w:t>
      </w:r>
      <w:bookmarkEnd w:id="42"/>
      <w:bookmarkEnd w:id="43"/>
    </w:p>
    <w:p>
      <w:pPr>
        <w:widowControl/>
        <w:snapToGrid w:val="0"/>
        <w:spacing w:line="560" w:lineRule="exact"/>
        <w:ind w:firstLineChars="200" w:firstLine="640"/>
        <w:rPr>
          <w:rFonts w:ascii="Times New Roman" w:eastAsia="仿宋" w:cs="Times New Roman" w:hAnsi="Times New Roman"/>
          <w:sz w:val="32"/>
          <w:szCs w:val="32"/>
          <w:lang w:val="zh-TW"/>
        </w:rPr>
      </w:pPr>
      <w:r>
        <w:rPr>
          <w:rFonts w:ascii="Times New Roman" w:eastAsia="仿宋" w:cs="Times New Roman" w:hAnsi="Times New Roman" w:hint="eastAsia"/>
          <w:sz w:val="32"/>
          <w:szCs w:val="32"/>
          <w:lang w:val="zh-TW"/>
        </w:rPr>
        <w:t>严格落实耕地和永久基本农田保护红线。到</w:t>
      </w:r>
      <w:r>
        <w:rPr>
          <w:rFonts w:ascii="Times New Roman" w:eastAsia="仿宋" w:cs="Times New Roman" w:hAnsi="Times New Roman"/>
          <w:sz w:val="32"/>
          <w:szCs w:val="32"/>
          <w:lang w:val="zh-TW"/>
        </w:rPr>
        <w:t>2035</w:t>
      </w:r>
      <w:r>
        <w:rPr>
          <w:rFonts w:ascii="Times New Roman" w:eastAsia="仿宋" w:cs="Times New Roman" w:hAnsi="Times New Roman" w:hint="eastAsia"/>
          <w:sz w:val="32"/>
          <w:szCs w:val="32"/>
          <w:lang w:val="zh-TW"/>
        </w:rPr>
        <w:t>年，钦北区耕地保有量不低于</w:t>
      </w:r>
      <w:r>
        <w:rPr>
          <w:rFonts w:ascii="Times New Roman" w:eastAsia="仿宋" w:cs="Times New Roman" w:hAnsi="Times New Roman"/>
          <w:sz w:val="32"/>
          <w:szCs w:val="32"/>
        </w:rPr>
        <w:t>58.44</w:t>
      </w:r>
      <w:r>
        <w:rPr>
          <w:rFonts w:ascii="Times New Roman" w:eastAsia="仿宋" w:cs="Times New Roman" w:hAnsi="Times New Roman" w:hint="eastAsia"/>
          <w:sz w:val="32"/>
          <w:szCs w:val="32"/>
        </w:rPr>
        <w:t>万亩</w:t>
      </w:r>
      <w:r>
        <w:rPr>
          <w:rFonts w:ascii="Times New Roman" w:eastAsia="仿宋" w:cs="Times New Roman" w:hAnsi="Times New Roman" w:hint="eastAsia"/>
          <w:sz w:val="32"/>
          <w:szCs w:val="32"/>
          <w:lang w:val="zh-TW"/>
        </w:rPr>
        <w:t>。永久基本农田保护面积不低于</w:t>
      </w:r>
      <w:r>
        <w:rPr>
          <w:rFonts w:ascii="Times New Roman" w:eastAsia="仿宋" w:cs="Times New Roman" w:hAnsi="Times New Roman"/>
          <w:sz w:val="32"/>
          <w:szCs w:val="32"/>
        </w:rPr>
        <w:t>53.91</w:t>
      </w:r>
      <w:r>
        <w:rPr>
          <w:rFonts w:ascii="Times New Roman" w:eastAsia="仿宋" w:cs="Times New Roman" w:hAnsi="Times New Roman" w:hint="eastAsia"/>
          <w:sz w:val="32"/>
          <w:szCs w:val="32"/>
        </w:rPr>
        <w:t>万亩，主要分布在北部、东南部的低山丘陵区，以及钦江、茅岭江等流域两岸的岗地</w:t>
      </w:r>
      <w:r>
        <w:rPr>
          <w:rFonts w:ascii="Times New Roman" w:eastAsia="仿宋" w:cs="Times New Roman" w:hAnsi="Times New Roman" w:hint="eastAsia"/>
          <w:sz w:val="32"/>
          <w:szCs w:val="32"/>
          <w:lang w:val="zh-TW"/>
        </w:rPr>
        <w:t>。</w:t>
      </w:r>
      <w:r>
        <w:rPr>
          <w:rFonts w:ascii="Times New Roman" w:eastAsia="仿宋" w:cs="Times New Roman" w:hAnsi="Times New Roman" w:hint="eastAsia"/>
          <w:sz w:val="32"/>
          <w:szCs w:val="32"/>
        </w:rPr>
        <w:t>乡村建设不得擅自占用或者改变</w:t>
      </w:r>
      <w:r>
        <w:rPr>
          <w:rFonts w:ascii="Times New Roman" w:eastAsia="仿宋" w:cs="Times New Roman" w:hAnsi="Times New Roman"/>
          <w:sz w:val="32"/>
          <w:szCs w:val="32"/>
          <w:lang w:val="zh-TW"/>
        </w:rPr>
        <w:t>永久基本农田；严格耕地用途管制，全面落实耕地占补平衡制度。</w:t>
      </w:r>
    </w:p>
    <w:p>
      <w:pPr>
        <w:snapToGrid w:val="0"/>
        <w:spacing w:line="560" w:lineRule="exact"/>
        <w:ind w:firstLineChars="200" w:firstLine="640"/>
        <w:rPr>
          <w:rFonts w:ascii="Times New Roman" w:eastAsia="仿宋" w:cs="Times New Roman" w:hAnsi="Times New Roman"/>
          <w:sz w:val="32"/>
          <w:szCs w:val="32"/>
          <w:lang w:val="zh-TW"/>
        </w:rPr>
      </w:pPr>
      <w:r>
        <w:rPr>
          <w:rFonts w:ascii="Times New Roman" w:eastAsia="仿宋" w:cs="Times New Roman" w:hAnsi="Times New Roman"/>
          <w:sz w:val="32"/>
          <w:szCs w:val="32"/>
          <w:lang w:val="zh-TW"/>
        </w:rPr>
        <w:t>严格耕地用途管制。不得在一般耕地上挖湖造景、种植草皮；不得在国家批准的生态退耕规划和计划外擅自扩大退耕还林还草还湿还湖规模；不得违规超标准在铁路、公路等用地红线外，以及河渠两侧、水库周边占用一般耕地种树建设绿化带；未经批准不得占用一般耕地实施国土绿化；未经批准工商企业等社会资本不得将通过流转获得土地经营权的一般耕地转为林地、园地等其他农用地。严格控制新增农村道路、畜禽养殖设施、水产养殖设施和破坏耕作层的种植业设施占用一般耕地。交通水利等重点基础设施建设项目尽量优化选线，不占或少占耕地。</w:t>
      </w:r>
    </w:p>
    <w:p>
      <w:pPr>
        <w:snapToGrid w:val="0"/>
        <w:spacing w:line="560" w:lineRule="exact"/>
        <w:ind w:firstLineChars="200" w:firstLine="640"/>
        <w:rPr>
          <w:rFonts w:ascii="Times New Roman" w:eastAsia="仿宋" w:cs="Times New Roman" w:hAnsi="Times New Roman"/>
          <w:sz w:val="32"/>
          <w:szCs w:val="32"/>
          <w:lang w:val="zh-TW"/>
        </w:rPr>
      </w:pPr>
      <w:r>
        <w:rPr>
          <w:rFonts w:ascii="Times New Roman" w:eastAsia="仿宋" w:cs="Times New Roman" w:hAnsi="Times New Roman"/>
          <w:sz w:val="32"/>
          <w:szCs w:val="32"/>
          <w:lang w:val="zh-TW"/>
        </w:rPr>
        <w:t>严格落实永久基本农田特殊保护制度。永久基本农田不得转为林地、草地、园地等其他农用地及农业设施建设用地。永久基本农田重点用于粮食生产，已划定的永久基本农田，任何单位和个人不得擅自占用或者改变用途。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不得以农业种植结构调整等理由改变永久基本农田的耕地地类属性。禁止任何单位和个人在基本农田保护区内建窑、建房、建坟、挖砂、采石、采矿、取土、堆放固体废弃物或者进行其他破坏基本农田的活动。</w:t>
      </w:r>
    </w:p>
    <w:p>
      <w:pPr>
        <w:pStyle w:val="2"/>
        <w:ind w:left="0" w:firstLineChars="200" w:firstLine="640"/>
      </w:pPr>
      <w:bookmarkStart w:id="44" w:name="_Toc13882"/>
      <w:bookmarkStart w:id="45" w:name="_Toc209510450"/>
      <w:r>
        <w:t>生态保护红线</w:t>
      </w:r>
      <w:bookmarkEnd w:id="44"/>
      <w:bookmarkEnd w:id="45"/>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严格落实生态保护红线。</w:t>
      </w:r>
      <w:r>
        <w:rPr>
          <w:rFonts w:ascii="Times New Roman" w:eastAsia="仿宋" w:cs="Times New Roman" w:hAnsi="Times New Roman"/>
          <w:sz w:val="32"/>
          <w:szCs w:val="32"/>
          <w:lang w:val="zh-TW"/>
        </w:rPr>
        <w:t>到2035年，</w:t>
      </w:r>
      <w:r>
        <w:rPr>
          <w:rFonts w:ascii="Times New Roman" w:eastAsia="仿宋" w:cs="Times New Roman" w:hAnsi="Times New Roman" w:hint="eastAsia"/>
          <w:sz w:val="32"/>
          <w:szCs w:val="32"/>
          <w:lang w:val="zh-TW"/>
        </w:rPr>
        <w:t>钦北区</w:t>
      </w:r>
      <w:r>
        <w:rPr>
          <w:rFonts w:ascii="Times New Roman" w:eastAsia="仿宋" w:cs="Times New Roman" w:hAnsi="Times New Roman"/>
          <w:sz w:val="32"/>
          <w:szCs w:val="32"/>
          <w:lang w:val="zh-TW"/>
        </w:rPr>
        <w:t>生态保护红线面积不低于</w:t>
      </w:r>
      <w:r>
        <w:rPr>
          <w:rFonts w:ascii="Times New Roman" w:eastAsia="PMingLiU" w:cs="Times New Roman" w:hAnsi="Times New Roman"/>
          <w:sz w:val="32"/>
          <w:szCs w:val="32"/>
          <w:lang w:val="zh-TW" w:eastAsia="zh-TW"/>
        </w:rPr>
        <w:t>62.95</w:t>
      </w:r>
      <w:r>
        <w:rPr>
          <w:rFonts w:ascii="Times New Roman" w:eastAsia="仿宋" w:cs="Times New Roman" w:hAnsi="Times New Roman" w:hint="eastAsia"/>
          <w:sz w:val="32"/>
          <w:szCs w:val="32"/>
          <w:lang w:val="zh-TW"/>
        </w:rPr>
        <w:t>平方千米，重点保护十万大山水源涵养与生物多样性区、北部湾水源涵养区、左江干流流域—高峰岭水源涵养区等区域</w:t>
      </w:r>
      <w:r>
        <w:rPr>
          <w:rFonts w:ascii="Times New Roman" w:eastAsia="仿宋" w:cs="Times New Roman" w:hAnsi="Times New Roman"/>
          <w:sz w:val="32"/>
          <w:szCs w:val="32"/>
          <w:lang w:val="zh-TW"/>
        </w:rPr>
        <w:t>。</w:t>
      </w:r>
      <w:r>
        <w:rPr>
          <w:rFonts w:ascii="Times New Roman" w:eastAsia="仿宋" w:cs="Times New Roman" w:hAnsi="Times New Roman" w:hint="eastAsia"/>
          <w:sz w:val="32"/>
          <w:szCs w:val="32"/>
        </w:rPr>
        <w:t>乡村建设应严格遵守《广西生态保护红线监管办法（试行）》，严禁擅自改变生态保护红线内土地用途。生态保护红线内的管控规则应根据国家及自治区有关规定执行。</w:t>
      </w:r>
    </w:p>
    <w:p>
      <w:pPr>
        <w:widowControl/>
        <w:snapToGrid w:val="0"/>
        <w:spacing w:line="560" w:lineRule="exact"/>
        <w:ind w:firstLineChars="200" w:firstLine="640"/>
        <w:rPr>
          <w:rFonts w:ascii="Times New Roman" w:eastAsia="仿宋" w:cs="Times New Roman" w:hAnsi="Times New Roman"/>
          <w:sz w:val="32"/>
          <w:szCs w:val="32"/>
          <w:lang w:val="zh-TW"/>
        </w:rPr>
      </w:pPr>
      <w:r>
        <w:rPr>
          <w:rFonts w:ascii="Times New Roman" w:eastAsia="仿宋" w:cs="Times New Roman" w:hAnsi="Times New Roman"/>
          <w:sz w:val="32"/>
          <w:szCs w:val="32"/>
          <w:lang w:val="zh-TW"/>
        </w:rPr>
        <w:t>生态保护红线内，自然保护地核心保护区</w:t>
      </w:r>
      <w:r>
        <w:rPr>
          <w:rFonts w:ascii="Times New Roman" w:eastAsia="仿宋" w:cs="Times New Roman" w:hAnsi="Times New Roman" w:hint="eastAsia"/>
          <w:sz w:val="32"/>
          <w:szCs w:val="32"/>
          <w:lang w:val="zh-TW"/>
        </w:rPr>
        <w:t>内</w:t>
      </w:r>
      <w:r>
        <w:rPr>
          <w:rFonts w:ascii="Times New Roman" w:eastAsia="仿宋" w:cs="Times New Roman" w:hAnsi="Times New Roman"/>
          <w:sz w:val="32"/>
          <w:szCs w:val="32"/>
          <w:lang w:val="zh-TW"/>
        </w:rPr>
        <w:t>原则上禁止人为活动，自然保护地核心保护区</w:t>
      </w:r>
      <w:r>
        <w:rPr>
          <w:rFonts w:ascii="Times New Roman" w:eastAsia="仿宋" w:cs="Times New Roman" w:hAnsi="Times New Roman" w:hint="eastAsia"/>
          <w:sz w:val="32"/>
          <w:szCs w:val="32"/>
          <w:lang w:val="zh-TW"/>
        </w:rPr>
        <w:t>外</w:t>
      </w:r>
      <w:r>
        <w:rPr>
          <w:rFonts w:ascii="Times New Roman" w:eastAsia="仿宋" w:cs="Times New Roman" w:hAnsi="Times New Roman"/>
          <w:sz w:val="32"/>
          <w:szCs w:val="32"/>
          <w:lang w:val="zh-TW"/>
        </w:rPr>
        <w:t>，禁止开发性、生产性建设活动，在符合法律法规前提下，仅允许对生态功能不造成破坏的有限人为活动</w:t>
      </w:r>
      <w:r>
        <w:rPr>
          <w:rFonts w:ascii="Times New Roman" w:eastAsia="仿宋" w:cs="Times New Roman" w:hAnsi="Times New Roman" w:hint="eastAsia"/>
          <w:sz w:val="32"/>
          <w:szCs w:val="32"/>
          <w:lang w:val="zh-TW"/>
        </w:rPr>
        <w:t>：</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w:t>
      </w:r>
      <w:r>
        <w:rPr>
          <w:rFonts w:ascii="Times New Roman" w:eastAsia="仿宋" w:cs="Times New Roman" w:hAnsi="Times New Roman"/>
          <w:sz w:val="32"/>
          <w:szCs w:val="32"/>
        </w:rPr>
        <w:t>.</w:t>
      </w:r>
      <w:r>
        <w:rPr>
          <w:rFonts w:ascii="Times New Roman" w:eastAsia="仿宋" w:cs="Times New Roman" w:hAnsi="Times New Roman" w:hint="eastAsia"/>
          <w:sz w:val="32"/>
          <w:szCs w:val="32"/>
        </w:rPr>
        <w:t>管护</w:t>
      </w:r>
      <w:r>
        <w:rPr>
          <w:rFonts w:ascii="Times New Roman" w:eastAsia="仿宋" w:cs="Times New Roman" w:hAnsi="Times New Roman"/>
          <w:sz w:val="32"/>
          <w:szCs w:val="32"/>
        </w:rPr>
        <w:t>、</w:t>
      </w:r>
      <w:r>
        <w:rPr>
          <w:rFonts w:ascii="Times New Roman" w:eastAsia="仿宋" w:cs="Times New Roman" w:hAnsi="Times New Roman" w:hint="eastAsia"/>
          <w:sz w:val="32"/>
          <w:szCs w:val="32"/>
        </w:rPr>
        <w:t>巡护巡查、保护执法、科学研究、调查监测、测绘导航、防灾减灾救灾、军事国防、疫情防控等活动及相关的必要设施修筑。</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2</w:t>
      </w:r>
      <w:r>
        <w:rPr>
          <w:rFonts w:ascii="Times New Roman" w:eastAsia="仿宋" w:cs="Times New Roman" w:hAnsi="Times New Roman"/>
          <w:sz w:val="32"/>
          <w:szCs w:val="32"/>
        </w:rPr>
        <w:t>.</w:t>
      </w:r>
      <w:r>
        <w:rPr>
          <w:rFonts w:ascii="Times New Roman" w:eastAsia="仿宋" w:cs="Times New Roman" w:hAnsi="Times New Roman" w:hint="eastAsia"/>
          <w:sz w:val="32"/>
          <w:szCs w:val="32"/>
        </w:rPr>
        <w:t>原住居民和其他合法权益主体，允许在不扩大现有建设用地、用海用岛、耕地、水产养殖规模和放牧强度（符合草畜平衡管理规定）的前提下，开展种植、放牧、捕捞、养殖（不包括投礁型海洋牧场、围海养殖）等活动，修筑（新建、改建、维修、维护）</w:t>
      </w:r>
      <w:r>
        <w:rPr>
          <w:rFonts w:ascii="Times New Roman" w:eastAsia="仿宋" w:cs="Times New Roman" w:hAnsi="Times New Roman"/>
          <w:sz w:val="32"/>
          <w:szCs w:val="32"/>
        </w:rPr>
        <w:t>必需</w:t>
      </w:r>
      <w:r>
        <w:rPr>
          <w:rFonts w:ascii="Times New Roman" w:eastAsia="仿宋" w:cs="Times New Roman" w:hAnsi="Times New Roman" w:hint="eastAsia"/>
          <w:sz w:val="32"/>
          <w:szCs w:val="32"/>
        </w:rPr>
        <w:t>的生产生活设施。</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3</w:t>
      </w:r>
      <w:r>
        <w:rPr>
          <w:rFonts w:ascii="Times New Roman" w:eastAsia="仿宋" w:cs="Times New Roman" w:hAnsi="Times New Roman"/>
          <w:sz w:val="32"/>
          <w:szCs w:val="32"/>
        </w:rPr>
        <w:t>.</w:t>
      </w:r>
      <w:r>
        <w:rPr>
          <w:rFonts w:ascii="Times New Roman" w:eastAsia="仿宋" w:cs="Times New Roman" w:hAnsi="Times New Roman" w:hint="eastAsia"/>
          <w:sz w:val="32"/>
          <w:szCs w:val="32"/>
        </w:rPr>
        <w:t>经依法批准的考古调查发掘、古生物化石调查发掘、标本采集和文物保护活动。</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4.</w:t>
      </w:r>
      <w:r>
        <w:rPr>
          <w:rFonts w:ascii="Times New Roman" w:eastAsia="仿宋" w:cs="Times New Roman" w:hAnsi="Times New Roman" w:hint="eastAsia"/>
          <w:sz w:val="32"/>
          <w:szCs w:val="32"/>
        </w:rPr>
        <w:t>按规定对人工商品林进行抚育</w:t>
      </w:r>
      <w:r>
        <w:rPr>
          <w:rFonts w:ascii="Times New Roman" w:eastAsia="仿宋" w:cs="Times New Roman" w:hAnsi="Times New Roman"/>
          <w:sz w:val="32"/>
          <w:szCs w:val="32"/>
        </w:rPr>
        <w:t>、</w:t>
      </w:r>
      <w:r>
        <w:rPr>
          <w:rFonts w:ascii="Times New Roman" w:eastAsia="仿宋" w:cs="Times New Roman" w:hAnsi="Times New Roman" w:hint="eastAsia"/>
          <w:sz w:val="32"/>
          <w:szCs w:val="32"/>
        </w:rPr>
        <w:t>采伐、择伐、果实采摘、更新改造，或以提升森林质量、优化栖息地、建设生物防火隔离带、林业有害生物防治等为目的的树种更新，依法开展的竹林采伐经营，按规定开展的公益林抚育、更新和低质低效林改造性质的采伐，在符合公益林生态区位保护要求和不影响公益林生态功能的前提下开展的林下经济活动。</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5</w:t>
      </w:r>
      <w:r>
        <w:rPr>
          <w:rFonts w:ascii="Times New Roman" w:eastAsia="仿宋" w:cs="Times New Roman" w:hAnsi="Times New Roman"/>
          <w:sz w:val="32"/>
          <w:szCs w:val="32"/>
        </w:rPr>
        <w:t>.</w:t>
      </w:r>
      <w:r>
        <w:rPr>
          <w:rFonts w:ascii="Times New Roman" w:eastAsia="仿宋" w:cs="Times New Roman" w:hAnsi="Times New Roman" w:hint="eastAsia"/>
          <w:sz w:val="32"/>
          <w:szCs w:val="32"/>
        </w:rPr>
        <w:t>符合相关规划、不破坏生态功能的适度参观旅游、科普宣教及配套性服务设施和相关的必要公共设施建设及维护。</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6</w:t>
      </w:r>
      <w:r>
        <w:rPr>
          <w:rFonts w:ascii="Times New Roman" w:eastAsia="仿宋" w:cs="Times New Roman" w:hAnsi="Times New Roman"/>
          <w:sz w:val="32"/>
          <w:szCs w:val="32"/>
        </w:rPr>
        <w:t>.</w:t>
      </w:r>
      <w:r>
        <w:rPr>
          <w:rFonts w:ascii="Times New Roman" w:eastAsia="仿宋" w:cs="Times New Roman" w:hAnsi="Times New Roman" w:hint="eastAsia"/>
          <w:sz w:val="32"/>
          <w:szCs w:val="32"/>
        </w:rPr>
        <w:t>必须且无法避让、符合县级以上国土空间规划的线性基础设施、通讯和防洪（潮）、供水设施建设和船舶航行、航道疏浚清淤等活动。已有的合法水利、交通运输等设施运行维护改造。</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7</w:t>
      </w:r>
      <w:r>
        <w:rPr>
          <w:rFonts w:ascii="Times New Roman" w:eastAsia="仿宋" w:cs="Times New Roman" w:hAnsi="Times New Roman"/>
          <w:sz w:val="32"/>
          <w:szCs w:val="32"/>
        </w:rPr>
        <w:t>.</w:t>
      </w:r>
      <w:r>
        <w:rPr>
          <w:rFonts w:ascii="Times New Roman" w:eastAsia="仿宋" w:cs="Times New Roman" w:hAnsi="Times New Roman" w:hint="eastAsia"/>
          <w:sz w:val="32"/>
          <w:szCs w:val="32"/>
        </w:rPr>
        <w:t>地质调查与矿产资源勘查开采。</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8</w:t>
      </w:r>
      <w:r>
        <w:rPr>
          <w:rFonts w:ascii="Times New Roman" w:eastAsia="仿宋" w:cs="Times New Roman" w:hAnsi="Times New Roman"/>
          <w:sz w:val="32"/>
          <w:szCs w:val="32"/>
        </w:rPr>
        <w:t>.</w:t>
      </w:r>
      <w:r>
        <w:rPr>
          <w:rFonts w:ascii="Times New Roman" w:eastAsia="仿宋" w:cs="Times New Roman" w:hAnsi="Times New Roman" w:hint="eastAsia"/>
          <w:sz w:val="32"/>
          <w:szCs w:val="32"/>
        </w:rPr>
        <w:t>依据县级以上国土空间规划和生态保护修复专项规划开展的生态修复。</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9</w:t>
      </w:r>
      <w:r>
        <w:rPr>
          <w:rFonts w:ascii="Times New Roman" w:eastAsia="仿宋" w:cs="Times New Roman" w:hAnsi="Times New Roman"/>
          <w:sz w:val="32"/>
          <w:szCs w:val="32"/>
        </w:rPr>
        <w:t>.</w:t>
      </w:r>
      <w:r>
        <w:rPr>
          <w:rFonts w:ascii="Times New Roman" w:eastAsia="仿宋" w:cs="Times New Roman" w:hAnsi="Times New Roman" w:hint="eastAsia"/>
          <w:sz w:val="32"/>
          <w:szCs w:val="32"/>
        </w:rPr>
        <w:t>根据我国相关法律法规和与邻国签署的国界管理制度协定（条约）开展的边界边境通视道清理以及界务工程的修建、维护和拆除工作。</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w:t>
      </w:r>
      <w:r>
        <w:rPr>
          <w:rFonts w:ascii="Times New Roman" w:eastAsia="仿宋" w:cs="Times New Roman" w:hAnsi="Times New Roman"/>
          <w:sz w:val="32"/>
          <w:szCs w:val="32"/>
        </w:rPr>
        <w:t>0.</w:t>
      </w:r>
      <w:r>
        <w:rPr>
          <w:rFonts w:ascii="Times New Roman" w:eastAsia="仿宋" w:cs="Times New Roman" w:hAnsi="Times New Roman" w:hint="eastAsia"/>
          <w:sz w:val="32"/>
          <w:szCs w:val="32"/>
        </w:rPr>
        <w:t>法律法规规定允许的其他人为活动。</w:t>
      </w:r>
    </w:p>
    <w:p>
      <w:pPr>
        <w:widowControl/>
        <w:snapToGrid w:val="0"/>
        <w:spacing w:line="560" w:lineRule="exact"/>
        <w:ind w:firstLineChars="200" w:firstLine="640"/>
        <w:rPr>
          <w:rFonts w:ascii="Times New Roman" w:eastAsia="仿宋" w:cs="Times New Roman" w:hAnsi="Times New Roman"/>
          <w:sz w:val="32"/>
          <w:szCs w:val="32"/>
          <w:lang w:val="zh-TW"/>
        </w:rPr>
      </w:pPr>
      <w:r>
        <w:rPr>
          <w:rFonts w:ascii="Times New Roman" w:eastAsia="仿宋" w:cs="Times New Roman" w:hAnsi="Times New Roman"/>
          <w:sz w:val="32"/>
          <w:szCs w:val="32"/>
          <w:lang w:val="zh-TW"/>
        </w:rPr>
        <w:t>规划实施期间，国家、自治区对生态保护红线管控规则有新要求的，从其规定。</w:t>
      </w:r>
    </w:p>
    <w:p>
      <w:pPr>
        <w:pStyle w:val="2"/>
        <w:ind w:left="0" w:firstLineChars="200" w:firstLine="640"/>
      </w:pPr>
      <w:bookmarkStart w:id="46" w:name="_Toc209510451"/>
      <w:bookmarkStart w:id="47" w:name="_Toc20886"/>
      <w:r>
        <w:t>村庄建设边界</w:t>
      </w:r>
      <w:bookmarkEnd w:id="46"/>
      <w:bookmarkEnd w:id="47"/>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严格控制全区村庄建设用地总规模。到</w:t>
      </w:r>
      <w:r>
        <w:rPr>
          <w:rFonts w:ascii="Times New Roman" w:eastAsia="仿宋" w:cs="Times New Roman" w:hAnsi="Times New Roman"/>
          <w:sz w:val="32"/>
          <w:szCs w:val="32"/>
        </w:rPr>
        <w:t>2035</w:t>
      </w:r>
      <w:r>
        <w:rPr>
          <w:rFonts w:ascii="Times New Roman" w:eastAsia="仿宋" w:cs="Times New Roman" w:hAnsi="Times New Roman" w:hint="eastAsia"/>
          <w:sz w:val="32"/>
          <w:szCs w:val="32"/>
        </w:rPr>
        <w:t>年，钦北区村庄建设用地规模不得超过</w:t>
      </w:r>
      <w:r>
        <w:rPr>
          <w:rFonts w:ascii="Times New Roman" w:eastAsia="仿宋" w:cs="Times New Roman" w:hAnsi="Times New Roman"/>
          <w:sz w:val="32"/>
          <w:szCs w:val="32"/>
          <w:lang w:val="zh-TW"/>
        </w:rPr>
        <w:t>2020</w:t>
      </w:r>
      <w:r>
        <w:rPr>
          <w:rFonts w:ascii="Times New Roman" w:eastAsia="仿宋" w:cs="Times New Roman" w:hAnsi="Times New Roman" w:hint="eastAsia"/>
          <w:sz w:val="32"/>
          <w:szCs w:val="32"/>
          <w:lang w:val="zh-TW"/>
        </w:rPr>
        <w:t>年度国土变更调查村庄建设用地（</w:t>
      </w:r>
      <w:r>
        <w:rPr>
          <w:rFonts w:ascii="Times New Roman" w:eastAsia="仿宋" w:cs="Times New Roman" w:hAnsi="Times New Roman"/>
          <w:sz w:val="32"/>
          <w:szCs w:val="32"/>
          <w:lang w:val="zh-TW"/>
        </w:rPr>
        <w:t>203</w:t>
      </w:r>
      <w:r>
        <w:rPr>
          <w:rFonts w:ascii="Times New Roman" w:eastAsia="仿宋" w:cs="Times New Roman" w:hAnsi="Times New Roman" w:hint="eastAsia"/>
          <w:sz w:val="32"/>
          <w:szCs w:val="32"/>
          <w:lang w:val="zh-TW"/>
        </w:rPr>
        <w:t>图斑）面积</w:t>
      </w:r>
      <w:r>
        <w:rPr>
          <w:rFonts w:ascii="Times New Roman" w:eastAsia="仿宋" w:cs="Times New Roman" w:hAnsi="Times New Roman"/>
          <w:sz w:val="32"/>
          <w:szCs w:val="32"/>
        </w:rPr>
        <w:t>9651.4</w:t>
      </w:r>
      <w:r>
        <w:rPr>
          <w:rFonts w:ascii="Times New Roman" w:eastAsia="仿宋" w:cs="Times New Roman" w:hAnsi="Times New Roman" w:hint="eastAsia"/>
          <w:sz w:val="32"/>
          <w:szCs w:val="32"/>
        </w:rPr>
        <w:t>084公顷。</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合理确定和分解下达全区村庄建设用地（</w:t>
      </w:r>
      <w:r>
        <w:rPr>
          <w:rFonts w:ascii="Times New Roman" w:eastAsia="仿宋" w:cs="Times New Roman" w:hAnsi="Times New Roman"/>
          <w:sz w:val="32"/>
          <w:szCs w:val="32"/>
        </w:rPr>
        <w:t>203</w:t>
      </w:r>
      <w:r>
        <w:rPr>
          <w:rFonts w:ascii="Times New Roman" w:eastAsia="仿宋" w:cs="Times New Roman" w:hAnsi="Times New Roman" w:hint="eastAsia"/>
          <w:sz w:val="32"/>
          <w:szCs w:val="32"/>
        </w:rPr>
        <w:t>图斑）面积。严格落实《钦州市国土空间总体规划（</w:t>
      </w:r>
      <w:r>
        <w:rPr>
          <w:rFonts w:ascii="Times New Roman" w:eastAsia="仿宋" w:cs="Times New Roman" w:hAnsi="Times New Roman"/>
          <w:sz w:val="32"/>
          <w:szCs w:val="32"/>
        </w:rPr>
        <w:t>2021</w:t>
      </w:r>
      <w:r>
        <w:rPr>
          <w:rFonts w:ascii="Times New Roman" w:eastAsia="仿宋" w:cs="Times New Roman" w:hAnsi="Times New Roman" w:hint="eastAsia"/>
          <w:sz w:val="32"/>
          <w:szCs w:val="32"/>
        </w:rPr>
        <w:t>—</w:t>
      </w:r>
      <w:r>
        <w:rPr>
          <w:rFonts w:ascii="Times New Roman" w:eastAsia="仿宋" w:cs="Times New Roman" w:hAnsi="Times New Roman"/>
          <w:sz w:val="32"/>
          <w:szCs w:val="32"/>
        </w:rPr>
        <w:t>2035</w:t>
      </w:r>
      <w:r>
        <w:rPr>
          <w:rFonts w:ascii="Times New Roman" w:eastAsia="仿宋" w:cs="Times New Roman" w:hAnsi="Times New Roman" w:hint="eastAsia"/>
          <w:sz w:val="32"/>
          <w:szCs w:val="32"/>
        </w:rPr>
        <w:t>年）》分解下达各乡镇的村庄建设用地指标，并结合已编制的（含在编）村庄规划及各村实际发展需求，合理确定和分解下达各行政村村庄建设用地（</w:t>
      </w:r>
      <w:r>
        <w:rPr>
          <w:rFonts w:ascii="Times New Roman" w:eastAsia="仿宋" w:cs="Times New Roman" w:hAnsi="Times New Roman"/>
          <w:sz w:val="32"/>
          <w:szCs w:val="32"/>
        </w:rPr>
        <w:t>203</w:t>
      </w:r>
      <w:r>
        <w:rPr>
          <w:rFonts w:ascii="Times New Roman" w:eastAsia="仿宋" w:cs="Times New Roman" w:hAnsi="Times New Roman" w:hint="eastAsia"/>
          <w:sz w:val="32"/>
          <w:szCs w:val="32"/>
        </w:rPr>
        <w:t>图斑）面积（详见附表</w:t>
      </w:r>
      <w:r>
        <w:rPr>
          <w:rFonts w:ascii="Times New Roman" w:eastAsia="仿宋" w:cs="Times New Roman" w:hAnsi="Times New Roman"/>
          <w:sz w:val="32"/>
          <w:szCs w:val="32"/>
        </w:rPr>
        <w:t>2</w:t>
      </w:r>
      <w:r>
        <w:rPr>
          <w:rFonts w:ascii="Times New Roman" w:eastAsia="仿宋" w:cs="Times New Roman" w:hAnsi="Times New Roman" w:hint="eastAsia"/>
          <w:sz w:val="32"/>
          <w:szCs w:val="32"/>
        </w:rPr>
        <w:t>）。</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为应对钦北区未来乡村发展的不确定性，预留</w:t>
      </w:r>
      <w:r>
        <w:rPr>
          <w:rFonts w:ascii="Times New Roman" w:eastAsia="仿宋" w:cs="Times New Roman" w:hAnsi="Times New Roman"/>
          <w:sz w:val="32"/>
          <w:szCs w:val="32"/>
        </w:rPr>
        <w:t xml:space="preserve">446.2767   </w:t>
      </w:r>
      <w:r>
        <w:rPr>
          <w:rFonts w:ascii="Times New Roman" w:eastAsia="仿宋" w:cs="Times New Roman" w:hAnsi="Times New Roman" w:hint="eastAsia"/>
          <w:sz w:val="32"/>
          <w:szCs w:val="32"/>
        </w:rPr>
        <w:t>公顷的村庄建设用地指标未分解，作为机动指标。村民居住、农村公共公益设施、零星分散的乡村文旅设施及农村新产业新业态等用地可按自治区有关规定申请使用。机动指标的使用应符合附表4的要求。</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严格控制村庄建设边界面积。以现状村庄建设用地（</w:t>
      </w:r>
      <w:r>
        <w:rPr>
          <w:rFonts w:ascii="Times New Roman" w:eastAsia="仿宋" w:cs="Times New Roman" w:hAnsi="Times New Roman"/>
          <w:sz w:val="32"/>
          <w:szCs w:val="32"/>
        </w:rPr>
        <w:t>203</w:t>
      </w:r>
      <w:r>
        <w:rPr>
          <w:rFonts w:ascii="Times New Roman" w:eastAsia="仿宋" w:cs="Times New Roman" w:hAnsi="Times New Roman" w:hint="eastAsia"/>
          <w:sz w:val="32"/>
          <w:szCs w:val="32"/>
        </w:rPr>
        <w:t>图斑）为基础，引导乡村建设向村庄建设边界内集中。农村宅基地、产业发展、基础设施和公</w:t>
      </w:r>
      <w:r>
        <w:rPr>
          <w:rFonts w:ascii="Times New Roman" w:eastAsia="仿宋" w:cs="Times New Roman" w:hAnsi="Times New Roman"/>
          <w:sz w:val="32"/>
          <w:szCs w:val="32"/>
        </w:rPr>
        <w:t>共服务</w:t>
      </w:r>
      <w:r>
        <w:rPr>
          <w:rFonts w:ascii="Times New Roman" w:eastAsia="仿宋" w:cs="Times New Roman" w:hAnsi="Times New Roman" w:hint="eastAsia"/>
          <w:sz w:val="32"/>
          <w:szCs w:val="32"/>
        </w:rPr>
        <w:t>设施等各项建设项目原则上应布局在村庄建设边界内，并经依法依规批准后方可进行建设。</w:t>
      </w:r>
    </w:p>
    <w:p>
      <w:pPr>
        <w:pStyle w:val="2"/>
        <w:ind w:left="0" w:firstLineChars="200" w:firstLine="640"/>
      </w:pPr>
      <w:bookmarkStart w:id="48" w:name="_Toc209510452"/>
      <w:bookmarkStart w:id="49" w:name="_Toc1097"/>
      <w:r>
        <w:t>其他底线红线</w:t>
      </w:r>
      <w:bookmarkEnd w:id="48"/>
      <w:bookmarkEnd w:id="49"/>
    </w:p>
    <w:p>
      <w:pPr>
        <w:widowControl/>
        <w:snapToGrid w:val="0"/>
        <w:spacing w:line="560" w:lineRule="exact"/>
        <w:ind w:firstLineChars="200" w:firstLine="640"/>
        <w:rPr>
          <w:rFonts w:ascii="Times New Roman" w:eastAsia="仿宋" w:cs="Times New Roman" w:hAnsi="Times New Roman"/>
          <w:bCs/>
          <w:sz w:val="32"/>
          <w:szCs w:val="32"/>
        </w:rPr>
      </w:pPr>
      <w:r>
        <w:rPr>
          <w:rFonts w:ascii="Times New Roman" w:eastAsia="仿宋" w:cs="Times New Roman" w:hAnsi="Times New Roman"/>
          <w:bCs/>
          <w:sz w:val="32"/>
          <w:szCs w:val="32"/>
        </w:rPr>
        <w:t>1.</w:t>
      </w:r>
      <w:r>
        <w:rPr>
          <w:rFonts w:ascii="Times New Roman" w:eastAsia="仿宋" w:cs="Times New Roman" w:hAnsi="Times New Roman" w:hint="eastAsia"/>
          <w:bCs/>
          <w:sz w:val="32"/>
          <w:szCs w:val="32"/>
        </w:rPr>
        <w:t>历史文化保护线</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历史文化保护线主要包括5处自治区文物保护单位，10处市级历史文物保护单位，</w:t>
      </w:r>
      <w:r>
        <w:rPr>
          <w:rFonts w:ascii="Times New Roman" w:eastAsia="仿宋" w:cs="Times New Roman" w:hAnsi="Times New Roman"/>
          <w:sz w:val="32"/>
          <w:szCs w:val="32"/>
        </w:rPr>
        <w:t>一</w:t>
      </w:r>
      <w:r>
        <w:rPr>
          <w:rFonts w:ascii="Times New Roman" w:eastAsia="仿宋" w:cs="Times New Roman" w:hAnsi="Times New Roman" w:hint="eastAsia"/>
          <w:sz w:val="32"/>
          <w:szCs w:val="32"/>
        </w:rPr>
        <w:t>个中国传统村落，2个自治区传统村落（详见附表3）。历史文化保护线核心保护范围内，除必要的市政公用设施和公共服务设施外，禁止新建、扩建活动；建设控制地带内，新建、扩建、改建、重建、修缮。和装饰装修建（构）筑物的高度、体量、风格、色彩等要与核心保护范围的传统风貌相协调。当历史文化保护线中不同类别保护对象的保护范围出现重叠时，应按其中较为严格的控制要求执行，其他管控规则还应依据国家及广西壮族自治区有关规定执行。</w:t>
      </w:r>
    </w:p>
    <w:p>
      <w:pPr>
        <w:widowControl/>
        <w:snapToGrid w:val="0"/>
        <w:spacing w:line="560" w:lineRule="exact"/>
        <w:ind w:firstLineChars="200" w:firstLine="640"/>
        <w:rPr>
          <w:rFonts w:ascii="Times New Roman" w:eastAsia="仿宋" w:cs="Times New Roman" w:hAnsi="Times New Roman"/>
          <w:bCs/>
          <w:sz w:val="32"/>
          <w:szCs w:val="32"/>
        </w:rPr>
      </w:pPr>
      <w:r>
        <w:rPr>
          <w:rFonts w:ascii="Times New Roman" w:eastAsia="仿宋" w:cs="Times New Roman" w:hAnsi="Times New Roman"/>
          <w:bCs/>
          <w:sz w:val="32"/>
          <w:szCs w:val="32"/>
        </w:rPr>
        <w:t>2.</w:t>
      </w:r>
      <w:r>
        <w:rPr>
          <w:rFonts w:ascii="Times New Roman" w:eastAsia="仿宋" w:cs="Times New Roman" w:hAnsi="Times New Roman" w:hint="eastAsia"/>
          <w:bCs/>
          <w:sz w:val="32"/>
          <w:szCs w:val="32"/>
        </w:rPr>
        <w:t>地质灾害风险控制线</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钦北区地质灾害高风险区5</w:t>
      </w:r>
      <w:r>
        <w:rPr>
          <w:rFonts w:ascii="Times New Roman" w:eastAsia="仿宋" w:cs="Times New Roman" w:hAnsi="Times New Roman"/>
          <w:sz w:val="32"/>
          <w:szCs w:val="32"/>
        </w:rPr>
        <w:t>.05</w:t>
      </w:r>
      <w:r>
        <w:rPr>
          <w:rFonts w:ascii="Times New Roman" w:eastAsia="仿宋" w:cs="Times New Roman" w:hAnsi="Times New Roman" w:hint="eastAsia"/>
          <w:sz w:val="32"/>
          <w:szCs w:val="32"/>
        </w:rPr>
        <w:t>平方公里，主要位于大直镇南部，地质灾害中风险区1</w:t>
      </w:r>
      <w:r>
        <w:rPr>
          <w:rFonts w:ascii="Times New Roman" w:eastAsia="仿宋" w:cs="Times New Roman" w:hAnsi="Times New Roman"/>
          <w:sz w:val="32"/>
          <w:szCs w:val="32"/>
        </w:rPr>
        <w:t>814.45</w:t>
      </w:r>
      <w:r>
        <w:rPr>
          <w:rFonts w:ascii="Times New Roman" w:eastAsia="仿宋" w:cs="Times New Roman" w:hAnsi="Times New Roman" w:hint="eastAsia"/>
          <w:sz w:val="32"/>
          <w:szCs w:val="32"/>
        </w:rPr>
        <w:t>平方公里，主要位于贵台镇、大直镇、大寺镇、那蒙镇、小董镇、长滩镇、新棠镇、板城镇、大垌镇西北部、平吉镇西部、青塘镇西部，地质灾害低风险区4</w:t>
      </w:r>
      <w:r>
        <w:rPr>
          <w:rFonts w:ascii="Times New Roman" w:eastAsia="仿宋" w:cs="Times New Roman" w:hAnsi="Times New Roman"/>
          <w:sz w:val="32"/>
          <w:szCs w:val="32"/>
        </w:rPr>
        <w:t>20.66</w:t>
      </w:r>
      <w:r>
        <w:rPr>
          <w:rFonts w:ascii="Times New Roman" w:eastAsia="仿宋" w:cs="Times New Roman" w:hAnsi="Times New Roman" w:hint="eastAsia"/>
          <w:sz w:val="32"/>
          <w:szCs w:val="32"/>
        </w:rPr>
        <w:t>平方公里，主要位于长田街道、子材街道、鸿亭街道、青塘镇东部、平吉镇东部、大垌镇东南部。</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农村宅基地选址应合理避让不稳定斜坡、滑坡、泥石流、崩塌等地质灾害危险区，避免“切坡建房”，避开地下采空区进行开发建设。山区因地形地貌特殊，确实难以避免切坡堆填进行建设的，在建成完工后，要将建设活动是否产生新的地质灾害隐患、是否落实相应防灾措施等，纳入实地核查验收内容。</w:t>
      </w:r>
    </w:p>
    <w:p>
      <w:pPr>
        <w:widowControl/>
        <w:snapToGrid w:val="0"/>
        <w:spacing w:line="560" w:lineRule="exact"/>
        <w:ind w:firstLineChars="200" w:firstLine="640"/>
        <w:rPr>
          <w:rFonts w:ascii="Times New Roman" w:eastAsia="仿宋" w:cs="Times New Roman" w:hAnsi="Times New Roman"/>
          <w:bCs/>
          <w:sz w:val="32"/>
          <w:szCs w:val="32"/>
        </w:rPr>
      </w:pPr>
      <w:r>
        <w:rPr>
          <w:rFonts w:ascii="Times New Roman" w:eastAsia="仿宋" w:cs="Times New Roman" w:hAnsi="Times New Roman"/>
          <w:bCs/>
          <w:sz w:val="32"/>
          <w:szCs w:val="32"/>
        </w:rPr>
        <w:t>3.</w:t>
      </w:r>
      <w:r>
        <w:rPr>
          <w:rFonts w:ascii="Times New Roman" w:eastAsia="仿宋" w:cs="Times New Roman" w:hAnsi="Times New Roman" w:hint="eastAsia"/>
          <w:bCs/>
          <w:sz w:val="32"/>
          <w:szCs w:val="32"/>
        </w:rPr>
        <w:t>洪涝风险控制线</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加强洪涝风险控制线的管控。钦北区洪涝风险控制区2</w:t>
      </w:r>
      <w:r>
        <w:rPr>
          <w:rFonts w:ascii="Times New Roman" w:eastAsia="仿宋" w:cs="Times New Roman" w:hAnsi="Times New Roman"/>
          <w:sz w:val="32"/>
          <w:szCs w:val="32"/>
        </w:rPr>
        <w:t>2.29</w:t>
      </w:r>
      <w:r>
        <w:rPr>
          <w:rFonts w:ascii="Times New Roman" w:eastAsia="仿宋" w:cs="Times New Roman" w:hAnsi="Times New Roman" w:hint="eastAsia"/>
          <w:sz w:val="32"/>
          <w:szCs w:val="32"/>
        </w:rPr>
        <w:t>平方千米，主要涉及钦江、茅岭江、大寺江等水系。</w:t>
      </w:r>
      <w:r>
        <w:rPr>
          <w:rFonts w:ascii="Times New Roman" w:eastAsia="仿宋" w:cs="Times New Roman" w:hAnsi="Times New Roman"/>
          <w:sz w:val="32"/>
          <w:szCs w:val="32"/>
        </w:rPr>
        <w:t>禁止在洪涝风险控制区内占用江河、湖泊、水库、山塘、蓄滞洪空间和排涝通道等建设建（构）筑物，禁止影响防洪（潮）排涝和行洪安全的项目建设。</w:t>
      </w:r>
    </w:p>
    <w:p>
      <w:pPr>
        <w:widowControl/>
        <w:snapToGrid w:val="0"/>
        <w:spacing w:line="560" w:lineRule="exact"/>
        <w:ind w:firstLineChars="200" w:firstLine="640"/>
        <w:rPr>
          <w:rFonts w:ascii="Times New Roman" w:eastAsia="仿宋" w:cs="Times New Roman" w:hAnsi="Times New Roman"/>
          <w:bCs/>
          <w:sz w:val="32"/>
          <w:szCs w:val="32"/>
        </w:rPr>
      </w:pPr>
      <w:r>
        <w:rPr>
          <w:rFonts w:ascii="Times New Roman" w:eastAsia="仿宋" w:cs="Times New Roman" w:hAnsi="Times New Roman"/>
          <w:bCs/>
          <w:sz w:val="32"/>
          <w:szCs w:val="32"/>
        </w:rPr>
        <w:t>4.</w:t>
      </w:r>
      <w:r>
        <w:rPr>
          <w:rFonts w:ascii="Times New Roman" w:eastAsia="仿宋" w:cs="Times New Roman" w:hAnsi="Times New Roman" w:hint="eastAsia"/>
          <w:bCs/>
          <w:sz w:val="32"/>
          <w:szCs w:val="32"/>
        </w:rPr>
        <w:t>河湖管理范围线</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严格控制河湖管理范围内水域岸线利用行为。钦北区河湖管理范围</w:t>
      </w:r>
      <w:r>
        <w:rPr>
          <w:rFonts w:ascii="Times New Roman" w:eastAsia="仿宋" w:cs="Times New Roman" w:hAnsi="Times New Roman"/>
          <w:sz w:val="32"/>
          <w:szCs w:val="32"/>
        </w:rPr>
        <w:t>35.69</w:t>
      </w:r>
      <w:r>
        <w:rPr>
          <w:rFonts w:ascii="Times New Roman" w:eastAsia="仿宋" w:cs="Times New Roman" w:hAnsi="Times New Roman" w:hint="eastAsia"/>
          <w:sz w:val="32"/>
          <w:szCs w:val="32"/>
        </w:rPr>
        <w:t>平方千米，主要涉及钦江、茅岭江、大寺江、板城江、那蒙江等河流。</w:t>
      </w:r>
      <w:r>
        <w:rPr>
          <w:rFonts w:ascii="Times New Roman" w:eastAsia="仿宋" w:cs="Times New Roman" w:hAnsi="Times New Roman"/>
          <w:sz w:val="32"/>
          <w:szCs w:val="32"/>
        </w:rPr>
        <w:t>河湖管理范围内不得建设住宅、商业用房、办公用房、厂房、宾馆、饭店以及其他与河湖管理无关、侵占水域岸线、破坏水环境的建筑物。河湖管理范围线外保护范围内，不得擅自建设与防洪无关的工程设施。确需建设的，应当按照建设程序报请批准，审批部门应当征求水行政主管部门的意见。</w:t>
      </w:r>
    </w:p>
    <w:p>
      <w:pPr>
        <w:widowControl/>
        <w:snapToGrid w:val="0"/>
        <w:spacing w:line="560" w:lineRule="exact"/>
        <w:ind w:firstLineChars="200" w:firstLine="640"/>
        <w:rPr>
          <w:rFonts w:ascii="Times New Roman" w:eastAsia="仿宋" w:cs="Times New Roman" w:hAnsi="Times New Roman"/>
          <w:bCs/>
          <w:sz w:val="32"/>
          <w:szCs w:val="32"/>
        </w:rPr>
      </w:pPr>
      <w:r>
        <w:rPr>
          <w:rFonts w:ascii="Times New Roman" w:eastAsia="仿宋" w:cs="Times New Roman" w:hAnsi="Times New Roman"/>
          <w:bCs/>
          <w:sz w:val="32"/>
          <w:szCs w:val="32"/>
        </w:rPr>
        <w:t>5.</w:t>
      </w:r>
      <w:r>
        <w:rPr>
          <w:rFonts w:ascii="Times New Roman" w:eastAsia="仿宋" w:cs="Times New Roman" w:hAnsi="Times New Roman" w:hint="eastAsia"/>
          <w:bCs/>
          <w:sz w:val="32"/>
          <w:szCs w:val="32"/>
        </w:rPr>
        <w:t>饮用水水源保护区</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严格保护饮用水水源保护区。钦北区涉及大马鞍水库—南蛇水库饮用水保护区、茅岭江饮用水保护区、钦江饮用水保护区。饮用地表水一级保护区内，禁止新建、扩建与供水设施和保护水源无关的建设项目；禁止向水域排放污水，已设置的排污口必须拆除；不得设置与供水需要无关的码头，禁止停靠船舶；禁止堆置和存放工业废渣、城市垃圾、粪便和其他废弃物；禁止设置油库；禁止从事种植、放养畜禽和网箱养殖活动；禁止其他可能污染水源的旅游活动和其他活动。二级保护区内，禁止新建、改建、扩建排放污染物的建设项目；原有排污口依法拆除或者关闭；禁止设立装卸垃圾、粪便、油类和有毒物品的码头。</w:t>
      </w:r>
    </w:p>
    <w:p>
      <w:pPr>
        <w:pStyle w:val="32"/>
      </w:pPr>
      <w:bookmarkStart w:id="50" w:name="_Toc11468"/>
      <w:bookmarkStart w:id="51" w:name="_Toc209510453"/>
      <w:r>
        <w:t>用地布局</w:t>
      </w:r>
      <w:bookmarkEnd w:id="50"/>
      <w:bookmarkEnd w:id="51"/>
    </w:p>
    <w:p>
      <w:pPr>
        <w:pStyle w:val="2"/>
        <w:ind w:left="0" w:firstLineChars="200" w:firstLine="640"/>
      </w:pPr>
      <w:bookmarkStart w:id="52" w:name="_Toc21194"/>
      <w:bookmarkStart w:id="53" w:name="_Toc209510454"/>
      <w:r>
        <w:t>村庄建设用地布局通用要求</w:t>
      </w:r>
      <w:bookmarkEnd w:id="52"/>
      <w:bookmarkEnd w:id="53"/>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村民住宅、公共服务设施、市政公用设施、乡村产业等用地布局应当遵循的一般原则：</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w:t>
      </w:r>
      <w:r>
        <w:rPr>
          <w:rFonts w:ascii="Times New Roman" w:eastAsia="仿宋" w:cs="Times New Roman" w:hAnsi="Times New Roman"/>
          <w:sz w:val="32"/>
          <w:szCs w:val="32"/>
        </w:rPr>
        <w:t>应选址在地质条件较好、环境适宜、交通方便的地段。</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2.</w:t>
      </w:r>
      <w:r>
        <w:rPr>
          <w:rFonts w:ascii="Times New Roman" w:eastAsia="仿宋" w:cs="Times New Roman" w:hAnsi="Times New Roman"/>
          <w:sz w:val="32"/>
          <w:szCs w:val="32"/>
        </w:rPr>
        <w:t>合理用地，节约用地，新增村庄建设用地应与农村土地综合整治相结合，充分利用原有闲置宅基地、村内空闲地、村周边的丘陵坡地或其他未利用地，少占或不占耕地。</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3.村庄建设不得在下列地点或地段选址：</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w:t>
      </w:r>
      <w:r>
        <w:rPr>
          <w:rFonts w:ascii="Times New Roman" w:eastAsia="仿宋" w:cs="Times New Roman" w:hAnsi="Times New Roman"/>
          <w:sz w:val="32"/>
          <w:szCs w:val="32"/>
        </w:rPr>
        <w:t>山体滑坡、泥石流、危岩、塌陷等地质灾害易发区或次生灾害隐患易发地段</w:t>
      </w:r>
      <w:r>
        <w:rPr>
          <w:rFonts w:ascii="Times New Roman" w:eastAsia="仿宋" w:cs="Times New Roman" w:hAnsi="Times New Roman" w:hint="eastAsia"/>
          <w:sz w:val="32"/>
          <w:szCs w:val="32"/>
        </w:rPr>
        <w:t>，</w:t>
      </w:r>
      <w:r>
        <w:rPr>
          <w:rFonts w:ascii="Times New Roman" w:eastAsia="仿宋" w:cs="Times New Roman" w:hAnsi="Times New Roman"/>
          <w:sz w:val="32"/>
          <w:szCs w:val="32"/>
        </w:rPr>
        <w:t>洪涝灾害危险地段。</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（2）</w:t>
      </w:r>
      <w:r>
        <w:rPr>
          <w:rFonts w:ascii="Times New Roman" w:eastAsia="仿宋" w:cs="Times New Roman" w:hAnsi="Times New Roman"/>
          <w:sz w:val="32"/>
          <w:szCs w:val="32"/>
        </w:rPr>
        <w:t>永久基本农田、风景名胜区核心保护区、自然保护区、饮用水源一级保护区、历史文化核心保护范围、文物保护区</w:t>
      </w:r>
      <w:r>
        <w:rPr>
          <w:rFonts w:ascii="Times New Roman" w:eastAsia="仿宋" w:cs="Times New Roman" w:hAnsi="Times New Roman" w:hint="eastAsia"/>
          <w:sz w:val="32"/>
          <w:szCs w:val="32"/>
        </w:rPr>
        <w:t>范围内；</w:t>
      </w:r>
      <w:r>
        <w:rPr>
          <w:rFonts w:ascii="Times New Roman" w:eastAsia="仿宋" w:cs="Times New Roman" w:hAnsi="Times New Roman"/>
          <w:sz w:val="32"/>
          <w:szCs w:val="32"/>
        </w:rPr>
        <w:t>原住居民住宅及必需的生产生活设施建设确需在生态保护红线内选址的，应符合</w:t>
      </w:r>
      <w:r>
        <w:rPr>
          <w:rFonts w:ascii="Times New Roman" w:eastAsia="仿宋" w:cs="Times New Roman" w:hAnsi="Times New Roman" w:hint="eastAsia"/>
          <w:sz w:val="32"/>
          <w:szCs w:val="32"/>
        </w:rPr>
        <w:t>《广</w:t>
      </w:r>
      <w:r>
        <w:rPr>
          <w:rFonts w:ascii="Times New Roman" w:eastAsia="仿宋" w:cs="Times New Roman" w:hAnsi="Times New Roman"/>
          <w:sz w:val="32"/>
          <w:szCs w:val="32"/>
        </w:rPr>
        <w:t>西生态保护红线监管办法</w:t>
      </w:r>
      <w:r>
        <w:rPr>
          <w:rFonts w:ascii="Times New Roman" w:eastAsia="仿宋" w:cs="Times New Roman" w:hAnsi="Times New Roman" w:hint="eastAsia"/>
          <w:sz w:val="32"/>
          <w:szCs w:val="32"/>
        </w:rPr>
        <w:t>（</w:t>
      </w:r>
      <w:r>
        <w:rPr>
          <w:rFonts w:ascii="Times New Roman" w:eastAsia="仿宋" w:cs="Times New Roman" w:hAnsi="Times New Roman"/>
          <w:sz w:val="32"/>
          <w:szCs w:val="32"/>
        </w:rPr>
        <w:t>试行</w:t>
      </w:r>
      <w:r>
        <w:rPr>
          <w:rFonts w:ascii="Times New Roman" w:eastAsia="仿宋" w:cs="Times New Roman" w:hAnsi="Times New Roman" w:hint="eastAsia"/>
          <w:sz w:val="32"/>
          <w:szCs w:val="32"/>
        </w:rPr>
        <w:t>）</w:t>
      </w:r>
      <w:r>
        <w:rPr>
          <w:rFonts w:ascii="Times New Roman" w:eastAsia="仿宋" w:cs="Times New Roman" w:hAnsi="Times New Roman"/>
          <w:sz w:val="32"/>
          <w:szCs w:val="32"/>
        </w:rPr>
        <w:t>》的要求，并确保不突破所涉及的生态红线管理单元现有建设用地规模。</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（3）</w:t>
      </w:r>
      <w:r>
        <w:rPr>
          <w:rFonts w:ascii="Times New Roman" w:eastAsia="仿宋" w:cs="Times New Roman" w:hAnsi="Times New Roman"/>
          <w:sz w:val="32"/>
          <w:szCs w:val="32"/>
        </w:rPr>
        <w:t>河道管理范围及水库、渠道控制区范围内</w:t>
      </w:r>
      <w:r>
        <w:rPr>
          <w:rFonts w:ascii="Times New Roman" w:eastAsia="仿宋" w:cs="Times New Roman" w:hAnsi="Times New Roman" w:hint="eastAsia"/>
          <w:sz w:val="32"/>
          <w:szCs w:val="32"/>
        </w:rPr>
        <w:t>。</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（4）</w:t>
      </w:r>
      <w:r>
        <w:rPr>
          <w:rFonts w:ascii="Times New Roman" w:eastAsia="仿宋" w:cs="Times New Roman" w:hAnsi="Times New Roman"/>
          <w:sz w:val="32"/>
          <w:szCs w:val="32"/>
        </w:rPr>
        <w:t>危险化学品生产企业、危险化学品储存仓库或危房</w:t>
      </w:r>
      <w:r>
        <w:rPr>
          <w:rFonts w:ascii="Times New Roman" w:eastAsia="仿宋" w:cs="Times New Roman" w:hAnsi="Times New Roman" w:hint="eastAsia"/>
          <w:sz w:val="32"/>
          <w:szCs w:val="32"/>
        </w:rPr>
        <w:t>旁边</w:t>
      </w:r>
      <w:r>
        <w:rPr>
          <w:rFonts w:ascii="Times New Roman" w:eastAsia="仿宋" w:cs="Times New Roman" w:hAnsi="Times New Roman"/>
          <w:sz w:val="32"/>
          <w:szCs w:val="32"/>
        </w:rPr>
        <w:t>。</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（5）</w:t>
      </w:r>
      <w:r>
        <w:rPr>
          <w:rFonts w:ascii="Times New Roman" w:eastAsia="仿宋" w:cs="Times New Roman" w:hAnsi="Times New Roman"/>
          <w:sz w:val="32"/>
          <w:szCs w:val="32"/>
        </w:rPr>
        <w:t>输油、输气管道上、高压供电走廊下。</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（6）法律、法规</w:t>
      </w:r>
      <w:r>
        <w:rPr>
          <w:rFonts w:ascii="Times New Roman" w:eastAsia="仿宋" w:cs="Times New Roman" w:hAnsi="Times New Roman"/>
          <w:sz w:val="32"/>
          <w:szCs w:val="32"/>
        </w:rPr>
        <w:t>禁止建设建（构）筑物的其他区域。</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4.</w:t>
      </w:r>
      <w:r>
        <w:rPr>
          <w:rFonts w:ascii="Times New Roman" w:eastAsia="仿宋" w:cs="Times New Roman" w:hAnsi="Times New Roman" w:hint="eastAsia"/>
          <w:sz w:val="32"/>
          <w:szCs w:val="32"/>
        </w:rPr>
        <w:t>村庄建设应符合附表</w:t>
      </w:r>
      <w:r>
        <w:rPr>
          <w:rFonts w:ascii="Times New Roman" w:eastAsia="仿宋" w:cs="Times New Roman" w:hAnsi="Times New Roman"/>
          <w:sz w:val="32"/>
          <w:szCs w:val="32"/>
        </w:rPr>
        <w:t>5</w:t>
      </w:r>
      <w:r>
        <w:rPr>
          <w:rFonts w:ascii="Times New Roman" w:eastAsia="仿宋" w:cs="Times New Roman" w:hAnsi="Times New Roman" w:hint="eastAsia"/>
          <w:sz w:val="32"/>
          <w:szCs w:val="32"/>
        </w:rPr>
        <w:t>乡村建设行为负面清单的规定。</w:t>
      </w:r>
    </w:p>
    <w:p>
      <w:pPr>
        <w:pStyle w:val="2"/>
        <w:ind w:left="0" w:firstLineChars="200" w:firstLine="640"/>
      </w:pPr>
      <w:bookmarkStart w:id="54" w:name="_Toc209510455"/>
      <w:bookmarkStart w:id="55" w:name="_Toc6438"/>
      <w:r>
        <w:t>村民住房布局要求</w:t>
      </w:r>
      <w:bookmarkEnd w:id="54"/>
      <w:bookmarkEnd w:id="55"/>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除通用要求外，村民住宅选址还应当符合以下要求：</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w:t>
      </w:r>
      <w:r>
        <w:rPr>
          <w:rFonts w:ascii="Times New Roman" w:eastAsia="仿宋" w:cs="Times New Roman" w:hAnsi="Times New Roman"/>
          <w:sz w:val="32"/>
          <w:szCs w:val="32"/>
        </w:rPr>
        <w:t>引导集聚、预留空间，有利生产、方便生活。</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2.</w:t>
      </w:r>
      <w:r>
        <w:rPr>
          <w:rFonts w:ascii="Times New Roman" w:eastAsia="仿宋" w:cs="Times New Roman" w:hAnsi="Times New Roman"/>
          <w:sz w:val="32"/>
          <w:szCs w:val="32"/>
        </w:rPr>
        <w:t>严格控制利用山体切坡作为建设选址用地，确实无法避让的，应治理达到安全标准及相关要求后方可作为选址用地。</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3.</w:t>
      </w:r>
      <w:r>
        <w:rPr>
          <w:rFonts w:hint="eastAsia"/>
        </w:rPr>
        <w:t xml:space="preserve"> </w:t>
      </w:r>
      <w:r>
        <w:rPr>
          <w:rFonts w:ascii="Times New Roman" w:eastAsia="仿宋" w:cs="Times New Roman" w:hAnsi="Times New Roman" w:hint="eastAsia"/>
          <w:sz w:val="32"/>
          <w:szCs w:val="32"/>
        </w:rPr>
        <w:t>严格落实“一户一宅”政策要求，引导在村庄建设边界内选址，并尽量使用原有的宅基地和村内空闲地。经批准易地建造住宅的，应当严格按照“建新拆旧”要求将原宅基地交还给村集体。</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4.符合上位及相关规划对住宅建设选址的管控要求；</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5.村民新建住宅选址应征求用地建房相邻权益人的意见，并经村民小组会议审查讨论，三分之二以上村民小组成员或者三分之二以上村民代表同意，公示无异议</w:t>
      </w:r>
      <w:r>
        <w:rPr>
          <w:rFonts w:ascii="Times New Roman" w:eastAsia="仿宋" w:cs="Times New Roman" w:hAnsi="Times New Roman" w:hint="eastAsia"/>
          <w:sz w:val="32"/>
          <w:szCs w:val="32"/>
        </w:rPr>
        <w:t>后方可上报审批</w:t>
      </w:r>
      <w:r>
        <w:rPr>
          <w:rFonts w:ascii="Times New Roman" w:eastAsia="仿宋" w:cs="Times New Roman" w:hAnsi="Times New Roman"/>
          <w:sz w:val="32"/>
          <w:szCs w:val="32"/>
        </w:rPr>
        <w:t>。</w:t>
      </w:r>
    </w:p>
    <w:p>
      <w:pPr>
        <w:pStyle w:val="2"/>
        <w:ind w:left="0" w:firstLineChars="200" w:firstLine="640"/>
      </w:pPr>
      <w:bookmarkStart w:id="56" w:name="_Toc209510456"/>
      <w:bookmarkStart w:id="57" w:name="_Toc19278"/>
      <w:r>
        <w:t>公共服务设施布局要求</w:t>
      </w:r>
      <w:bookmarkEnd w:id="56"/>
      <w:bookmarkEnd w:id="57"/>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除通用要求外，公共服务设施选址还应当符合以下要求：</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w:t>
      </w:r>
      <w:r>
        <w:rPr>
          <w:rFonts w:ascii="Times New Roman" w:eastAsia="仿宋" w:cs="Times New Roman" w:hAnsi="Times New Roman"/>
          <w:sz w:val="32"/>
          <w:szCs w:val="32"/>
        </w:rPr>
        <w:t>.鼓励乡村公共服务设施充分利用现有存量建设用地空间，综合行政管理、治理服务、医疗卫生、文化体育等功能复合设置，选址宜布置在位置适中、内外联系方便的地段，方便村民使用。</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2.</w:t>
      </w:r>
      <w:r>
        <w:rPr>
          <w:rFonts w:ascii="Times New Roman" w:eastAsia="仿宋" w:cs="Times New Roman" w:hAnsi="Times New Roman" w:hint="eastAsia"/>
          <w:sz w:val="32"/>
          <w:szCs w:val="32"/>
        </w:rPr>
        <w:t>村级公共服务设施的配置应落实乡镇国土空间规划等上位规划及其他相关规划对公共服务设施的布置要求。公共服务设施宜依托行政村集中居民点或自然村组，综合考虑乡村居民常用交通方式，配置满足就近使用需求的服务要素，并注重相邻村庄之间服务要素的错位配置和共享使用，鼓励有条件的村村之间、村镇（乡）之间、村城之间共享公共服务设施，以促进农村土地节约集约利用，保障乡村基本公共服务水平，实现生产生活设施的便利化。配置标准宜参照下表执行：</w:t>
      </w:r>
    </w:p>
    <w:p>
      <w:pPr>
        <w:widowControl/>
        <w:snapToGrid w:val="0"/>
        <w:spacing w:line="560" w:lineRule="exact"/>
        <w:ind w:firstLine="560"/>
        <w:jc w:val="center"/>
        <w:rPr>
          <w:rFonts w:ascii="Times New Roman" w:eastAsia="仿宋" w:cs="Times New Roman" w:hAnsi="Times New Roman"/>
          <w:sz w:val="28"/>
          <w:szCs w:val="32"/>
        </w:rPr>
      </w:pPr>
      <w:r>
        <w:rPr>
          <w:rFonts w:ascii="Times New Roman" w:eastAsia="仿宋" w:cs="Times New Roman" w:hAnsi="Times New Roman" w:hint="eastAsia"/>
          <w:sz w:val="28"/>
          <w:szCs w:val="32"/>
        </w:rPr>
        <w:t>表</w:t>
      </w:r>
      <w:r>
        <w:rPr>
          <w:rFonts w:ascii="Times New Roman" w:eastAsia="仿宋" w:cs="Times New Roman" w:hAnsi="Times New Roman"/>
          <w:sz w:val="28"/>
          <w:szCs w:val="32"/>
        </w:rPr>
        <w:t xml:space="preserve">3-1 </w:t>
      </w:r>
      <w:r>
        <w:rPr>
          <w:rFonts w:ascii="Times New Roman" w:eastAsia="仿宋" w:cs="Times New Roman" w:hAnsi="Times New Roman" w:hint="eastAsia"/>
          <w:sz w:val="28"/>
          <w:szCs w:val="32"/>
        </w:rPr>
        <w:t>乡村公共服务设施配置表</w:t>
      </w:r>
    </w:p>
    <w:tbl>
      <w:tblPr>
        <w:jc w:val="cente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7"/>
        <w:gridCol w:w="1116"/>
        <w:gridCol w:w="966"/>
        <w:gridCol w:w="968"/>
        <w:gridCol w:w="3450"/>
        <w:gridCol w:w="938"/>
      </w:tblGrid>
      <w:tr>
        <w:trPr>
          <w:trHeight w:val="20"/>
          <w:tblHeader/>
        </w:trPr>
        <w:tc>
          <w:tcPr>
            <w:tcW w:w="43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分类</w:t>
            </w:r>
          </w:p>
        </w:tc>
        <w:tc>
          <w:tcPr>
            <w:tcW w:w="685"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设施名称</w:t>
            </w:r>
          </w:p>
        </w:tc>
        <w:tc>
          <w:tcPr>
            <w:tcW w:w="1187" w:type="pct"/>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圈层划分</w:t>
            </w:r>
          </w:p>
        </w:tc>
        <w:tc>
          <w:tcPr>
            <w:tcW w:w="2118"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配置要求</w:t>
            </w:r>
          </w:p>
        </w:tc>
        <w:tc>
          <w:tcPr>
            <w:tcW w:w="576"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配置指标</w:t>
            </w:r>
          </w:p>
        </w:tc>
      </w:tr>
      <w:tr>
        <w:trPr>
          <w:trHeight w:val="20"/>
          <w:tblHeader/>
        </w:trPr>
        <w:tc>
          <w:tcPr>
            <w:tcW w:w="434" w:type="pct"/>
            <w:vMerge/>
            <w:tcBorders>
              <w:top w:val="single" w:sz="4" w:space="0" w:color="auto"/>
              <w:left w:val="single" w:sz="4" w:space="0" w:color="auto"/>
              <w:bottom w:val="single" w:sz="4" w:space="0" w:color="auto"/>
              <w:right w:val="single" w:sz="4" w:space="0" w:color="auto"/>
            </w:tcBorders>
            <w:vAlign w:val="center"/>
          </w:tcPr>
          <w:p/>
        </w:tc>
        <w:tc>
          <w:tcPr>
            <w:tcW w:w="685" w:type="pct"/>
            <w:vMerge/>
            <w:tcBorders>
              <w:top w:val="single" w:sz="4" w:space="0" w:color="auto"/>
              <w:left w:val="single" w:sz="4" w:space="0" w:color="auto"/>
              <w:bottom w:val="single" w:sz="4" w:space="0" w:color="auto"/>
              <w:right w:val="single" w:sz="4" w:space="0" w:color="auto"/>
            </w:tcBorders>
            <w:vAlign w:val="center"/>
          </w:tcP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村委所在自然村</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非村委所在自然村</w:t>
            </w:r>
          </w:p>
        </w:tc>
        <w:tc>
          <w:tcPr>
            <w:tcW w:w="2118" w:type="pct"/>
            <w:vMerge/>
            <w:tcBorders>
              <w:top w:val="single" w:sz="4" w:space="0" w:color="auto"/>
              <w:left w:val="single" w:sz="4" w:space="0" w:color="auto"/>
              <w:bottom w:val="single" w:sz="4" w:space="0" w:color="auto"/>
              <w:right w:val="single" w:sz="4" w:space="0" w:color="auto"/>
            </w:tcBorders>
            <w:vAlign w:val="center"/>
          </w:tcPr>
          <w:p/>
        </w:tc>
        <w:tc>
          <w:tcPr>
            <w:tcW w:w="576" w:type="pct"/>
            <w:vMerge/>
            <w:tcBorders>
              <w:top w:val="single" w:sz="4" w:space="0" w:color="auto"/>
              <w:left w:val="single" w:sz="4" w:space="0" w:color="auto"/>
              <w:bottom w:val="single" w:sz="4" w:space="0" w:color="auto"/>
              <w:right w:val="single" w:sz="4" w:space="0" w:color="auto"/>
            </w:tcBorders>
            <w:vAlign w:val="center"/>
          </w:tcPr>
          <w:p/>
        </w:tc>
      </w:tr>
      <w:tr>
        <w:trPr>
          <w:trHeight w:val="309"/>
        </w:trPr>
        <w:tc>
          <w:tcPr>
            <w:tcW w:w="43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健康管理</w:t>
            </w: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村卫生室</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各行政村设一处，村域面积较大或集中居民点较分散情况下可多点设置</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为老服务</w:t>
            </w: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老年活动室</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各行政村设一处，村域面积较大或集中居民点较分散情况下可多点设置</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vMerge/>
            <w:tcBorders>
              <w:top w:val="single" w:sz="4" w:space="0" w:color="auto"/>
              <w:left w:val="single" w:sz="4" w:space="0" w:color="auto"/>
              <w:bottom w:val="single" w:sz="4" w:space="0" w:color="auto"/>
              <w:right w:val="single" w:sz="4" w:space="0" w:color="auto"/>
            </w:tcBorders>
            <w:vAlign w:val="center"/>
          </w:tcP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村级幸福院</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lang w:val="ca-ES"/>
              </w:rPr>
              <w:t>-</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应独立占地</w:t>
            </w:r>
          </w:p>
        </w:tc>
      </w:tr>
      <w:tr>
        <w:trPr>
          <w:trHeight w:val="20"/>
        </w:trPr>
        <w:tc>
          <w:tcPr>
            <w:tcW w:w="434" w:type="pct"/>
            <w:vMerge/>
            <w:tcBorders>
              <w:top w:val="single" w:sz="4" w:space="0" w:color="auto"/>
              <w:left w:val="single" w:sz="4" w:space="0" w:color="auto"/>
              <w:bottom w:val="single" w:sz="4" w:space="0" w:color="auto"/>
              <w:right w:val="single" w:sz="4" w:space="0" w:color="auto"/>
            </w:tcBorders>
            <w:vAlign w:val="center"/>
          </w:tcP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老年人日间照料中心</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lang w:val="ca-ES"/>
              </w:rPr>
              <w:t>-</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终身教育</w:t>
            </w: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村幼儿园</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邻近村庄可集中设置一处</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应独立占地</w:t>
            </w:r>
          </w:p>
        </w:tc>
      </w:tr>
      <w:tr>
        <w:trPr>
          <w:trHeight w:val="20"/>
        </w:trPr>
        <w:tc>
          <w:tcPr>
            <w:tcW w:w="434" w:type="pct"/>
            <w:vMerge/>
            <w:tcBorders>
              <w:top w:val="single" w:sz="4" w:space="0" w:color="auto"/>
              <w:left w:val="single" w:sz="4" w:space="0" w:color="auto"/>
              <w:bottom w:val="single" w:sz="4" w:space="0" w:color="auto"/>
              <w:right w:val="single" w:sz="4" w:space="0" w:color="auto"/>
            </w:tcBorders>
            <w:vAlign w:val="center"/>
          </w:tcP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乡村小规模学校</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邻近村庄可集中设置一处</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应独立占地</w:t>
            </w:r>
          </w:p>
        </w:tc>
      </w:tr>
      <w:tr>
        <w:trPr>
          <w:trHeight w:val="20"/>
        </w:trPr>
        <w:tc>
          <w:tcPr>
            <w:tcW w:w="43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文化活动</w:t>
            </w: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文化活动室</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各行政村设一处，村域面积较大或集中居民点较分散情况下可多点设置</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vMerge/>
            <w:tcBorders>
              <w:top w:val="single" w:sz="4" w:space="0" w:color="auto"/>
              <w:left w:val="single" w:sz="4" w:space="0" w:color="auto"/>
              <w:bottom w:val="single" w:sz="4" w:space="0" w:color="auto"/>
              <w:right w:val="single" w:sz="4" w:space="0" w:color="auto"/>
            </w:tcBorders>
            <w:vAlign w:val="center"/>
          </w:tcP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农家书屋</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各行政村设一处，村域面积较大或集中居民点较分散情况下可多点设置</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vMerge/>
            <w:tcBorders>
              <w:top w:val="single" w:sz="4" w:space="0" w:color="auto"/>
              <w:left w:val="single" w:sz="4" w:space="0" w:color="auto"/>
              <w:bottom w:val="single" w:sz="4" w:space="0" w:color="auto"/>
              <w:right w:val="single" w:sz="4" w:space="0" w:color="auto"/>
            </w:tcBorders>
            <w:vAlign w:val="center"/>
          </w:tcP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红白喜事厅</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lang w:val="ca-ES"/>
              </w:rPr>
              <w:t>-</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vMerge/>
            <w:tcBorders>
              <w:top w:val="single" w:sz="4" w:space="0" w:color="auto"/>
              <w:left w:val="single" w:sz="4" w:space="0" w:color="auto"/>
              <w:bottom w:val="single" w:sz="4" w:space="0" w:color="auto"/>
              <w:right w:val="single" w:sz="4" w:space="0" w:color="auto"/>
            </w:tcBorders>
            <w:vAlign w:val="center"/>
          </w:tcP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特色民俗活动点</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lang w:val="ca-ES"/>
              </w:rPr>
              <w:t>-</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体育健身</w:t>
            </w: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健身广场</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lang w:val="ca-ES"/>
              </w:rPr>
              <w:t>-</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商业服务</w:t>
            </w: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便民农家店</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各行政村设一处，村域面积较大或集中居民点较分散情况下可多点设置</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vMerge/>
            <w:tcBorders>
              <w:top w:val="single" w:sz="4" w:space="0" w:color="auto"/>
              <w:left w:val="single" w:sz="4" w:space="0" w:color="auto"/>
              <w:bottom w:val="single" w:sz="4" w:space="0" w:color="auto"/>
              <w:right w:val="single" w:sz="4" w:space="0" w:color="auto"/>
            </w:tcBorders>
            <w:vAlign w:val="center"/>
          </w:tcP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金融电信服务点</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lang w:val="ca-ES"/>
              </w:rPr>
              <w:t>-</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43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行政管理</w:t>
            </w:r>
          </w:p>
        </w:tc>
        <w:tc>
          <w:tcPr>
            <w:tcW w:w="685"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村务室</w:t>
            </w:r>
          </w:p>
        </w:tc>
        <w:tc>
          <w:tcPr>
            <w:tcW w:w="593"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5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c>
          <w:tcPr>
            <w:tcW w:w="211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各行政村设一处，村域面积较大或集中居民点较分散情况下可多点设置</w:t>
            </w:r>
          </w:p>
        </w:tc>
        <w:tc>
          <w:tcPr>
            <w:tcW w:w="576"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宜综合设置</w:t>
            </w:r>
          </w:p>
        </w:tc>
      </w:tr>
      <w:tr>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pPr>
              <w:widowControl/>
              <w:jc w:val="left"/>
              <w:rPr>
                <w:rFonts w:ascii="仿宋" w:eastAsia="仿宋" w:cs="宋体" w:hAnsi="仿宋"/>
                <w:color w:val="000000"/>
                <w:kern w:val="0"/>
                <w:sz w:val="24"/>
              </w:rPr>
            </w:pPr>
            <w:r>
              <w:rPr>
                <w:rFonts w:ascii="仿宋" w:eastAsia="仿宋" w:cs="宋体" w:hAnsi="仿宋" w:hint="eastAsia"/>
                <w:color w:val="000000"/>
                <w:kern w:val="0"/>
                <w:sz w:val="24"/>
              </w:rPr>
              <w:t>注：●表示应建，○表示可建。</w:t>
            </w:r>
          </w:p>
        </w:tc>
      </w:tr>
    </w:tbl>
    <w:p>
      <w:pPr>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4.</w:t>
      </w:r>
      <w:r>
        <w:rPr>
          <w:rFonts w:ascii="Times New Roman" w:eastAsia="仿宋" w:cs="Times New Roman" w:hAnsi="Times New Roman" w:hint="eastAsia"/>
          <w:sz w:val="32"/>
          <w:szCs w:val="32"/>
        </w:rPr>
        <w:t>农村小学选址应符合现行《中小学校设计规范（GB50099-2011）》《农村普通中小学校建设标准（建标109-2008）》的规定，幼儿园选址应符合《托儿所、幼儿园建筑设计规范 （JGJ39-2016）》（2019年版）、《幼儿园建设标准（建标175-2016）》的规定，选址宜参考下表要求：</w:t>
      </w:r>
    </w:p>
    <w:p>
      <w:pPr>
        <w:snapToGrid w:val="0"/>
        <w:spacing w:line="560" w:lineRule="exact"/>
        <w:jc w:val="center"/>
        <w:rPr>
          <w:rFonts w:ascii="Times New Roman" w:eastAsia="仿宋" w:cs="Times New Roman" w:hAnsi="Times New Roman"/>
          <w:sz w:val="28"/>
          <w:szCs w:val="32"/>
        </w:rPr>
      </w:pPr>
      <w:r>
        <w:rPr>
          <w:rFonts w:ascii="Times New Roman" w:eastAsia="仿宋" w:cs="Times New Roman" w:hAnsi="Times New Roman" w:hint="eastAsia"/>
          <w:sz w:val="28"/>
          <w:szCs w:val="32"/>
        </w:rPr>
        <w:t>表</w:t>
      </w:r>
      <w:r>
        <w:rPr>
          <w:rFonts w:ascii="Times New Roman" w:eastAsia="仿宋" w:cs="Times New Roman" w:hAnsi="Times New Roman"/>
          <w:sz w:val="28"/>
          <w:szCs w:val="32"/>
        </w:rPr>
        <w:t xml:space="preserve">3-2 </w:t>
      </w:r>
      <w:r>
        <w:rPr>
          <w:rFonts w:ascii="Times New Roman" w:eastAsia="仿宋" w:cs="Times New Roman" w:hAnsi="Times New Roman" w:hint="eastAsia"/>
          <w:sz w:val="28"/>
          <w:szCs w:val="32"/>
        </w:rPr>
        <w:t>小学、幼儿园其他选址要求一览表</w:t>
      </w:r>
    </w:p>
    <w:tbl>
      <w:tblPr>
        <w:jc w:val="left"/>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657"/>
        <w:gridCol w:w="6002"/>
        <w:gridCol w:w="682"/>
        <w:gridCol w:w="954"/>
      </w:tblGrid>
      <w:tr>
        <w:trPr>
          <w:trHeight w:val="403"/>
          <w:tblHeader/>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b/>
                <w:bCs/>
                <w:spacing w:val="-4"/>
                <w:sz w:val="24"/>
              </w:rPr>
              <w:t>序号</w:t>
            </w:r>
          </w:p>
        </w:tc>
        <w:tc>
          <w:tcPr>
            <w:tcW w:w="3618"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b/>
                <w:bCs/>
                <w:spacing w:val="-4"/>
                <w:sz w:val="24"/>
              </w:rPr>
              <w:t>选址一般要求</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b/>
                <w:bCs/>
                <w:spacing w:val="-6"/>
                <w:sz w:val="24"/>
              </w:rPr>
              <w:t>小学</w:t>
            </w: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b/>
                <w:bCs/>
                <w:spacing w:val="1"/>
                <w:sz w:val="24"/>
              </w:rPr>
              <w:t>幼儿园</w:t>
            </w:r>
          </w:p>
        </w:tc>
      </w:tr>
      <w:tr>
        <w:trPr>
          <w:trHeight w:val="659"/>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sz w:val="24"/>
              </w:rPr>
              <w:t>1</w:t>
            </w:r>
          </w:p>
        </w:tc>
        <w:tc>
          <w:tcPr>
            <w:tcW w:w="3618" w:type="pct"/>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pacing w:val="-1"/>
                <w:sz w:val="24"/>
              </w:rPr>
              <w:t>符合所在辖区内农村义务教育学校布局专项规</w:t>
            </w:r>
            <w:r>
              <w:rPr>
                <w:rFonts w:ascii="Times New Roman" w:eastAsia="仿宋" w:cs="Times New Roman" w:hAnsi="Times New Roman"/>
                <w:sz w:val="24"/>
              </w:rPr>
              <w:t>划的总体要求，在规定的区域内选址。</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r>
      <w:tr>
        <w:trPr>
          <w:trHeight w:val="431"/>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sz w:val="24"/>
              </w:rPr>
              <w:t>2</w:t>
            </w:r>
          </w:p>
        </w:tc>
        <w:tc>
          <w:tcPr>
            <w:tcW w:w="3618" w:type="pct"/>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pacing w:val="-1"/>
                <w:sz w:val="24"/>
              </w:rPr>
              <w:t>应选址在地质条件较好、环境适宜、阳光充足、交通方便、场地平整、排水通畅、基础设施完善、周边绿色植被丰富，符合卫生和环保要求的宜建地带。</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r>
      <w:tr>
        <w:trPr>
          <w:trHeight w:val="626"/>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sz w:val="24"/>
              </w:rPr>
              <w:t>3</w:t>
            </w:r>
          </w:p>
        </w:tc>
        <w:tc>
          <w:tcPr>
            <w:tcW w:w="3618" w:type="pct"/>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z w:val="24"/>
              </w:rPr>
              <w:t>必须避开地震危险地段、可能发生地质灾害和</w:t>
            </w:r>
            <w:r>
              <w:rPr>
                <w:rFonts w:ascii="Times New Roman" w:eastAsia="仿宋" w:cs="Times New Roman" w:hAnsi="Times New Roman"/>
                <w:spacing w:val="-1"/>
                <w:sz w:val="24"/>
              </w:rPr>
              <w:t>洪水灾害的区域等不安全地带，避开输油、输气管道和高压供电走廊等。</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r>
      <w:tr>
        <w:trPr>
          <w:trHeight w:val="679"/>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sz w:val="24"/>
              </w:rPr>
              <w:t>4</w:t>
            </w:r>
          </w:p>
        </w:tc>
        <w:tc>
          <w:tcPr>
            <w:tcW w:w="3618" w:type="pct"/>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pacing w:val="-1"/>
                <w:sz w:val="24"/>
              </w:rPr>
              <w:t>应避免学生就读时跨越公路干线、无立交设施的铁路、无安全通行防护设施的河流及水域。</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r>
      <w:tr>
        <w:trPr>
          <w:trHeight w:val="605"/>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sz w:val="24"/>
              </w:rPr>
              <w:t>5</w:t>
            </w:r>
          </w:p>
        </w:tc>
        <w:tc>
          <w:tcPr>
            <w:tcW w:w="3618" w:type="pct"/>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z w:val="24"/>
              </w:rPr>
              <w:t>必须与铁路、高速公路、机场及飞机起降航线</w:t>
            </w:r>
            <w:r>
              <w:rPr>
                <w:rFonts w:ascii="Times New Roman" w:eastAsia="仿宋" w:cs="Times New Roman" w:hAnsi="Times New Roman"/>
                <w:spacing w:val="-1"/>
                <w:sz w:val="24"/>
              </w:rPr>
              <w:t>有足够的安全、卫生防护距离。应避开主要交通干道、建筑的阴影区等。</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r>
      <w:tr>
        <w:trPr>
          <w:trHeight w:val="63"/>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sz w:val="24"/>
              </w:rPr>
              <w:t>6</w:t>
            </w:r>
          </w:p>
        </w:tc>
        <w:tc>
          <w:tcPr>
            <w:tcW w:w="3618" w:type="pct"/>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z w:val="24"/>
              </w:rPr>
              <w:t>不应与公共娱乐场所、集贸市场、医院传染病</w:t>
            </w:r>
            <w:r>
              <w:rPr>
                <w:rFonts w:ascii="Times New Roman" w:eastAsia="仿宋" w:cs="Times New Roman" w:hAnsi="Times New Roman"/>
                <w:spacing w:val="-1"/>
                <w:sz w:val="24"/>
              </w:rPr>
              <w:t>房、太平间、殡仪馆、气源调压站、高压变配</w:t>
            </w:r>
            <w:r>
              <w:rPr>
                <w:rFonts w:ascii="Times New Roman" w:eastAsia="仿宋" w:cs="Times New Roman" w:hAnsi="Times New Roman"/>
                <w:sz w:val="24"/>
              </w:rPr>
              <w:t>电所、易燃易爆危险品仓库、加油站、公安看</w:t>
            </w:r>
            <w:r>
              <w:rPr>
                <w:rFonts w:ascii="Times New Roman" w:eastAsia="仿宋" w:cs="Times New Roman" w:hAnsi="Times New Roman"/>
                <w:spacing w:val="4"/>
                <w:sz w:val="24"/>
              </w:rPr>
              <w:t>守所、垃圾中转站及污水处理站等喧闹脏乱、</w:t>
            </w:r>
            <w:r>
              <w:rPr>
                <w:rFonts w:ascii="Times New Roman" w:eastAsia="仿宋" w:cs="Times New Roman" w:hAnsi="Times New Roman"/>
                <w:sz w:val="24"/>
              </w:rPr>
              <w:t>不利于学龄儿童身心健康的场所毗邻。</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r>
      <w:tr>
        <w:trPr>
          <w:trHeight w:val="601"/>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sz w:val="24"/>
              </w:rPr>
              <w:t>7</w:t>
            </w:r>
          </w:p>
        </w:tc>
        <w:tc>
          <w:tcPr>
            <w:tcW w:w="3618" w:type="pct"/>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z w:val="24"/>
              </w:rPr>
              <w:t>不应与生产经营贮藏有毒有害、易燃易爆物品</w:t>
            </w:r>
            <w:r>
              <w:rPr>
                <w:rFonts w:ascii="Times New Roman" w:eastAsia="仿宋" w:cs="Times New Roman" w:hAnsi="Times New Roman"/>
                <w:spacing w:val="-1"/>
                <w:sz w:val="24"/>
              </w:rPr>
              <w:t>等危及安全的场所毗邻；不应与通信发生塔（</w:t>
            </w:r>
            <w:r>
              <w:rPr>
                <w:rFonts w:ascii="Times New Roman" w:eastAsia="仿宋" w:cs="Times New Roman" w:hAnsi="Times New Roman"/>
                <w:sz w:val="24"/>
              </w:rPr>
              <w:t>台）等有较强电磁波辐射的场所毗邻。</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r>
      <w:tr>
        <w:trPr>
          <w:trHeight w:val="1205"/>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sz w:val="24"/>
              </w:rPr>
              <w:t>8</w:t>
            </w:r>
          </w:p>
        </w:tc>
        <w:tc>
          <w:tcPr>
            <w:tcW w:w="3618" w:type="pct"/>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pacing w:val="2"/>
                <w:sz w:val="24"/>
              </w:rPr>
              <w:t>不得建在高层建筑内。4个班及以上的托儿所、</w:t>
            </w:r>
            <w:r>
              <w:rPr>
                <w:rFonts w:ascii="Times New Roman" w:eastAsia="仿宋" w:cs="Times New Roman" w:hAnsi="Times New Roman"/>
                <w:sz w:val="24"/>
              </w:rPr>
              <w:t>幼儿园建筑应独立设置。3班及以下时，可与居</w:t>
            </w:r>
            <w:r>
              <w:rPr>
                <w:rFonts w:ascii="Times New Roman" w:eastAsia="仿宋" w:cs="Times New Roman" w:hAnsi="Times New Roman"/>
                <w:spacing w:val="-1"/>
                <w:sz w:val="24"/>
              </w:rPr>
              <w:t>住、养老、教育、办公建筑合建，托儿所生活用房应布置在首层，幼儿园生活用房应布置在三层及以下，应设有独立院落和出入口，室外</w:t>
            </w:r>
            <w:r>
              <w:rPr>
                <w:rFonts w:ascii="Times New Roman" w:eastAsia="仿宋" w:cs="Times New Roman" w:hAnsi="Times New Roman"/>
                <w:sz w:val="24"/>
              </w:rPr>
              <w:t>游戏场地应有防护设施。</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r>
      <w:tr>
        <w:trPr>
          <w:trHeight w:val="476"/>
        </w:trPr>
        <w:tc>
          <w:tcPr>
            <w:tcW w:w="39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Times New Roman" w:eastAsia="仿宋" w:cs="Times New Roman" w:hAnsi="Times New Roman"/>
                <w:sz w:val="24"/>
              </w:rPr>
              <w:t>9</w:t>
            </w:r>
          </w:p>
        </w:tc>
        <w:tc>
          <w:tcPr>
            <w:tcW w:w="3618" w:type="pct"/>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pacing w:val="-1"/>
                <w:sz w:val="24"/>
              </w:rPr>
              <w:t>宜设在集镇或毗邻乡村中小学，应避开养殖场、屠宰场、垃圾填埋场及水面等不良环境。</w:t>
            </w:r>
          </w:p>
        </w:tc>
        <w:tc>
          <w:tcPr>
            <w:tcW w:w="411"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p>
        </w:tc>
        <w:tc>
          <w:tcPr>
            <w:tcW w:w="576" w:type="pct"/>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eastAsia="仿宋" w:cs="Times New Roman" w:hAnsi="Times New Roman"/>
                <w:sz w:val="24"/>
              </w:rPr>
            </w:pPr>
            <w:r>
              <w:rPr>
                <w:rFonts w:ascii="仿宋" w:eastAsia="仿宋" w:cs="宋体" w:hAnsi="仿宋" w:hint="eastAsia"/>
                <w:color w:val="000000"/>
                <w:kern w:val="0"/>
                <w:sz w:val="24"/>
              </w:rPr>
              <w:t>●</w:t>
            </w:r>
          </w:p>
        </w:tc>
      </w:tr>
      <w:tr>
        <w:trPr>
          <w:trHeight w:val="313"/>
        </w:trPr>
        <w:tc>
          <w:tcPr>
            <w:tcW w:w="5000" w:type="pct"/>
            <w:gridSpan w:val="4"/>
            <w:tcBorders>
              <w:top w:val="single" w:sz="4" w:space="0" w:color="000000"/>
              <w:left w:val="single" w:sz="4" w:space="0" w:color="000000"/>
              <w:bottom w:val="single" w:sz="4" w:space="0" w:color="000000"/>
              <w:right w:val="single" w:sz="4" w:space="0" w:color="000000"/>
            </w:tcBorders>
          </w:tcPr>
          <w:p>
            <w:pPr>
              <w:rPr>
                <w:rFonts w:ascii="Times New Roman" w:eastAsia="仿宋" w:cs="Times New Roman" w:hAnsi="Times New Roman"/>
                <w:sz w:val="24"/>
              </w:rPr>
            </w:pPr>
            <w:r>
              <w:rPr>
                <w:rFonts w:ascii="Times New Roman" w:eastAsia="仿宋" w:cs="Times New Roman" w:hAnsi="Times New Roman"/>
                <w:spacing w:val="-1"/>
                <w:sz w:val="24"/>
              </w:rPr>
              <w:t>注：“</w:t>
            </w:r>
            <w:r>
              <w:rPr>
                <w:rFonts w:ascii="仿宋" w:eastAsia="仿宋" w:cs="宋体" w:hAnsi="仿宋" w:hint="eastAsia"/>
                <w:color w:val="000000"/>
                <w:kern w:val="0"/>
                <w:sz w:val="24"/>
              </w:rPr>
              <w:t>●</w:t>
            </w:r>
            <w:r>
              <w:rPr>
                <w:rFonts w:ascii="Times New Roman" w:eastAsia="仿宋" w:cs="Times New Roman" w:hAnsi="Times New Roman"/>
                <w:spacing w:val="-1"/>
                <w:sz w:val="24"/>
              </w:rPr>
              <w:t>”代表需遵循该项选址要求。</w:t>
            </w:r>
          </w:p>
        </w:tc>
      </w:tr>
    </w:tbl>
    <w:p>
      <w:pPr>
        <w:pStyle w:val="2"/>
        <w:ind w:left="0" w:firstLineChars="200" w:firstLine="640"/>
      </w:pPr>
      <w:bookmarkStart w:id="58" w:name="_Toc209510457"/>
      <w:r>
        <w:t>市政公用设施布局要求</w:t>
      </w:r>
      <w:bookmarkEnd w:id="58"/>
    </w:p>
    <w:p>
      <w:pPr>
        <w:widowControl/>
        <w:snapToGrid w:val="0"/>
        <w:spacing w:line="560" w:lineRule="exact"/>
        <w:ind w:left="640"/>
        <w:rPr>
          <w:rFonts w:ascii="Times New Roman" w:eastAsia="仿宋" w:cs="Times New Roman" w:hAnsi="Times New Roman"/>
          <w:sz w:val="32"/>
          <w:szCs w:val="32"/>
        </w:rPr>
      </w:pPr>
      <w:r>
        <w:rPr>
          <w:rFonts w:ascii="Times New Roman" w:eastAsia="仿宋" w:cs="Times New Roman" w:hAnsi="Times New Roman" w:hint="eastAsia"/>
          <w:sz w:val="32"/>
          <w:szCs w:val="32"/>
        </w:rPr>
        <w:t>除通用要求外，市政公用设施选址还应当符合以下要求：</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w:t>
      </w:r>
      <w:r>
        <w:rPr>
          <w:rFonts w:ascii="Times New Roman" w:eastAsia="仿宋" w:cs="Times New Roman" w:hAnsi="Times New Roman"/>
          <w:sz w:val="32"/>
          <w:szCs w:val="32"/>
        </w:rPr>
        <w:t>.</w:t>
      </w:r>
      <w:r>
        <w:rPr>
          <w:rFonts w:hint="eastAsia"/>
        </w:rPr>
        <w:t xml:space="preserve"> </w:t>
      </w:r>
      <w:r>
        <w:rPr>
          <w:rFonts w:ascii="Times New Roman" w:eastAsia="仿宋" w:cs="Times New Roman" w:hAnsi="Times New Roman" w:hint="eastAsia"/>
          <w:sz w:val="32"/>
          <w:szCs w:val="32"/>
        </w:rPr>
        <w:t>道路用地选址需符合上位规划、控制性详细规划及相关专项规划的要求，优先选择交通和基础设施条件较好的区域；严格控制破坏生态环境的选址，避免占用水体、山体等生态敏感区域；选址应避开工程地质和水文地质不良的地段，如断层带、软土、湿地等，以减少施工风险；选址应便于城市电力线路、给排水管道、燃气管道等基础设施的引入和连接；对于涉及文化遗产保护的道路项目，应遵循相关保护规定，避免破坏古遗址、古墓葬等不可移动文物；鼓励利用现有道路资源进行升级或重建，以提高土地使用效率和环境保护水平。</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2</w:t>
      </w:r>
      <w:r>
        <w:rPr>
          <w:rFonts w:ascii="Times New Roman" w:eastAsia="仿宋" w:cs="Times New Roman" w:hAnsi="Times New Roman"/>
          <w:sz w:val="32"/>
          <w:szCs w:val="32"/>
        </w:rPr>
        <w:t>.</w:t>
      </w:r>
      <w:r>
        <w:rPr>
          <w:rFonts w:hint="eastAsia"/>
        </w:rPr>
        <w:t xml:space="preserve"> </w:t>
      </w:r>
      <w:r>
        <w:rPr>
          <w:rFonts w:ascii="Times New Roman" w:eastAsia="仿宋" w:cs="Times New Roman" w:hAnsi="Times New Roman" w:hint="eastAsia"/>
          <w:sz w:val="32"/>
          <w:szCs w:val="32"/>
        </w:rPr>
        <w:t>村内公共充电站应选择在进出车便利的场所，进出口宜与城乡次干道路相连；充电桩不宜设置在有爆炸危险环境场所的正上方或正下方，同时，要与易燃易爆物品存储场所、加油站等保持安全距离；不宜设在多尘、水雾或有腐蚀性气体的场所；不应设在室外地势低洼、易积水的场所和易发生次生灾害的地点；充电桩宜设在停车场内。</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3.</w:t>
      </w:r>
      <w:r>
        <w:rPr>
          <w:rFonts w:ascii="Times New Roman" w:eastAsia="仿宋" w:cs="Times New Roman" w:hAnsi="Times New Roman" w:hint="eastAsia"/>
          <w:sz w:val="32"/>
          <w:szCs w:val="32"/>
        </w:rPr>
        <w:t>村内</w:t>
      </w:r>
      <w:r>
        <w:rPr>
          <w:rFonts w:ascii="Times New Roman" w:eastAsia="仿宋" w:cs="Times New Roman" w:hAnsi="Times New Roman"/>
          <w:sz w:val="32"/>
          <w:szCs w:val="32"/>
        </w:rPr>
        <w:t>集中污水处理设施选址</w:t>
      </w:r>
      <w:r>
        <w:rPr>
          <w:rFonts w:ascii="Times New Roman" w:eastAsia="仿宋" w:cs="Times New Roman" w:hAnsi="Times New Roman" w:hint="eastAsia"/>
          <w:sz w:val="32"/>
          <w:szCs w:val="32"/>
        </w:rPr>
        <w:t>应</w:t>
      </w:r>
      <w:r>
        <w:rPr>
          <w:rFonts w:ascii="Times New Roman" w:eastAsia="仿宋" w:cs="Times New Roman" w:hAnsi="Times New Roman"/>
          <w:sz w:val="32"/>
          <w:szCs w:val="32"/>
        </w:rPr>
        <w:t>集约用地，尽量不拆迁、少占地，尽可能利用荒地和公共用地建设，不得占用永久基本农田、生态</w:t>
      </w:r>
      <w:r>
        <w:rPr>
          <w:rFonts w:ascii="Times New Roman" w:eastAsia="仿宋" w:cs="Times New Roman" w:hAnsi="Times New Roman" w:hint="eastAsia"/>
          <w:sz w:val="32"/>
          <w:szCs w:val="32"/>
        </w:rPr>
        <w:t>保护</w:t>
      </w:r>
      <w:r>
        <w:rPr>
          <w:rFonts w:ascii="Times New Roman" w:eastAsia="仿宋" w:cs="Times New Roman" w:hAnsi="Times New Roman"/>
          <w:sz w:val="32"/>
          <w:szCs w:val="32"/>
        </w:rPr>
        <w:t>红线、饮用水源保护区</w:t>
      </w:r>
      <w:r>
        <w:rPr>
          <w:rFonts w:ascii="Times New Roman" w:eastAsia="仿宋" w:cs="Times New Roman" w:hAnsi="Times New Roman" w:hint="eastAsia"/>
          <w:sz w:val="32"/>
          <w:szCs w:val="32"/>
        </w:rPr>
        <w:t>；</w:t>
      </w:r>
      <w:r>
        <w:rPr>
          <w:rFonts w:ascii="Times New Roman" w:eastAsia="仿宋" w:cs="Times New Roman" w:hAnsi="Times New Roman"/>
          <w:sz w:val="32"/>
          <w:szCs w:val="32"/>
        </w:rPr>
        <w:t>必须满足水源保护区划定要求，应在居住区的夏季主导风向的下风向、村庄水系下游，并应靠近受纳水体或农田灌溉区；宜选址在交通、运输及供水供电较方便地段；不宜靠近民房、学校及医院等敏感建筑；不宜设置在低洼易涝区。</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4.公共厕所用地选址应选择不易积存雨水的地段</w:t>
      </w:r>
      <w:r>
        <w:rPr>
          <w:rFonts w:ascii="Times New Roman" w:eastAsia="仿宋" w:cs="Times New Roman" w:hAnsi="Times New Roman" w:hint="eastAsia"/>
          <w:sz w:val="32"/>
          <w:szCs w:val="32"/>
        </w:rPr>
        <w:t>；</w:t>
      </w:r>
      <w:r>
        <w:rPr>
          <w:rFonts w:ascii="Times New Roman" w:eastAsia="仿宋" w:cs="Times New Roman" w:hAnsi="Times New Roman"/>
          <w:sz w:val="32"/>
          <w:szCs w:val="32"/>
        </w:rPr>
        <w:t>宜建设在乡村公共场所附近以及人口较为集中</w:t>
      </w:r>
      <w:r>
        <w:rPr>
          <w:rFonts w:ascii="Times New Roman" w:eastAsia="仿宋" w:cs="Times New Roman" w:hAnsi="Times New Roman" w:hint="eastAsia"/>
          <w:sz w:val="32"/>
          <w:szCs w:val="32"/>
        </w:rPr>
        <w:t>的</w:t>
      </w:r>
      <w:r>
        <w:rPr>
          <w:rFonts w:ascii="Times New Roman" w:eastAsia="仿宋" w:cs="Times New Roman" w:hAnsi="Times New Roman"/>
          <w:sz w:val="32"/>
          <w:szCs w:val="32"/>
        </w:rPr>
        <w:t>区域</w:t>
      </w:r>
      <w:r>
        <w:rPr>
          <w:rFonts w:ascii="Times New Roman" w:eastAsia="仿宋" w:cs="Times New Roman" w:hAnsi="Times New Roman" w:hint="eastAsia"/>
          <w:sz w:val="32"/>
          <w:szCs w:val="32"/>
        </w:rPr>
        <w:t>。乡村附属式公厕可优先考虑与村委会、村民活动中心、老人活动站、卫生站等设施结合建设。乡村独立式公厕可优先考虑建在村入口、活动广场、停车场、集贸市场等人口集中的区域</w:t>
      </w:r>
      <w:r>
        <w:rPr>
          <w:rFonts w:ascii="Times New Roman" w:eastAsia="仿宋" w:cs="Times New Roman" w:hAnsi="Times New Roman"/>
          <w:sz w:val="32"/>
          <w:szCs w:val="32"/>
        </w:rPr>
        <w:t>；与集中式给水点和地下取水构筑物等的距离应大于30米</w:t>
      </w:r>
      <w:r>
        <w:rPr>
          <w:rFonts w:ascii="Times New Roman" w:eastAsia="仿宋" w:cs="Times New Roman" w:hAnsi="Times New Roman" w:hint="eastAsia"/>
          <w:sz w:val="32"/>
          <w:szCs w:val="32"/>
        </w:rPr>
        <w:t>；</w:t>
      </w:r>
      <w:r>
        <w:rPr>
          <w:rFonts w:ascii="Times New Roman" w:eastAsia="仿宋" w:cs="Times New Roman" w:hAnsi="Times New Roman"/>
          <w:sz w:val="32"/>
          <w:szCs w:val="32"/>
        </w:rPr>
        <w:t>宜建在服务区域的常年主导风向的下风向处。</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5.</w:t>
      </w:r>
      <w:r>
        <w:rPr>
          <w:rFonts w:hint="eastAsia"/>
        </w:rPr>
        <w:t xml:space="preserve"> </w:t>
      </w:r>
      <w:r>
        <w:rPr>
          <w:rFonts w:ascii="Times New Roman" w:eastAsia="仿宋" w:cs="Times New Roman" w:hAnsi="Times New Roman" w:hint="eastAsia"/>
          <w:sz w:val="32"/>
          <w:szCs w:val="32"/>
        </w:rPr>
        <w:t>垃圾收集点的选址应方便投放、收集、利于机械化收运作业、不干扰居民正常生活、不影响村容观瞻。</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6.</w:t>
      </w:r>
      <w:r>
        <w:rPr>
          <w:rFonts w:ascii="Times New Roman" w:eastAsia="仿宋" w:cs="Times New Roman" w:hAnsi="Times New Roman" w:hint="eastAsia"/>
          <w:sz w:val="32"/>
          <w:szCs w:val="32"/>
        </w:rPr>
        <w:t>乡村</w:t>
      </w:r>
      <w:r>
        <w:rPr>
          <w:rFonts w:ascii="Times New Roman" w:eastAsia="仿宋" w:cs="Times New Roman" w:hAnsi="Times New Roman"/>
          <w:sz w:val="32"/>
          <w:szCs w:val="32"/>
        </w:rPr>
        <w:t>其他市政公用设施选址应符合国家和地方有关标准的规定。</w:t>
      </w:r>
    </w:p>
    <w:p>
      <w:pPr>
        <w:pStyle w:val="2"/>
        <w:ind w:left="0" w:firstLineChars="200" w:firstLine="640"/>
      </w:pPr>
      <w:bookmarkStart w:id="59" w:name="_Toc24144"/>
      <w:bookmarkStart w:id="60" w:name="_Toc209510458"/>
      <w:r>
        <w:t>乡村产业用地布局要求</w:t>
      </w:r>
      <w:bookmarkEnd w:id="59"/>
      <w:bookmarkEnd w:id="60"/>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除通用要求外，乡村产业用地布局还应符合以下要求：</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w:t>
      </w:r>
      <w:r>
        <w:rPr>
          <w:rFonts w:hint="eastAsia"/>
        </w:rPr>
        <w:t xml:space="preserve"> </w:t>
      </w:r>
      <w:r>
        <w:rPr>
          <w:rFonts w:ascii="Times New Roman" w:eastAsia="仿宋" w:cs="Times New Roman" w:hAnsi="Times New Roman" w:hint="eastAsia"/>
          <w:sz w:val="32"/>
          <w:szCs w:val="32"/>
        </w:rPr>
        <w:t>乡村产业必须符合《产业结构调整指导目录（2024年本）》《自然资源要素支撑产业高质量发展指导目录（2024年本）》的要求，严禁生产、制造危险化学品及其相关产物。</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2.</w:t>
      </w:r>
      <w:r>
        <w:rPr>
          <w:rFonts w:ascii="Times New Roman" w:eastAsia="仿宋" w:cs="Times New Roman" w:hAnsi="Times New Roman" w:hint="eastAsia"/>
          <w:sz w:val="32"/>
          <w:szCs w:val="32"/>
        </w:rPr>
        <w:t>规模较大、工业化程度高、分散布局配套设施成本高的产业项目宜在产业园区内布局；具有一定规模的农产品加工</w:t>
      </w:r>
      <w:r>
        <w:rPr>
          <w:rFonts w:ascii="Times New Roman" w:eastAsia="仿宋" w:cs="Times New Roman" w:hAnsi="Times New Roman"/>
          <w:sz w:val="32"/>
          <w:szCs w:val="32"/>
        </w:rPr>
        <w:t>合适</w:t>
      </w:r>
      <w:r>
        <w:rPr>
          <w:rFonts w:ascii="Times New Roman" w:eastAsia="仿宋" w:cs="Times New Roman" w:hAnsi="Times New Roman" w:hint="eastAsia"/>
          <w:sz w:val="32"/>
          <w:szCs w:val="32"/>
        </w:rPr>
        <w:t>在县城或有条件的乡镇城镇开发边界内集中布局。</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3.必须</w:t>
      </w:r>
      <w:r>
        <w:rPr>
          <w:rFonts w:ascii="Times New Roman" w:eastAsia="仿宋" w:cs="Times New Roman" w:hAnsi="Times New Roman" w:hint="eastAsia"/>
          <w:sz w:val="32"/>
          <w:szCs w:val="32"/>
        </w:rPr>
        <w:t>靠近原材料产地建设，直接服务种植养殖业的农林产品加工流通和农村休闲观光旅游场所，以及农村电商服务网点等符合农村一二三产业融合发展用地类型的项目，用地不超过30亩的可在村庄建设边界内安排。</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4</w:t>
      </w:r>
      <w:r>
        <w:rPr>
          <w:rFonts w:ascii="Times New Roman" w:eastAsia="仿宋" w:cs="Times New Roman" w:hAnsi="Times New Roman" w:hint="eastAsia"/>
          <w:sz w:val="32"/>
          <w:szCs w:val="32"/>
        </w:rPr>
        <w:t>.乡村汽车加油加气站宜靠近公路布局，但不宜选在公路交叉路口附近。汽车加油加气站的选址应符合有关规划、环境保护和防火安全的要求，并应选在交通便利、用户使用方便的地点。</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5</w:t>
      </w:r>
      <w:r>
        <w:rPr>
          <w:rFonts w:ascii="Times New Roman" w:eastAsia="仿宋" w:cs="Times New Roman" w:hAnsi="Times New Roman"/>
          <w:sz w:val="32"/>
          <w:szCs w:val="32"/>
        </w:rPr>
        <w:t>.</w:t>
      </w:r>
      <w:r>
        <w:rPr>
          <w:rFonts w:ascii="Times New Roman" w:eastAsia="仿宋" w:cs="Times New Roman" w:hAnsi="Times New Roman" w:hint="eastAsia"/>
          <w:sz w:val="32"/>
          <w:szCs w:val="32"/>
        </w:rPr>
        <w:t>农村产业融合发展用地不得用于商品住宅、别墅、酒店、公寓等房地产开发，不得擅自改变用途或分割转让转租。</w:t>
      </w:r>
    </w:p>
    <w:p>
      <w:pPr>
        <w:widowControl/>
        <w:snapToGrid w:val="0"/>
        <w:spacing w:line="56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6.乡村产业项目原则上应为直接服务于乡村振兴和农村生产生活的项目，并符合村庄所在的乡镇主体功能定位和相关产业规划，不得违背乡村产业负面清单（详见附表6）。</w:t>
      </w:r>
    </w:p>
    <w:p>
      <w:pPr>
        <w:pStyle w:val="2"/>
        <w:ind w:left="0" w:firstLineChars="200" w:firstLine="640"/>
      </w:pPr>
      <w:bookmarkStart w:id="61" w:name="_Toc209510459"/>
      <w:r>
        <w:rPr>
          <w:rFonts w:hint="eastAsia"/>
        </w:rPr>
        <w:t>矿业用地布局要求</w:t>
      </w:r>
      <w:bookmarkEnd w:id="61"/>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1.矿业用地选址应符合国土空间规划、矿产资源总体规划等要求，优先布局于自治区、市级规划划定的重点勘查区、国家规划矿区、勘查规划区块及开采规划区块。</w:t>
      </w:r>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2</w:t>
      </w:r>
      <w:r>
        <w:rPr>
          <w:rFonts w:ascii="Times New Roman" w:eastAsia="仿宋" w:cs="Times New Roman" w:hAnsi="Times New Roman"/>
          <w:sz w:val="32"/>
          <w:szCs w:val="32"/>
        </w:rPr>
        <w:t>.</w:t>
      </w:r>
      <w:r>
        <w:rPr>
          <w:rFonts w:ascii="Times New Roman" w:eastAsia="仿宋" w:cs="Times New Roman" w:hAnsi="Times New Roman" w:hint="eastAsia"/>
          <w:sz w:val="32"/>
          <w:szCs w:val="32"/>
        </w:rPr>
        <w:t>严禁在生态保护红线、自然保护地核心区、饮用水源地一级保护区等区域新设矿业权，对生态环境影响较大的矿产资源勘查开发项目，需开展环境影响评价并落实生态修复措施。</w:t>
      </w:r>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3</w:t>
      </w:r>
      <w:r>
        <w:rPr>
          <w:rFonts w:ascii="Times New Roman" w:eastAsia="仿宋" w:cs="Times New Roman" w:hAnsi="Times New Roman"/>
          <w:sz w:val="32"/>
          <w:szCs w:val="32"/>
        </w:rPr>
        <w:t>.</w:t>
      </w:r>
      <w:r>
        <w:rPr>
          <w:rFonts w:ascii="Times New Roman" w:eastAsia="仿宋" w:cs="Times New Roman" w:hAnsi="Times New Roman" w:hint="eastAsia"/>
          <w:sz w:val="32"/>
          <w:szCs w:val="32"/>
        </w:rPr>
        <w:t>新建矿山应按绿色矿山标准建设，包括矿区环境美化、资源综合利用、节能减排等。坚持“边开采、边治理”原则，编制土地复垦方案并预存复垦费用，闭矿后应及时完成土地复垦，恢复原地类或生态功能。</w:t>
      </w:r>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4</w:t>
      </w:r>
      <w:r>
        <w:rPr>
          <w:rFonts w:ascii="Times New Roman" w:eastAsia="仿宋" w:cs="Times New Roman" w:hAnsi="Times New Roman"/>
          <w:sz w:val="32"/>
          <w:szCs w:val="32"/>
        </w:rPr>
        <w:t>.</w:t>
      </w:r>
      <w:r>
        <w:rPr>
          <w:rFonts w:ascii="Times New Roman" w:eastAsia="仿宋" w:cs="Times New Roman" w:hAnsi="Times New Roman" w:hint="eastAsia"/>
          <w:sz w:val="32"/>
          <w:szCs w:val="32"/>
        </w:rPr>
        <w:t>矿山开采必须符合《金属非金属矿山安全规程》（GB16423-2020）的相关要求。露天采场边坡角、台阶高度等参数需经安全论证，矿区周边设置隔离带，配备安全监测设施，定期开展地质灾害隐患排查。</w:t>
      </w:r>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sz w:val="32"/>
          <w:szCs w:val="32"/>
        </w:rPr>
        <w:t>5.</w:t>
      </w:r>
      <w:r>
        <w:rPr>
          <w:rFonts w:hint="eastAsia"/>
        </w:rPr>
        <w:t xml:space="preserve"> </w:t>
      </w:r>
      <w:r>
        <w:rPr>
          <w:rFonts w:ascii="Times New Roman" w:eastAsia="仿宋" w:cs="Times New Roman" w:hAnsi="Times New Roman" w:hint="eastAsia"/>
          <w:sz w:val="32"/>
          <w:szCs w:val="32"/>
        </w:rPr>
        <w:t>矿业用地的选址和建设应符合国家和地方有关标准的规定。</w:t>
      </w:r>
    </w:p>
    <w:p>
      <w:pPr>
        <w:pStyle w:val="2"/>
        <w:ind w:left="0" w:firstLineChars="200" w:firstLine="640"/>
      </w:pPr>
      <w:bookmarkStart w:id="62" w:name="_Toc209510460"/>
      <w:r>
        <w:rPr>
          <w:rFonts w:hint="eastAsia"/>
        </w:rPr>
        <w:t>设施农用地布局要求</w:t>
      </w:r>
      <w:bookmarkEnd w:id="62"/>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1.设施农用地选址尽量利用荒山荒坡、滩涂、坑塘水面以及闲置建设用地，避免使用耕地。畜禽（蚕）养殖可以利用未利用地或低效闲置土地的，以及水产养殖可以利用原坑塘水面的，应避免占用耕地。</w:t>
      </w:r>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sz w:val="32"/>
          <w:szCs w:val="32"/>
        </w:rPr>
        <w:t xml:space="preserve">2. </w:t>
      </w:r>
      <w:r>
        <w:rPr>
          <w:rFonts w:ascii="Times New Roman" w:eastAsia="仿宋" w:cs="Times New Roman" w:hAnsi="Times New Roman" w:hint="eastAsia"/>
          <w:sz w:val="32"/>
          <w:szCs w:val="32"/>
        </w:rPr>
        <w:t>严禁在饮用水源地一级保护区、自然保护地核心区等区域新增设施农业用地。涉及使用林地的需提供林业部门的意见，涉及生态保护红线的，要符合生态红线管控要求。</w:t>
      </w:r>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3</w:t>
      </w:r>
      <w:r>
        <w:rPr>
          <w:rFonts w:ascii="Times New Roman" w:eastAsia="仿宋" w:cs="Times New Roman" w:hAnsi="Times New Roman"/>
          <w:sz w:val="32"/>
          <w:szCs w:val="32"/>
        </w:rPr>
        <w:t>.</w:t>
      </w:r>
      <w:r>
        <w:rPr>
          <w:rFonts w:ascii="Times New Roman" w:eastAsia="仿宋" w:cs="Times New Roman" w:hAnsi="Times New Roman" w:hint="eastAsia"/>
          <w:sz w:val="32"/>
          <w:szCs w:val="32"/>
        </w:rPr>
        <w:t>严禁新增占用永久基本农田建设禽畜养殖设施、水产养殖设施和破坏耕作层导致耕地地类改变的种植业设施。涉及占用一般耕地（即永久基本农田以外的耕地）的要严格落实补充耕地义务。要积极通过耕作层土壤剥离利用、架空或预制板铺面隔离等技术措施，尽量减少对耕作层的破坏。</w:t>
      </w:r>
      <w:bookmarkStart w:id="63" w:name="_Toc31196"/>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4</w:t>
      </w:r>
      <w:r>
        <w:rPr>
          <w:rFonts w:ascii="Times New Roman" w:eastAsia="仿宋" w:cs="Times New Roman" w:hAnsi="Times New Roman"/>
          <w:sz w:val="32"/>
          <w:szCs w:val="32"/>
        </w:rPr>
        <w:t>.</w:t>
      </w:r>
      <w:r>
        <w:rPr>
          <w:rFonts w:ascii="Times New Roman" w:eastAsia="仿宋" w:cs="Times New Roman" w:hAnsi="Times New Roman" w:hint="eastAsia"/>
          <w:sz w:val="32"/>
          <w:szCs w:val="32"/>
        </w:rPr>
        <w:t>严禁假借农业农村大棚为名擅自改变设施农业的用途或其他变相将设施农用地用于非农建设和其他经营。</w:t>
      </w:r>
    </w:p>
    <w:p>
      <w:pPr>
        <w:widowControl/>
        <w:snapToGrid w:val="0"/>
        <w:spacing w:line="560" w:lineRule="exact"/>
        <w:ind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5</w:t>
      </w:r>
      <w:r>
        <w:rPr>
          <w:rFonts w:ascii="Times New Roman" w:eastAsia="仿宋" w:cs="Times New Roman" w:hAnsi="Times New Roman"/>
          <w:sz w:val="32"/>
          <w:szCs w:val="32"/>
        </w:rPr>
        <w:t>.</w:t>
      </w:r>
      <w:r>
        <w:rPr>
          <w:rFonts w:ascii="Times New Roman" w:eastAsia="仿宋" w:cs="Times New Roman" w:hAnsi="Times New Roman" w:hint="eastAsia"/>
          <w:sz w:val="32"/>
          <w:szCs w:val="32"/>
        </w:rPr>
        <w:t>设施农用地的选址和建设应符合国家和地方有关标准的规定。</w:t>
      </w:r>
    </w:p>
    <w:p>
      <w:pPr>
        <w:pStyle w:val="32"/>
      </w:pPr>
      <w:bookmarkStart w:id="64" w:name="_Toc209510461"/>
      <w:r>
        <w:t>建设控制</w:t>
      </w:r>
      <w:bookmarkEnd w:id="63"/>
      <w:bookmarkEnd w:id="64"/>
    </w:p>
    <w:p>
      <w:pPr>
        <w:pStyle w:val="2"/>
        <w:ind w:left="0" w:firstLineChars="200" w:firstLine="640"/>
      </w:pPr>
      <w:bookmarkStart w:id="65" w:name="_Toc209510462"/>
      <w:bookmarkStart w:id="66" w:name="_Toc23305"/>
      <w:r>
        <w:rPr>
          <w:rFonts w:hint="eastAsia"/>
        </w:rPr>
        <w:t>村庄建设用地建设标准</w:t>
      </w:r>
      <w:bookmarkEnd w:id="65"/>
      <w:bookmarkEnd w:id="66"/>
    </w:p>
    <w:p>
      <w:pPr>
        <w:adjustRightInd w:val="0"/>
        <w:snapToGrid w:val="0"/>
        <w:spacing w:line="600" w:lineRule="exact"/>
        <w:ind w:firstLineChars="200" w:firstLine="640"/>
        <w:rPr>
          <w:rFonts w:ascii="Times New Roman" w:eastAsia="仿宋" w:cs="Times New Roman" w:hAnsi="Times New Roman"/>
          <w:bCs/>
          <w:snapToGrid w:val="0"/>
          <w:kern w:val="0"/>
          <w:sz w:val="32"/>
          <w:szCs w:val="32"/>
        </w:rPr>
      </w:pPr>
      <w:r>
        <w:rPr>
          <w:rFonts w:ascii="Times New Roman" w:eastAsia="仿宋" w:cs="Times New Roman" w:hAnsi="Times New Roman"/>
          <w:bCs/>
          <w:snapToGrid w:val="0"/>
          <w:kern w:val="0"/>
          <w:sz w:val="32"/>
          <w:szCs w:val="32"/>
        </w:rPr>
        <w:t>1.</w:t>
      </w:r>
      <w:r>
        <w:rPr>
          <w:rFonts w:ascii="Times New Roman" w:eastAsia="仿宋" w:cs="Times New Roman" w:hAnsi="Times New Roman" w:hint="eastAsia"/>
          <w:bCs/>
          <w:snapToGrid w:val="0"/>
          <w:kern w:val="0"/>
          <w:sz w:val="32"/>
          <w:szCs w:val="32"/>
        </w:rPr>
        <w:t>村民住宅建设标准</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z w:val="32"/>
          <w:szCs w:val="32"/>
        </w:rPr>
        <w:t>严格落实“一户一宅”规定。</w:t>
      </w:r>
      <w:r>
        <w:rPr>
          <w:rFonts w:ascii="Times New Roman" w:eastAsia="仿宋" w:cs="Times New Roman" w:hAnsi="Times New Roman"/>
          <w:snapToGrid w:val="0"/>
          <w:kern w:val="0"/>
          <w:sz w:val="32"/>
          <w:szCs w:val="32"/>
        </w:rPr>
        <w:t>村民宅基地面积，平原地区和城市郊区每户不得超过100 平方米，丘陵地区和山区每户不得超过150 平方米。新增农房在符合规定宅基地用地面积前提下，每户建筑面积不得超过450平方米。</w:t>
      </w:r>
      <w:bookmarkStart w:id="67" w:name="bookmark3"/>
      <w:bookmarkStart w:id="68" w:name="bookmark4"/>
      <w:bookmarkEnd w:id="67"/>
      <w:bookmarkEnd w:id="68"/>
      <w:r>
        <w:rPr>
          <w:rFonts w:ascii="Times New Roman" w:eastAsia="仿宋" w:cs="Times New Roman" w:hAnsi="Times New Roman" w:hint="eastAsia"/>
          <w:snapToGrid w:val="0"/>
          <w:kern w:val="0"/>
          <w:sz w:val="32"/>
          <w:szCs w:val="32"/>
        </w:rPr>
        <w:t>原址翻建或改扩建住宅的，宅基地用地面积和建筑面积不得超过自治区规定的建设标准。</w:t>
      </w:r>
    </w:p>
    <w:p>
      <w:pPr>
        <w:adjustRightInd w:val="0"/>
        <w:snapToGrid w:val="0"/>
        <w:spacing w:line="600" w:lineRule="exact"/>
        <w:ind w:firstLineChars="200" w:firstLine="640"/>
        <w:rPr>
          <w:rFonts w:ascii="Times New Roman" w:eastAsia="仿宋" w:cs="Times New Roman" w:hAnsi="Times New Roman"/>
          <w:bCs/>
          <w:snapToGrid w:val="0"/>
          <w:kern w:val="0"/>
          <w:sz w:val="32"/>
          <w:szCs w:val="32"/>
        </w:rPr>
      </w:pPr>
      <w:r>
        <w:rPr>
          <w:rFonts w:ascii="Times New Roman" w:eastAsia="仿宋" w:cs="Times New Roman" w:hAnsi="Times New Roman"/>
          <w:bCs/>
          <w:snapToGrid w:val="0"/>
          <w:kern w:val="0"/>
          <w:sz w:val="32"/>
          <w:szCs w:val="32"/>
        </w:rPr>
        <w:t>2.</w:t>
      </w:r>
      <w:r>
        <w:rPr>
          <w:rFonts w:ascii="Times New Roman" w:eastAsia="仿宋" w:cs="Times New Roman" w:hAnsi="Times New Roman" w:hint="eastAsia"/>
          <w:bCs/>
          <w:snapToGrid w:val="0"/>
          <w:kern w:val="0"/>
          <w:sz w:val="32"/>
          <w:szCs w:val="32"/>
        </w:rPr>
        <w:t>乡村公共服务设施</w:t>
      </w:r>
    </w:p>
    <w:p>
      <w:pPr>
        <w:adjustRightInd w:val="0"/>
        <w:snapToGrid w:val="0"/>
        <w:spacing w:line="600" w:lineRule="exact"/>
        <w:ind w:firstLineChars="200" w:firstLine="640"/>
        <w:rPr>
          <w:rFonts w:ascii="Times New Roman" w:eastAsia="仿宋" w:cs="Times New Roman" w:hAnsi="Times New Roman"/>
          <w:bCs/>
          <w:snapToGrid w:val="0"/>
          <w:kern w:val="0"/>
          <w:sz w:val="32"/>
          <w:szCs w:val="32"/>
        </w:rPr>
      </w:pPr>
      <w:r>
        <w:rPr>
          <w:rFonts w:ascii="Times New Roman" w:eastAsia="仿宋" w:cs="Times New Roman" w:hAnsi="Times New Roman" w:hint="eastAsia"/>
          <w:bCs/>
          <w:snapToGrid w:val="0"/>
          <w:kern w:val="0"/>
          <w:sz w:val="32"/>
          <w:szCs w:val="32"/>
        </w:rPr>
        <w:t>（</w:t>
      </w:r>
      <w:r>
        <w:rPr>
          <w:rFonts w:ascii="Times New Roman" w:eastAsia="仿宋" w:cs="Times New Roman" w:hAnsi="Times New Roman"/>
          <w:bCs/>
          <w:snapToGrid w:val="0"/>
          <w:kern w:val="0"/>
          <w:sz w:val="32"/>
          <w:szCs w:val="32"/>
        </w:rPr>
        <w:t>1</w:t>
      </w:r>
      <w:r>
        <w:rPr>
          <w:rFonts w:ascii="Times New Roman" w:eastAsia="仿宋" w:cs="Times New Roman" w:hAnsi="Times New Roman" w:hint="eastAsia"/>
          <w:bCs/>
          <w:snapToGrid w:val="0"/>
          <w:kern w:val="0"/>
          <w:sz w:val="32"/>
          <w:szCs w:val="32"/>
        </w:rPr>
        <w:t>）幼儿园</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幼儿园的建设应符合《托儿所、幼儿园建筑设计规范（2019年版）》（JGJ39-2016）《幼儿园建设标准（建标175-2016）》《广西壮族自治区建设用地控制指标（2021年修订）》等相关要求和建设标准。</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幼儿园容积率宜为0.55</w:t>
      </w:r>
      <w:r>
        <w:rPr>
          <w:rFonts w:ascii="Times New Roman" w:eastAsia="仿宋" w:cs="Times New Roman" w:hAnsi="Times New Roman" w:hint="eastAsia"/>
          <w:snapToGrid w:val="0"/>
          <w:kern w:val="0"/>
          <w:sz w:val="32"/>
          <w:szCs w:val="32"/>
        </w:rPr>
        <w:t>—</w:t>
      </w:r>
      <w:r>
        <w:rPr>
          <w:rFonts w:ascii="Times New Roman" w:eastAsia="仿宋" w:cs="Times New Roman" w:hAnsi="Times New Roman"/>
          <w:snapToGrid w:val="0"/>
          <w:kern w:val="0"/>
          <w:sz w:val="32"/>
          <w:szCs w:val="32"/>
        </w:rPr>
        <w:t>0.80，建筑密度宜为20%</w:t>
      </w:r>
      <w:r>
        <w:rPr>
          <w:rFonts w:ascii="Times New Roman" w:eastAsia="仿宋" w:cs="Times New Roman" w:hAnsi="Times New Roman" w:hint="eastAsia"/>
          <w:snapToGrid w:val="0"/>
          <w:kern w:val="0"/>
          <w:sz w:val="32"/>
          <w:szCs w:val="32"/>
        </w:rPr>
        <w:t>—</w:t>
      </w:r>
      <w:r>
        <w:rPr>
          <w:rFonts w:ascii="Times New Roman" w:eastAsia="仿宋" w:cs="Times New Roman" w:hAnsi="Times New Roman"/>
          <w:snapToGrid w:val="0"/>
          <w:kern w:val="0"/>
          <w:sz w:val="32"/>
          <w:szCs w:val="32"/>
        </w:rPr>
        <w:t>35%。3班以上规模幼儿园应单独占地设置，3班及以下规模幼儿园可设在多层公共建筑内的一至三层，应有独立院落和出入口，室外游戏场地应有防护设施。</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学前教育建设用地面积指标应符合表3-3的规定。</w:t>
      </w:r>
    </w:p>
    <w:p>
      <w:pPr>
        <w:adjustRightInd w:val="0"/>
        <w:snapToGrid w:val="0"/>
        <w:spacing w:line="520" w:lineRule="exact"/>
        <w:ind w:firstLine="560"/>
        <w:jc w:val="center"/>
        <w:rPr>
          <w:rFonts w:ascii="Times New Roman" w:eastAsia="仿宋" w:cs="Times New Roman" w:hAnsi="Times New Roman"/>
          <w:snapToGrid w:val="0"/>
          <w:kern w:val="0"/>
          <w:sz w:val="28"/>
          <w:szCs w:val="28"/>
        </w:rPr>
      </w:pPr>
      <w:r>
        <w:rPr>
          <w:rFonts w:ascii="Times New Roman" w:eastAsia="仿宋" w:cs="Times New Roman" w:hAnsi="Times New Roman" w:hint="eastAsia"/>
          <w:snapToGrid w:val="0"/>
          <w:kern w:val="0"/>
          <w:sz w:val="28"/>
          <w:szCs w:val="28"/>
        </w:rPr>
        <w:t>表</w:t>
      </w:r>
      <w:r>
        <w:rPr>
          <w:rFonts w:ascii="Times New Roman" w:eastAsia="仿宋" w:cs="Times New Roman" w:hAnsi="Times New Roman"/>
          <w:snapToGrid w:val="0"/>
          <w:kern w:val="0"/>
          <w:sz w:val="28"/>
          <w:szCs w:val="28"/>
        </w:rPr>
        <w:t xml:space="preserve">3-3 </w:t>
      </w:r>
      <w:r>
        <w:rPr>
          <w:rFonts w:ascii="Times New Roman" w:eastAsia="仿宋" w:cs="Times New Roman" w:hAnsi="Times New Roman" w:hint="eastAsia"/>
          <w:snapToGrid w:val="0"/>
          <w:kern w:val="0"/>
          <w:sz w:val="28"/>
          <w:szCs w:val="28"/>
        </w:rPr>
        <w:t>学前教育建设用地面积指标表</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76"/>
        <w:gridCol w:w="2760"/>
        <w:gridCol w:w="3360"/>
      </w:tblGrid>
      <w:tr>
        <w:trPr>
          <w:tblHeader/>
        </w:trPr>
        <w:tc>
          <w:tcPr>
            <w:tcW w:w="22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szCs w:val="21"/>
              </w:rPr>
            </w:pPr>
            <w:r>
              <w:rPr>
                <w:rFonts w:ascii="Times New Roman" w:eastAsia="仿宋" w:cs="Times New Roman" w:hAnsi="Times New Roman" w:hint="eastAsia"/>
                <w:b/>
                <w:bCs/>
                <w:snapToGrid w:val="0"/>
                <w:kern w:val="0"/>
                <w:sz w:val="24"/>
                <w:szCs w:val="21"/>
              </w:rPr>
              <w:t>学校类别</w:t>
            </w: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szCs w:val="21"/>
              </w:rPr>
            </w:pPr>
            <w:r>
              <w:rPr>
                <w:rFonts w:ascii="Times New Roman" w:eastAsia="仿宋" w:cs="Times New Roman" w:hAnsi="Times New Roman" w:hint="eastAsia"/>
                <w:b/>
                <w:bCs/>
                <w:snapToGrid w:val="0"/>
                <w:kern w:val="0"/>
                <w:sz w:val="24"/>
                <w:szCs w:val="21"/>
              </w:rPr>
              <w:t>建设规模（班）</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szCs w:val="21"/>
              </w:rPr>
            </w:pPr>
            <w:r>
              <w:rPr>
                <w:rFonts w:ascii="Times New Roman" w:eastAsia="仿宋" w:cs="Times New Roman" w:hAnsi="Times New Roman" w:hint="eastAsia"/>
                <w:b/>
                <w:bCs/>
                <w:snapToGrid w:val="0"/>
                <w:kern w:val="0"/>
                <w:sz w:val="24"/>
                <w:szCs w:val="21"/>
              </w:rPr>
              <w:t>生均校园用地面积（㎡</w:t>
            </w:r>
            <w:r>
              <w:rPr>
                <w:rFonts w:ascii="Times New Roman" w:eastAsia="仿宋" w:cs="Times New Roman" w:hAnsi="Times New Roman"/>
                <w:b/>
                <w:bCs/>
                <w:snapToGrid w:val="0"/>
                <w:kern w:val="0"/>
                <w:sz w:val="24"/>
                <w:szCs w:val="21"/>
              </w:rPr>
              <w:t>/</w:t>
            </w:r>
            <w:r>
              <w:rPr>
                <w:rFonts w:ascii="Times New Roman" w:eastAsia="仿宋" w:cs="Times New Roman" w:hAnsi="Times New Roman" w:hint="eastAsia"/>
                <w:b/>
                <w:bCs/>
                <w:snapToGrid w:val="0"/>
                <w:kern w:val="0"/>
                <w:sz w:val="24"/>
                <w:szCs w:val="21"/>
              </w:rPr>
              <w:t>生）</w:t>
            </w:r>
          </w:p>
        </w:tc>
      </w:tr>
      <w:tr>
        <w:tc>
          <w:tcPr>
            <w:tcW w:w="2235" w:type="dxa"/>
            <w:vMerge w:val="restar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学前教育</w:t>
            </w: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6</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snapToGrid w:val="0"/>
                <w:kern w:val="0"/>
                <w:sz w:val="24"/>
                <w:szCs w:val="21"/>
              </w:rPr>
              <w:t>15</w:t>
            </w:r>
          </w:p>
        </w:tc>
      </w:tr>
      <w:tr>
        <w:tc>
          <w:tcPr>
            <w:tcW w:w="2235" w:type="dxa"/>
            <w:vMerge/>
            <w:tcBorders>
              <w:top w:val="single" w:sz="4" w:space="0" w:color="auto"/>
              <w:left w:val="single" w:sz="4" w:space="0" w:color="auto"/>
              <w:bottom w:val="single" w:sz="4" w:space="0" w:color="auto"/>
              <w:right w:val="single" w:sz="4" w:space="0" w:color="auto"/>
            </w:tcBorders>
            <w:vAlign w:val="center"/>
          </w:tcP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snapToGrid w:val="0"/>
                <w:kern w:val="0"/>
                <w:sz w:val="24"/>
                <w:szCs w:val="21"/>
              </w:rPr>
              <w:t>9</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snapToGrid w:val="0"/>
                <w:kern w:val="0"/>
                <w:sz w:val="24"/>
                <w:szCs w:val="21"/>
              </w:rPr>
              <w:t>15</w:t>
            </w:r>
          </w:p>
        </w:tc>
      </w:tr>
      <w:tr>
        <w:tc>
          <w:tcPr>
            <w:tcW w:w="2235" w:type="dxa"/>
            <w:vMerge/>
            <w:tcBorders>
              <w:top w:val="single" w:sz="4" w:space="0" w:color="auto"/>
              <w:left w:val="single" w:sz="4" w:space="0" w:color="auto"/>
              <w:bottom w:val="single" w:sz="4" w:space="0" w:color="auto"/>
              <w:right w:val="single" w:sz="4" w:space="0" w:color="auto"/>
            </w:tcBorders>
            <w:vAlign w:val="center"/>
          </w:tcP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snapToGrid w:val="0"/>
                <w:kern w:val="0"/>
                <w:sz w:val="24"/>
                <w:szCs w:val="21"/>
              </w:rPr>
              <w:t>12</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snapToGrid w:val="0"/>
                <w:kern w:val="0"/>
                <w:sz w:val="24"/>
                <w:szCs w:val="21"/>
              </w:rPr>
              <w:t>14</w:t>
            </w:r>
          </w:p>
        </w:tc>
      </w:tr>
      <w:tr>
        <w:tc>
          <w:tcPr>
            <w:tcW w:w="2235" w:type="dxa"/>
            <w:vMerge/>
            <w:tcBorders>
              <w:top w:val="single" w:sz="4" w:space="0" w:color="auto"/>
              <w:left w:val="single" w:sz="4" w:space="0" w:color="auto"/>
              <w:bottom w:val="single" w:sz="4" w:space="0" w:color="auto"/>
              <w:right w:val="single" w:sz="4" w:space="0" w:color="auto"/>
            </w:tcBorders>
            <w:vAlign w:val="center"/>
          </w:tcPr>
          <w:p/>
        </w:tc>
        <w:tc>
          <w:tcPr>
            <w:tcW w:w="283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12</w:t>
            </w:r>
          </w:p>
        </w:tc>
        <w:tc>
          <w:tcPr>
            <w:tcW w:w="345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snapToGrid w:val="0"/>
                <w:kern w:val="0"/>
                <w:sz w:val="24"/>
                <w:szCs w:val="21"/>
              </w:rPr>
              <w:t>13</w:t>
            </w:r>
          </w:p>
        </w:tc>
      </w:tr>
      <w:tr>
        <w:tc>
          <w:tcPr>
            <w:tcW w:w="8522" w:type="dxa"/>
            <w:gridSpan w:val="3"/>
            <w:tcBorders>
              <w:top w:val="single" w:sz="4" w:space="0" w:color="auto"/>
              <w:left w:val="single" w:sz="4" w:space="0" w:color="auto"/>
              <w:bottom w:val="single" w:sz="4" w:space="0" w:color="auto"/>
              <w:right w:val="single" w:sz="4" w:space="0" w:color="auto"/>
            </w:tcBorders>
            <w:vAlign w:val="center"/>
          </w:tcPr>
          <w:p>
            <w:pPr>
              <w:adjustRightInd w:val="0"/>
              <w:snapToGrid w:val="0"/>
              <w:rPr>
                <w:rFonts w:ascii="Times New Roman" w:eastAsia="仿宋" w:cs="Times New Roman" w:hAnsi="Times New Roman"/>
                <w:snapToGrid w:val="0"/>
                <w:kern w:val="0"/>
                <w:sz w:val="24"/>
                <w:szCs w:val="21"/>
              </w:rPr>
            </w:pPr>
            <w:r>
              <w:rPr>
                <w:rFonts w:ascii="Times New Roman" w:eastAsia="仿宋" w:cs="Times New Roman" w:hAnsi="Times New Roman"/>
                <w:snapToGrid w:val="0"/>
                <w:kern w:val="0"/>
                <w:sz w:val="24"/>
                <w:szCs w:val="21"/>
              </w:rPr>
              <w:t>注：</w:t>
            </w:r>
          </w:p>
          <w:p>
            <w:pPr>
              <w:adjustRightInd w:val="0"/>
              <w:snapToGrid w:val="0"/>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1.</w:t>
            </w:r>
            <w:r>
              <w:rPr>
                <w:rFonts w:ascii="Times New Roman" w:eastAsia="仿宋" w:cs="Times New Roman" w:hAnsi="Times New Roman"/>
                <w:snapToGrid w:val="0"/>
                <w:kern w:val="0"/>
                <w:sz w:val="24"/>
                <w:szCs w:val="21"/>
              </w:rPr>
              <w:t>幼儿园小班25人/班、中班30人/班、大班35人/班、混合班30人/班。</w:t>
            </w:r>
          </w:p>
          <w:p>
            <w:pPr>
              <w:adjustRightInd w:val="0"/>
              <w:snapToGrid w:val="0"/>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2.</w:t>
            </w:r>
            <w:r>
              <w:rPr>
                <w:rFonts w:ascii="Times New Roman" w:eastAsia="仿宋" w:cs="Times New Roman" w:hAnsi="Times New Roman"/>
                <w:snapToGrid w:val="0"/>
                <w:kern w:val="0"/>
                <w:sz w:val="24"/>
                <w:szCs w:val="21"/>
              </w:rPr>
              <w:t>用地指标不包含起伏大不适于进行建设的山地、河流、池塘、湖泊等；不包含已离休、退休、调出教职工及已故教职工遗属使用的教工住宅、食堂、浴室、医务室等生活附属设施及人民防空设施用地。</w:t>
            </w:r>
          </w:p>
        </w:tc>
      </w:tr>
    </w:tbl>
    <w:p>
      <w:pPr>
        <w:adjustRightInd w:val="0"/>
        <w:snapToGrid w:val="0"/>
        <w:spacing w:line="600" w:lineRule="exact"/>
        <w:ind w:firstLineChars="200" w:firstLine="640"/>
        <w:rPr>
          <w:rFonts w:ascii="Times New Roman" w:eastAsia="仿宋" w:cs="Times New Roman" w:hAnsi="Times New Roman"/>
          <w:bCs/>
          <w:snapToGrid w:val="0"/>
          <w:kern w:val="0"/>
          <w:sz w:val="32"/>
          <w:szCs w:val="32"/>
        </w:rPr>
      </w:pPr>
      <w:r>
        <w:rPr>
          <w:rFonts w:ascii="Times New Roman" w:eastAsia="仿宋" w:cs="Times New Roman" w:hAnsi="Times New Roman" w:hint="eastAsia"/>
          <w:bCs/>
          <w:snapToGrid w:val="0"/>
          <w:kern w:val="0"/>
          <w:sz w:val="32"/>
          <w:szCs w:val="32"/>
        </w:rPr>
        <w:t>（</w:t>
      </w:r>
      <w:r>
        <w:rPr>
          <w:rFonts w:ascii="Times New Roman" w:eastAsia="仿宋" w:cs="Times New Roman" w:hAnsi="Times New Roman"/>
          <w:bCs/>
          <w:snapToGrid w:val="0"/>
          <w:kern w:val="0"/>
          <w:sz w:val="32"/>
          <w:szCs w:val="32"/>
        </w:rPr>
        <w:t>2</w:t>
      </w:r>
      <w:r>
        <w:rPr>
          <w:rFonts w:ascii="Times New Roman" w:eastAsia="仿宋" w:cs="Times New Roman" w:hAnsi="Times New Roman" w:hint="eastAsia"/>
          <w:bCs/>
          <w:snapToGrid w:val="0"/>
          <w:kern w:val="0"/>
          <w:sz w:val="32"/>
          <w:szCs w:val="32"/>
        </w:rPr>
        <w:t>）中小学</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中小学的建设应符合《中小学校设计规范》（GB 50099-2011）、《农村普通中小学校建设标准（建标109-2008）》《广西壮族自治区义务教育学校办学基本标准（试行）》《广西壮族自治区建设用地控制指标（2021年修订）》等相关要求和建设标准。</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非完全小学容积率宜为0.20</w:t>
      </w:r>
      <w:r>
        <w:rPr>
          <w:rFonts w:ascii="Times New Roman" w:eastAsia="仿宋" w:cs="Times New Roman" w:hAnsi="Times New Roman" w:hint="eastAsia"/>
          <w:snapToGrid w:val="0"/>
          <w:kern w:val="0"/>
          <w:sz w:val="32"/>
          <w:szCs w:val="32"/>
        </w:rPr>
        <w:t>—</w:t>
      </w:r>
      <w:r>
        <w:rPr>
          <w:rFonts w:ascii="Times New Roman" w:eastAsia="仿宋" w:cs="Times New Roman" w:hAnsi="Times New Roman"/>
          <w:snapToGrid w:val="0"/>
          <w:kern w:val="0"/>
          <w:sz w:val="32"/>
          <w:szCs w:val="32"/>
        </w:rPr>
        <w:t>0.40，完全小学容积率宜为0.40</w:t>
      </w:r>
      <w:r>
        <w:rPr>
          <w:rFonts w:ascii="Times New Roman" w:eastAsia="仿宋" w:cs="Times New Roman" w:hAnsi="Times New Roman" w:hint="eastAsia"/>
          <w:snapToGrid w:val="0"/>
          <w:kern w:val="0"/>
          <w:sz w:val="32"/>
          <w:szCs w:val="32"/>
        </w:rPr>
        <w:t>—</w:t>
      </w:r>
      <w:r>
        <w:rPr>
          <w:rFonts w:ascii="Times New Roman" w:eastAsia="仿宋" w:cs="Times New Roman" w:hAnsi="Times New Roman"/>
          <w:snapToGrid w:val="0"/>
          <w:kern w:val="0"/>
          <w:sz w:val="32"/>
          <w:szCs w:val="32"/>
        </w:rPr>
        <w:t>0.80，初级中学容积率宜为0.40</w:t>
      </w:r>
      <w:r>
        <w:rPr>
          <w:rFonts w:ascii="Times New Roman" w:eastAsia="仿宋" w:cs="Times New Roman" w:hAnsi="Times New Roman" w:hint="eastAsia"/>
          <w:snapToGrid w:val="0"/>
          <w:kern w:val="0"/>
          <w:sz w:val="32"/>
          <w:szCs w:val="32"/>
        </w:rPr>
        <w:t>—</w:t>
      </w:r>
      <w:r>
        <w:rPr>
          <w:rFonts w:ascii="Times New Roman" w:eastAsia="仿宋" w:cs="Times New Roman" w:hAnsi="Times New Roman"/>
          <w:snapToGrid w:val="0"/>
          <w:kern w:val="0"/>
          <w:sz w:val="32"/>
          <w:szCs w:val="32"/>
        </w:rPr>
        <w:t>0.90，高级中学容积率宜为0.50</w:t>
      </w:r>
      <w:r>
        <w:rPr>
          <w:rFonts w:ascii="Times New Roman" w:eastAsia="仿宋" w:cs="Times New Roman" w:hAnsi="Times New Roman" w:hint="eastAsia"/>
          <w:snapToGrid w:val="0"/>
          <w:kern w:val="0"/>
          <w:sz w:val="32"/>
          <w:szCs w:val="32"/>
        </w:rPr>
        <w:t>—</w:t>
      </w:r>
      <w:r>
        <w:rPr>
          <w:rFonts w:ascii="Times New Roman" w:eastAsia="仿宋" w:cs="Times New Roman" w:hAnsi="Times New Roman"/>
          <w:snapToGrid w:val="0"/>
          <w:kern w:val="0"/>
          <w:sz w:val="32"/>
          <w:szCs w:val="32"/>
        </w:rPr>
        <w:t>0.90。中小学建筑密度宜为20%</w:t>
      </w:r>
      <w:r>
        <w:rPr>
          <w:rFonts w:ascii="Times New Roman" w:eastAsia="仿宋" w:cs="Times New Roman" w:hAnsi="Times New Roman" w:hint="eastAsia"/>
          <w:snapToGrid w:val="0"/>
          <w:kern w:val="0"/>
          <w:sz w:val="32"/>
          <w:szCs w:val="32"/>
        </w:rPr>
        <w:t>—</w:t>
      </w:r>
      <w:r>
        <w:rPr>
          <w:rFonts w:ascii="Times New Roman" w:eastAsia="仿宋" w:cs="Times New Roman" w:hAnsi="Times New Roman"/>
          <w:snapToGrid w:val="0"/>
          <w:kern w:val="0"/>
          <w:sz w:val="32"/>
          <w:szCs w:val="32"/>
        </w:rPr>
        <w:t>35%。</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中小学建设用地面积指标应符合表3-4的规定。</w:t>
      </w:r>
    </w:p>
    <w:p>
      <w:pPr>
        <w:adjustRightInd w:val="0"/>
        <w:snapToGrid w:val="0"/>
        <w:spacing w:line="520" w:lineRule="exact"/>
        <w:ind w:firstLine="560"/>
        <w:jc w:val="center"/>
        <w:rPr>
          <w:rFonts w:ascii="Times New Roman" w:eastAsia="仿宋" w:cs="Times New Roman" w:hAnsi="Times New Roman"/>
          <w:snapToGrid w:val="0"/>
          <w:kern w:val="0"/>
          <w:sz w:val="28"/>
          <w:szCs w:val="28"/>
        </w:rPr>
      </w:pPr>
      <w:r>
        <w:rPr>
          <w:rFonts w:ascii="Times New Roman" w:eastAsia="仿宋" w:cs="Times New Roman" w:hAnsi="Times New Roman" w:hint="eastAsia"/>
          <w:snapToGrid w:val="0"/>
          <w:kern w:val="0"/>
          <w:sz w:val="28"/>
          <w:szCs w:val="28"/>
        </w:rPr>
        <w:t>表</w:t>
      </w:r>
      <w:r>
        <w:rPr>
          <w:rFonts w:ascii="Times New Roman" w:eastAsia="仿宋" w:cs="Times New Roman" w:hAnsi="Times New Roman"/>
          <w:snapToGrid w:val="0"/>
          <w:kern w:val="0"/>
          <w:sz w:val="28"/>
          <w:szCs w:val="28"/>
        </w:rPr>
        <w:t xml:space="preserve">3-4 </w:t>
      </w:r>
      <w:r>
        <w:rPr>
          <w:rFonts w:ascii="Times New Roman" w:eastAsia="仿宋" w:cs="Times New Roman" w:hAnsi="Times New Roman" w:hint="eastAsia"/>
          <w:snapToGrid w:val="0"/>
          <w:kern w:val="0"/>
          <w:sz w:val="28"/>
          <w:szCs w:val="28"/>
        </w:rPr>
        <w:t>中小学建设用地面积指标表</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758"/>
        <w:gridCol w:w="2199"/>
        <w:gridCol w:w="3339"/>
      </w:tblGrid>
      <w:tr>
        <w:trPr>
          <w:tblHeader/>
        </w:trPr>
        <w:tc>
          <w:tcPr>
            <w:tcW w:w="2758"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rPr>
            </w:pPr>
            <w:r>
              <w:rPr>
                <w:rFonts w:ascii="Times New Roman" w:eastAsia="仿宋" w:cs="Times New Roman" w:hAnsi="Times New Roman" w:hint="eastAsia"/>
                <w:b/>
                <w:bCs/>
                <w:snapToGrid w:val="0"/>
                <w:kern w:val="0"/>
                <w:sz w:val="24"/>
              </w:rPr>
              <w:t>学校类别</w:t>
            </w: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rPr>
            </w:pPr>
            <w:r>
              <w:rPr>
                <w:rFonts w:ascii="Times New Roman" w:eastAsia="仿宋" w:cs="Times New Roman" w:hAnsi="Times New Roman" w:hint="eastAsia"/>
                <w:b/>
                <w:bCs/>
                <w:snapToGrid w:val="0"/>
                <w:kern w:val="0"/>
                <w:sz w:val="24"/>
              </w:rPr>
              <w:t>建设规模（班）</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rPr>
            </w:pPr>
            <w:r>
              <w:rPr>
                <w:rFonts w:ascii="Times New Roman" w:eastAsia="仿宋" w:cs="Times New Roman" w:hAnsi="Times New Roman" w:hint="eastAsia"/>
                <w:b/>
                <w:bCs/>
                <w:snapToGrid w:val="0"/>
                <w:kern w:val="0"/>
                <w:sz w:val="24"/>
              </w:rPr>
              <w:t>生均校园用地面积（㎡</w:t>
            </w:r>
            <w:r>
              <w:rPr>
                <w:rFonts w:ascii="Times New Roman" w:eastAsia="仿宋" w:cs="Times New Roman" w:hAnsi="Times New Roman"/>
                <w:b/>
                <w:bCs/>
                <w:snapToGrid w:val="0"/>
                <w:kern w:val="0"/>
                <w:sz w:val="24"/>
              </w:rPr>
              <w:t>/</w:t>
            </w:r>
            <w:r>
              <w:rPr>
                <w:rFonts w:ascii="Times New Roman" w:eastAsia="仿宋" w:cs="Times New Roman" w:hAnsi="Times New Roman" w:hint="eastAsia"/>
                <w:b/>
                <w:bCs/>
                <w:snapToGrid w:val="0"/>
                <w:kern w:val="0"/>
                <w:sz w:val="24"/>
              </w:rPr>
              <w:t>生）</w:t>
            </w:r>
          </w:p>
        </w:tc>
      </w:tr>
      <w:tr>
        <w:tc>
          <w:tcPr>
            <w:tcW w:w="2758" w:type="dxa"/>
            <w:vMerge w:val="restar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非完全小学</w:t>
            </w:r>
          </w:p>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及完全小学</w:t>
            </w: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w:t>
            </w:r>
            <w:r>
              <w:rPr>
                <w:rFonts w:ascii="Times New Roman" w:eastAsia="仿宋" w:cs="Times New Roman" w:hAnsi="Times New Roman"/>
                <w:snapToGrid w:val="0"/>
                <w:kern w:val="0"/>
                <w:sz w:val="24"/>
              </w:rPr>
              <w:t>6</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35</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6—12</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34</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12—18</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31</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18—24</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29.8</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w:t>
            </w:r>
            <w:r>
              <w:rPr>
                <w:rFonts w:ascii="Times New Roman" w:eastAsia="仿宋" w:cs="Times New Roman" w:hAnsi="Times New Roman"/>
                <w:snapToGrid w:val="0"/>
                <w:kern w:val="0"/>
                <w:sz w:val="24"/>
              </w:rPr>
              <w:t>24</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28.8</w:t>
            </w:r>
          </w:p>
        </w:tc>
      </w:tr>
      <w:tr>
        <w:tc>
          <w:tcPr>
            <w:tcW w:w="2758" w:type="dxa"/>
            <w:vMerge w:val="restar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初级中学</w:t>
            </w: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w:t>
            </w:r>
            <w:r>
              <w:rPr>
                <w:rFonts w:ascii="Times New Roman" w:eastAsia="仿宋" w:cs="Times New Roman" w:hAnsi="Times New Roman"/>
                <w:snapToGrid w:val="0"/>
                <w:kern w:val="0"/>
                <w:sz w:val="24"/>
              </w:rPr>
              <w:t>12</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37.2</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12—18</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36</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18—24</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34.8</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w:t>
            </w:r>
            <w:r>
              <w:rPr>
                <w:rFonts w:ascii="Times New Roman" w:eastAsia="仿宋" w:cs="Times New Roman" w:hAnsi="Times New Roman"/>
                <w:snapToGrid w:val="0"/>
                <w:kern w:val="0"/>
                <w:sz w:val="24"/>
              </w:rPr>
              <w:t>24</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33.6</w:t>
            </w:r>
          </w:p>
        </w:tc>
      </w:tr>
      <w:tr>
        <w:tc>
          <w:tcPr>
            <w:tcW w:w="2758" w:type="dxa"/>
            <w:vMerge w:val="restar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高级中学</w:t>
            </w: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w:t>
            </w:r>
            <w:r>
              <w:rPr>
                <w:rFonts w:ascii="Times New Roman" w:eastAsia="仿宋" w:cs="Times New Roman" w:hAnsi="Times New Roman"/>
                <w:snapToGrid w:val="0"/>
                <w:kern w:val="0"/>
                <w:sz w:val="24"/>
              </w:rPr>
              <w:t>18</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33.8</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18—24</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32.6</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24—30</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31.4</w:t>
            </w:r>
          </w:p>
        </w:tc>
      </w:tr>
      <w:tr>
        <w:tc>
          <w:tcPr>
            <w:tcW w:w="2758" w:type="dxa"/>
            <w:vMerge/>
            <w:tcBorders>
              <w:top w:val="single" w:sz="4" w:space="0" w:color="auto"/>
              <w:left w:val="single" w:sz="4" w:space="0" w:color="auto"/>
              <w:bottom w:val="single" w:sz="4" w:space="0" w:color="auto"/>
              <w:right w:val="single" w:sz="4" w:space="0" w:color="auto"/>
            </w:tcBorders>
            <w:vAlign w:val="center"/>
          </w:tcPr>
          <w:p/>
        </w:tc>
        <w:tc>
          <w:tcPr>
            <w:tcW w:w="219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rPr>
              <w:t>≥</w:t>
            </w:r>
            <w:r>
              <w:rPr>
                <w:rFonts w:ascii="Times New Roman" w:eastAsia="仿宋" w:cs="Times New Roman" w:hAnsi="Times New Roman"/>
                <w:snapToGrid w:val="0"/>
                <w:kern w:val="0"/>
                <w:sz w:val="24"/>
              </w:rPr>
              <w:t>30</w:t>
            </w:r>
          </w:p>
        </w:tc>
        <w:tc>
          <w:tcPr>
            <w:tcW w:w="3339"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rPr>
            </w:pPr>
            <w:r>
              <w:rPr>
                <w:rFonts w:ascii="Times New Roman" w:eastAsia="仿宋" w:cs="Times New Roman" w:hAnsi="Times New Roman"/>
                <w:snapToGrid w:val="0"/>
                <w:kern w:val="0"/>
                <w:sz w:val="24"/>
              </w:rPr>
              <w:t>30.2</w:t>
            </w:r>
          </w:p>
        </w:tc>
      </w:tr>
      <w:tr>
        <w:tc>
          <w:tcPr>
            <w:tcW w:w="8296" w:type="dxa"/>
            <w:gridSpan w:val="3"/>
            <w:tcBorders>
              <w:top w:val="single" w:sz="4" w:space="0" w:color="auto"/>
              <w:left w:val="single" w:sz="4" w:space="0" w:color="auto"/>
              <w:bottom w:val="single" w:sz="4" w:space="0" w:color="auto"/>
              <w:right w:val="single" w:sz="4" w:space="0" w:color="auto"/>
            </w:tcBorders>
            <w:vAlign w:val="center"/>
          </w:tcPr>
          <w:p>
            <w:pPr>
              <w:adjustRightInd w:val="0"/>
              <w:snapToGrid w:val="0"/>
              <w:rPr>
                <w:rFonts w:ascii="Times New Roman" w:eastAsia="仿宋" w:cs="Times New Roman" w:hAnsi="Times New Roman"/>
                <w:snapToGrid w:val="0"/>
                <w:kern w:val="0"/>
                <w:sz w:val="24"/>
                <w:szCs w:val="21"/>
              </w:rPr>
            </w:pPr>
            <w:r>
              <w:rPr>
                <w:rFonts w:ascii="Times New Roman" w:eastAsia="仿宋" w:cs="Times New Roman" w:hAnsi="Times New Roman"/>
                <w:snapToGrid w:val="0"/>
                <w:kern w:val="0"/>
                <w:sz w:val="24"/>
                <w:szCs w:val="21"/>
              </w:rPr>
              <w:t>注：</w:t>
            </w:r>
          </w:p>
          <w:p>
            <w:pPr>
              <w:adjustRightInd w:val="0"/>
              <w:snapToGrid w:val="0"/>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1.</w:t>
            </w:r>
            <w:r>
              <w:rPr>
                <w:rFonts w:ascii="Times New Roman" w:eastAsia="仿宋" w:cs="Times New Roman" w:hAnsi="Times New Roman"/>
                <w:snapToGrid w:val="0"/>
                <w:kern w:val="0"/>
                <w:sz w:val="24"/>
                <w:szCs w:val="21"/>
              </w:rPr>
              <w:t>非完全小学30人/班，完全小学45人/班。</w:t>
            </w:r>
          </w:p>
          <w:p>
            <w:pPr>
              <w:adjustRightInd w:val="0"/>
              <w:snapToGrid w:val="0"/>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2.</w:t>
            </w:r>
            <w:r>
              <w:rPr>
                <w:rFonts w:ascii="Times New Roman" w:eastAsia="仿宋" w:cs="Times New Roman" w:hAnsi="Times New Roman"/>
                <w:snapToGrid w:val="0"/>
                <w:kern w:val="0"/>
                <w:sz w:val="24"/>
                <w:szCs w:val="21"/>
              </w:rPr>
              <w:t>寄宿制小学生均校园用地指标在非寄宿制学校相应指标基础上增加8㎡/生。寄宿制中学生均校园用地指标在非寄宿制学校相应指标基础上增加7.5㎡/生。</w:t>
            </w:r>
          </w:p>
          <w:p>
            <w:pPr>
              <w:adjustRightInd w:val="0"/>
              <w:snapToGrid w:val="0"/>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3.</w:t>
            </w:r>
            <w:r>
              <w:rPr>
                <w:rFonts w:ascii="Times New Roman" w:eastAsia="仿宋" w:cs="Times New Roman" w:hAnsi="Times New Roman"/>
                <w:snapToGrid w:val="0"/>
                <w:kern w:val="0"/>
                <w:sz w:val="24"/>
                <w:szCs w:val="21"/>
              </w:rPr>
              <w:t>九年一贯制学校用地规模小于其小学用地规模与初中用地规模之和。</w:t>
            </w:r>
          </w:p>
          <w:p>
            <w:pPr>
              <w:adjustRightInd w:val="0"/>
              <w:snapToGrid w:val="0"/>
              <w:rPr>
                <w:rFonts w:ascii="Times New Roman" w:eastAsia="仿宋" w:cs="Times New Roman" w:hAnsi="Times New Roman"/>
                <w:snapToGrid w:val="0"/>
                <w:kern w:val="0"/>
                <w:sz w:val="24"/>
              </w:rPr>
            </w:pPr>
            <w:r>
              <w:rPr>
                <w:rFonts w:ascii="Times New Roman" w:eastAsia="仿宋" w:cs="Times New Roman" w:hAnsi="Times New Roman" w:hint="eastAsia"/>
                <w:snapToGrid w:val="0"/>
                <w:kern w:val="0"/>
                <w:sz w:val="24"/>
                <w:szCs w:val="21"/>
              </w:rPr>
              <w:t>4.</w:t>
            </w:r>
            <w:r>
              <w:rPr>
                <w:rFonts w:ascii="Times New Roman" w:eastAsia="仿宋" w:cs="Times New Roman" w:hAnsi="Times New Roman"/>
                <w:snapToGrid w:val="0"/>
                <w:kern w:val="0"/>
                <w:sz w:val="24"/>
                <w:szCs w:val="21"/>
              </w:rPr>
              <w:t>用地指标不包含起伏大不适于进行建设的山地、河流、池塘、湖泊等；不包含已离休、退休、调出教职工及已故教职工遗属使用的教工住宅、食堂、浴室、医务室等生活附属设施及人民防空设施用地。</w:t>
            </w:r>
          </w:p>
        </w:tc>
      </w:tr>
    </w:tbl>
    <w:p>
      <w:pPr>
        <w:adjustRightInd w:val="0"/>
        <w:snapToGrid w:val="0"/>
        <w:spacing w:line="520" w:lineRule="exact"/>
        <w:ind w:firstLine="640"/>
        <w:rPr>
          <w:rFonts w:ascii="Times New Roman" w:eastAsia="仿宋" w:cs="Times New Roman" w:hAnsi="Times New Roman"/>
          <w:bCs/>
          <w:snapToGrid w:val="0"/>
          <w:kern w:val="0"/>
          <w:sz w:val="32"/>
          <w:szCs w:val="32"/>
        </w:rPr>
      </w:pPr>
      <w:r>
        <w:rPr>
          <w:rFonts w:ascii="Times New Roman" w:eastAsia="仿宋" w:cs="Times New Roman" w:hAnsi="Times New Roman" w:hint="eastAsia"/>
          <w:bCs/>
          <w:snapToGrid w:val="0"/>
          <w:kern w:val="0"/>
          <w:sz w:val="32"/>
          <w:szCs w:val="32"/>
        </w:rPr>
        <w:t>（</w:t>
      </w:r>
      <w:r>
        <w:rPr>
          <w:rFonts w:ascii="Times New Roman" w:eastAsia="仿宋" w:cs="Times New Roman" w:hAnsi="Times New Roman"/>
          <w:bCs/>
          <w:snapToGrid w:val="0"/>
          <w:kern w:val="0"/>
          <w:sz w:val="32"/>
          <w:szCs w:val="32"/>
        </w:rPr>
        <w:t>3</w:t>
      </w:r>
      <w:r>
        <w:rPr>
          <w:rFonts w:ascii="Times New Roman" w:eastAsia="仿宋" w:cs="Times New Roman" w:hAnsi="Times New Roman" w:hint="eastAsia"/>
          <w:bCs/>
          <w:snapToGrid w:val="0"/>
          <w:kern w:val="0"/>
          <w:sz w:val="32"/>
          <w:szCs w:val="32"/>
        </w:rPr>
        <w:t>）其他</w:t>
      </w:r>
    </w:p>
    <w:p>
      <w:pPr>
        <w:adjustRightInd w:val="0"/>
        <w:snapToGrid w:val="0"/>
        <w:spacing w:line="520" w:lineRule="exact"/>
        <w:ind w:firstLine="640"/>
        <w:rPr>
          <w:rFonts w:ascii="仿宋" w:eastAsia="仿宋" w:cs="仿宋" w:hAnsi="仿宋"/>
          <w:snapToGrid w:val="0"/>
          <w:kern w:val="0"/>
          <w:sz w:val="32"/>
          <w:szCs w:val="32"/>
        </w:rPr>
      </w:pPr>
      <w:r>
        <w:rPr>
          <w:rFonts w:ascii="仿宋" w:eastAsia="仿宋" w:cs="仿宋" w:hAnsi="仿宋" w:hint="eastAsia"/>
          <w:snapToGrid w:val="0"/>
          <w:kern w:val="0"/>
          <w:sz w:val="32"/>
          <w:szCs w:val="32"/>
        </w:rPr>
        <w:t>其他乡村公共服务设施应符合《社区生活圈规划技术指南（TD/T 1062-2021）》《广西农村公共服务中心建设工程指导手册（2021年修订）》等规范的相关要求。具体建设标准可参照表3-</w:t>
      </w:r>
      <w:r>
        <w:rPr>
          <w:rFonts w:ascii="仿宋" w:eastAsia="仿宋" w:cs="仿宋" w:hAnsi="仿宋"/>
          <w:snapToGrid w:val="0"/>
          <w:kern w:val="0"/>
          <w:sz w:val="32"/>
          <w:szCs w:val="32"/>
        </w:rPr>
        <w:t>5</w:t>
      </w:r>
      <w:r>
        <w:rPr>
          <w:rFonts w:ascii="仿宋" w:eastAsia="仿宋" w:cs="仿宋" w:hAnsi="仿宋" w:hint="eastAsia"/>
          <w:snapToGrid w:val="0"/>
          <w:kern w:val="0"/>
          <w:sz w:val="32"/>
          <w:szCs w:val="32"/>
        </w:rPr>
        <w:t>执行</w:t>
      </w:r>
      <w:r>
        <w:rPr>
          <w:rFonts w:ascii="仿宋" w:eastAsia="仿宋" w:cs="仿宋" w:hAnsi="仿宋"/>
          <w:snapToGrid w:val="0"/>
          <w:kern w:val="0"/>
          <w:sz w:val="32"/>
          <w:szCs w:val="32"/>
        </w:rPr>
        <w:t>。</w:t>
      </w:r>
    </w:p>
    <w:p>
      <w:pPr>
        <w:adjustRightInd w:val="0"/>
        <w:snapToGrid w:val="0"/>
        <w:spacing w:line="600" w:lineRule="exact"/>
        <w:jc w:val="center"/>
        <w:rPr>
          <w:rFonts w:ascii="Times New Roman" w:eastAsia="仿宋" w:cs="Times New Roman" w:hAnsi="Times New Roman"/>
          <w:bCs/>
          <w:snapToGrid w:val="0"/>
          <w:kern w:val="0"/>
          <w:sz w:val="28"/>
          <w:szCs w:val="32"/>
        </w:rPr>
      </w:pPr>
      <w:r>
        <w:rPr>
          <w:rFonts w:ascii="Times New Roman" w:eastAsia="仿宋" w:cs="Times New Roman" w:hAnsi="Times New Roman" w:hint="eastAsia"/>
          <w:bCs/>
          <w:snapToGrid w:val="0"/>
          <w:kern w:val="0"/>
          <w:sz w:val="28"/>
          <w:szCs w:val="32"/>
        </w:rPr>
        <w:t>表</w:t>
      </w:r>
      <w:r>
        <w:rPr>
          <w:rFonts w:ascii="Times New Roman" w:eastAsia="仿宋" w:cs="Times New Roman" w:hAnsi="Times New Roman"/>
          <w:bCs/>
          <w:snapToGrid w:val="0"/>
          <w:kern w:val="0"/>
          <w:sz w:val="28"/>
          <w:szCs w:val="32"/>
        </w:rPr>
        <w:t>3-5</w:t>
      </w:r>
      <w:r>
        <w:rPr>
          <w:rFonts w:ascii="Times New Roman" w:eastAsia="仿宋" w:cs="Times New Roman" w:hAnsi="Times New Roman" w:hint="eastAsia"/>
          <w:bCs/>
          <w:snapToGrid w:val="0"/>
          <w:kern w:val="0"/>
          <w:sz w:val="28"/>
          <w:szCs w:val="32"/>
        </w:rPr>
        <w:t>乡村公共服务设施建设标准</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96"/>
        <w:gridCol w:w="1517"/>
        <w:gridCol w:w="3778"/>
        <w:gridCol w:w="2205"/>
      </w:tblGrid>
      <w:tr>
        <w:trPr>
          <w:trHeight w:val="417"/>
          <w:tblHeader/>
        </w:trPr>
        <w:tc>
          <w:tcPr>
            <w:tcW w:w="480"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分类</w:t>
            </w:r>
          </w:p>
        </w:tc>
        <w:tc>
          <w:tcPr>
            <w:tcW w:w="91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设施名称</w:t>
            </w:r>
          </w:p>
        </w:tc>
        <w:tc>
          <w:tcPr>
            <w:tcW w:w="2277"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服务内容</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单处一般规</w:t>
            </w:r>
            <w:r>
              <w:rPr>
                <w:rFonts w:ascii="仿宋" w:eastAsia="仿宋" w:cs="宋体" w:hAnsi="仿宋"/>
                <w:b/>
                <w:bCs/>
                <w:color w:val="000000"/>
                <w:kern w:val="0"/>
                <w:sz w:val="24"/>
              </w:rPr>
              <w:t>(㎡)</w:t>
            </w:r>
          </w:p>
        </w:tc>
      </w:tr>
      <w:tr>
        <w:trPr>
          <w:trHeight w:val="379"/>
          <w:tblHeader/>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vMerge/>
            <w:tcBorders>
              <w:top w:val="single" w:sz="4" w:space="0" w:color="auto"/>
              <w:left w:val="single" w:sz="4" w:space="0" w:color="auto"/>
              <w:bottom w:val="single" w:sz="4" w:space="0" w:color="auto"/>
              <w:right w:val="single" w:sz="4" w:space="0" w:color="auto"/>
            </w:tcBorders>
            <w:vAlign w:val="center"/>
          </w:tcPr>
          <w:p/>
        </w:tc>
        <w:tc>
          <w:tcPr>
            <w:tcW w:w="2277" w:type="pct"/>
            <w:vMerge/>
            <w:tcBorders>
              <w:top w:val="single" w:sz="4" w:space="0" w:color="auto"/>
              <w:left w:val="single" w:sz="4" w:space="0" w:color="auto"/>
              <w:bottom w:val="single" w:sz="4" w:space="0" w:color="auto"/>
              <w:right w:val="single" w:sz="4" w:space="0" w:color="auto"/>
            </w:tcBorders>
            <w:vAlign w:val="center"/>
          </w:tcP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bCs/>
                <w:color w:val="000000"/>
                <w:kern w:val="0"/>
                <w:sz w:val="24"/>
              </w:rPr>
            </w:pPr>
            <w:r>
              <w:rPr>
                <w:rFonts w:ascii="仿宋" w:eastAsia="仿宋" w:cs="宋体" w:hAnsi="仿宋" w:hint="eastAsia"/>
                <w:b/>
                <w:bCs/>
                <w:color w:val="000000"/>
                <w:kern w:val="0"/>
                <w:sz w:val="24"/>
              </w:rPr>
              <w:t>建筑面积</w:t>
            </w:r>
          </w:p>
        </w:tc>
      </w:tr>
      <w:tr>
        <w:trPr>
          <w:trHeight w:val="20"/>
        </w:trPr>
        <w:tc>
          <w:tcPr>
            <w:tcW w:w="48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健康管理</w:t>
            </w: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村卫生室</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医疗、预防、康复等</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rPr>
              <w:t>100</w:t>
            </w:r>
            <w:r>
              <w:rPr>
                <w:rFonts w:ascii="仿宋" w:eastAsia="仿宋" w:cs="宋体" w:hAnsi="仿宋" w:hint="eastAsia"/>
                <w:color w:val="000000"/>
                <w:kern w:val="0"/>
                <w:sz w:val="24"/>
              </w:rPr>
              <w:t>—</w:t>
            </w:r>
            <w:r>
              <w:rPr>
                <w:rFonts w:ascii="仿宋" w:eastAsia="仿宋" w:cs="宋体" w:hAnsi="仿宋"/>
                <w:color w:val="000000"/>
                <w:kern w:val="0"/>
                <w:sz w:val="24"/>
              </w:rPr>
              <w:t>200</w:t>
            </w:r>
          </w:p>
        </w:tc>
      </w:tr>
      <w:tr>
        <w:trPr>
          <w:trHeight w:val="381"/>
        </w:trPr>
        <w:tc>
          <w:tcPr>
            <w:tcW w:w="480"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为老服务</w:t>
            </w: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老年活动室</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老年人交流、文娱活动等</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rPr>
              <w:t>200</w:t>
            </w:r>
          </w:p>
        </w:tc>
      </w:tr>
      <w:tr>
        <w:trPr>
          <w:trHeight w:val="312"/>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村级幸福院</w:t>
            </w:r>
          </w:p>
        </w:tc>
        <w:tc>
          <w:tcPr>
            <w:tcW w:w="2277"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对自理、介助和介护老年人给予生活起居、餐饮服务、医疗保健、文化娱乐等综合服务</w:t>
            </w:r>
          </w:p>
        </w:tc>
        <w:tc>
          <w:tcPr>
            <w:tcW w:w="1329"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根据实际需要确定</w:t>
            </w:r>
          </w:p>
        </w:tc>
      </w:tr>
      <w:tr>
        <w:trPr>
          <w:trHeight w:val="802"/>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vMerge/>
            <w:tcBorders>
              <w:top w:val="single" w:sz="4" w:space="0" w:color="auto"/>
              <w:left w:val="single" w:sz="4" w:space="0" w:color="auto"/>
              <w:bottom w:val="single" w:sz="4" w:space="0" w:color="auto"/>
              <w:right w:val="single" w:sz="4" w:space="0" w:color="auto"/>
            </w:tcBorders>
            <w:vAlign w:val="center"/>
          </w:tcPr>
          <w:p/>
        </w:tc>
        <w:tc>
          <w:tcPr>
            <w:tcW w:w="2277" w:type="pct"/>
            <w:vMerge/>
            <w:tcBorders>
              <w:top w:val="single" w:sz="4" w:space="0" w:color="auto"/>
              <w:left w:val="single" w:sz="4" w:space="0" w:color="auto"/>
              <w:bottom w:val="single" w:sz="4" w:space="0" w:color="auto"/>
              <w:right w:val="single" w:sz="4" w:space="0" w:color="auto"/>
            </w:tcBorders>
            <w:vAlign w:val="center"/>
          </w:tcPr>
          <w:p/>
        </w:tc>
        <w:tc>
          <w:tcPr>
            <w:tcW w:w="1329" w:type="pct"/>
            <w:vMerge/>
            <w:tcBorders>
              <w:top w:val="single" w:sz="4" w:space="0" w:color="auto"/>
              <w:left w:val="single" w:sz="4" w:space="0" w:color="auto"/>
              <w:bottom w:val="single" w:sz="4" w:space="0" w:color="auto"/>
              <w:right w:val="single" w:sz="4" w:space="0" w:color="auto"/>
            </w:tcBorders>
            <w:vAlign w:val="center"/>
          </w:tcPr>
          <w:p/>
        </w:tc>
      </w:tr>
      <w:tr>
        <w:trPr>
          <w:trHeight w:val="698"/>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老年人日间照料中心</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老年人日托服务，包括餐饮、文娱、健身、医疗保健等</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rPr>
              <w:t>300</w:t>
            </w:r>
          </w:p>
        </w:tc>
      </w:tr>
      <w:tr>
        <w:trPr>
          <w:trHeight w:val="312"/>
        </w:trPr>
        <w:tc>
          <w:tcPr>
            <w:tcW w:w="480"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终身教育</w:t>
            </w:r>
          </w:p>
        </w:tc>
        <w:tc>
          <w:tcPr>
            <w:tcW w:w="91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村幼儿园</w:t>
            </w:r>
          </w:p>
        </w:tc>
        <w:tc>
          <w:tcPr>
            <w:tcW w:w="2277"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保教</w:t>
            </w:r>
            <w:r>
              <w:rPr>
                <w:rFonts w:ascii="仿宋" w:eastAsia="仿宋" w:cs="宋体" w:hAnsi="仿宋"/>
                <w:color w:val="000000"/>
                <w:kern w:val="0"/>
                <w:sz w:val="24"/>
              </w:rPr>
              <w:t>3周岁-6周岁的学龄前儿童</w:t>
            </w:r>
          </w:p>
        </w:tc>
        <w:tc>
          <w:tcPr>
            <w:tcW w:w="1329"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参照学前教育建设用地面积指标表的要求执行</w:t>
            </w:r>
          </w:p>
        </w:tc>
      </w:tr>
      <w:tr>
        <w:trPr>
          <w:trHeight w:val="312"/>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vMerge/>
            <w:tcBorders>
              <w:top w:val="single" w:sz="4" w:space="0" w:color="auto"/>
              <w:left w:val="single" w:sz="4" w:space="0" w:color="auto"/>
              <w:bottom w:val="single" w:sz="4" w:space="0" w:color="auto"/>
              <w:right w:val="single" w:sz="4" w:space="0" w:color="auto"/>
            </w:tcBorders>
            <w:vAlign w:val="center"/>
          </w:tcPr>
          <w:p/>
        </w:tc>
        <w:tc>
          <w:tcPr>
            <w:tcW w:w="2277" w:type="pct"/>
            <w:vMerge/>
            <w:tcBorders>
              <w:top w:val="single" w:sz="4" w:space="0" w:color="auto"/>
              <w:left w:val="single" w:sz="4" w:space="0" w:color="auto"/>
              <w:bottom w:val="single" w:sz="4" w:space="0" w:color="auto"/>
              <w:right w:val="single" w:sz="4" w:space="0" w:color="auto"/>
            </w:tcBorders>
            <w:vAlign w:val="center"/>
          </w:tcPr>
          <w:p/>
        </w:tc>
        <w:tc>
          <w:tcPr>
            <w:tcW w:w="1329" w:type="pct"/>
            <w:vMerge/>
            <w:tcBorders>
              <w:top w:val="single" w:sz="4" w:space="0" w:color="auto"/>
              <w:left w:val="single" w:sz="4" w:space="0" w:color="auto"/>
              <w:bottom w:val="single" w:sz="4" w:space="0" w:color="auto"/>
              <w:right w:val="single" w:sz="4" w:space="0" w:color="auto"/>
            </w:tcBorders>
            <w:vAlign w:val="center"/>
          </w:tcPr>
          <w:p/>
        </w:tc>
      </w:tr>
      <w:tr>
        <w:trPr>
          <w:trHeight w:val="312"/>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vMerge/>
            <w:tcBorders>
              <w:top w:val="single" w:sz="4" w:space="0" w:color="auto"/>
              <w:left w:val="single" w:sz="4" w:space="0" w:color="auto"/>
              <w:bottom w:val="single" w:sz="4" w:space="0" w:color="auto"/>
              <w:right w:val="single" w:sz="4" w:space="0" w:color="auto"/>
            </w:tcBorders>
            <w:vAlign w:val="center"/>
          </w:tcPr>
          <w:p/>
        </w:tc>
        <w:tc>
          <w:tcPr>
            <w:tcW w:w="2277" w:type="pct"/>
            <w:vMerge/>
            <w:tcBorders>
              <w:top w:val="single" w:sz="4" w:space="0" w:color="auto"/>
              <w:left w:val="single" w:sz="4" w:space="0" w:color="auto"/>
              <w:bottom w:val="single" w:sz="4" w:space="0" w:color="auto"/>
              <w:right w:val="single" w:sz="4" w:space="0" w:color="auto"/>
            </w:tcBorders>
            <w:vAlign w:val="center"/>
          </w:tcPr>
          <w:p/>
        </w:tc>
        <w:tc>
          <w:tcPr>
            <w:tcW w:w="1329" w:type="pct"/>
            <w:vMerge/>
            <w:tcBorders>
              <w:top w:val="single" w:sz="4" w:space="0" w:color="auto"/>
              <w:left w:val="single" w:sz="4" w:space="0" w:color="auto"/>
              <w:bottom w:val="single" w:sz="4" w:space="0" w:color="auto"/>
              <w:right w:val="single" w:sz="4" w:space="0" w:color="auto"/>
            </w:tcBorders>
            <w:vAlign w:val="center"/>
          </w:tcPr>
          <w:p/>
        </w:tc>
      </w:tr>
      <w:tr>
        <w:trPr>
          <w:trHeight w:val="312"/>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乡村小规模学校</w:t>
            </w:r>
          </w:p>
        </w:tc>
        <w:tc>
          <w:tcPr>
            <w:tcW w:w="2277"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学生人数少于</w:t>
            </w:r>
            <w:r>
              <w:rPr>
                <w:rFonts w:ascii="仿宋" w:eastAsia="仿宋" w:cs="宋体" w:hAnsi="仿宋"/>
                <w:color w:val="000000"/>
                <w:kern w:val="0"/>
                <w:sz w:val="24"/>
              </w:rPr>
              <w:t>200人的中小学校和教学点</w:t>
            </w:r>
          </w:p>
        </w:tc>
        <w:tc>
          <w:tcPr>
            <w:tcW w:w="1329"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参照中小学建设用地面积指标表的要求执行</w:t>
            </w:r>
          </w:p>
        </w:tc>
      </w:tr>
      <w:tr>
        <w:trPr>
          <w:trHeight w:val="312"/>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vMerge/>
            <w:tcBorders>
              <w:top w:val="single" w:sz="4" w:space="0" w:color="auto"/>
              <w:left w:val="single" w:sz="4" w:space="0" w:color="auto"/>
              <w:bottom w:val="single" w:sz="4" w:space="0" w:color="auto"/>
              <w:right w:val="single" w:sz="4" w:space="0" w:color="auto"/>
            </w:tcBorders>
            <w:vAlign w:val="center"/>
          </w:tcPr>
          <w:p/>
        </w:tc>
        <w:tc>
          <w:tcPr>
            <w:tcW w:w="2277" w:type="pct"/>
            <w:vMerge/>
            <w:tcBorders>
              <w:top w:val="single" w:sz="4" w:space="0" w:color="auto"/>
              <w:left w:val="single" w:sz="4" w:space="0" w:color="auto"/>
              <w:bottom w:val="single" w:sz="4" w:space="0" w:color="auto"/>
              <w:right w:val="single" w:sz="4" w:space="0" w:color="auto"/>
            </w:tcBorders>
            <w:vAlign w:val="center"/>
          </w:tcPr>
          <w:p/>
        </w:tc>
        <w:tc>
          <w:tcPr>
            <w:tcW w:w="1329" w:type="pct"/>
            <w:vMerge/>
            <w:tcBorders>
              <w:top w:val="single" w:sz="4" w:space="0" w:color="auto"/>
              <w:left w:val="single" w:sz="4" w:space="0" w:color="auto"/>
              <w:bottom w:val="single" w:sz="4" w:space="0" w:color="auto"/>
              <w:right w:val="single" w:sz="4" w:space="0" w:color="auto"/>
            </w:tcBorders>
            <w:vAlign w:val="center"/>
          </w:tcPr>
          <w:p/>
        </w:tc>
      </w:tr>
      <w:tr>
        <w:trPr>
          <w:trHeight w:val="312"/>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vMerge/>
            <w:tcBorders>
              <w:top w:val="single" w:sz="4" w:space="0" w:color="auto"/>
              <w:left w:val="single" w:sz="4" w:space="0" w:color="auto"/>
              <w:bottom w:val="single" w:sz="4" w:space="0" w:color="auto"/>
              <w:right w:val="single" w:sz="4" w:space="0" w:color="auto"/>
            </w:tcBorders>
            <w:vAlign w:val="center"/>
          </w:tcPr>
          <w:p/>
        </w:tc>
        <w:tc>
          <w:tcPr>
            <w:tcW w:w="2277" w:type="pct"/>
            <w:vMerge/>
            <w:tcBorders>
              <w:top w:val="single" w:sz="4" w:space="0" w:color="auto"/>
              <w:left w:val="single" w:sz="4" w:space="0" w:color="auto"/>
              <w:bottom w:val="single" w:sz="4" w:space="0" w:color="auto"/>
              <w:right w:val="single" w:sz="4" w:space="0" w:color="auto"/>
            </w:tcBorders>
            <w:vAlign w:val="center"/>
          </w:tcPr>
          <w:p/>
        </w:tc>
        <w:tc>
          <w:tcPr>
            <w:tcW w:w="1329" w:type="pct"/>
            <w:vMerge/>
            <w:tcBorders>
              <w:top w:val="single" w:sz="4" w:space="0" w:color="auto"/>
              <w:left w:val="single" w:sz="4" w:space="0" w:color="auto"/>
              <w:bottom w:val="single" w:sz="4" w:space="0" w:color="auto"/>
              <w:right w:val="single" w:sz="4" w:space="0" w:color="auto"/>
            </w:tcBorders>
            <w:vAlign w:val="center"/>
          </w:tcPr>
          <w:p/>
        </w:tc>
      </w:tr>
      <w:tr>
        <w:trPr>
          <w:trHeight w:val="20"/>
        </w:trPr>
        <w:tc>
          <w:tcPr>
            <w:tcW w:w="480"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文化活动</w:t>
            </w: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文化活动室</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提供书报阅览、书画、文娱、健身、音乐欣赏茶座等功能</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rPr>
              <w:t>200</w:t>
            </w:r>
          </w:p>
        </w:tc>
      </w:tr>
      <w:tr>
        <w:trPr>
          <w:trHeight w:val="20"/>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农家书屋</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农民自管自用、自助读书的场所</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根据实际需要确定</w:t>
            </w:r>
          </w:p>
        </w:tc>
      </w:tr>
      <w:tr>
        <w:trPr>
          <w:trHeight w:val="20"/>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红白喜事厅</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操办红白喜事</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根据实际需要确定</w:t>
            </w:r>
          </w:p>
        </w:tc>
      </w:tr>
      <w:tr>
        <w:trPr>
          <w:trHeight w:val="20"/>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特色民俗活动点</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举办各种农民集体活动、民俗活动等</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rPr>
              <w:t>600</w:t>
            </w:r>
          </w:p>
        </w:tc>
      </w:tr>
      <w:tr>
        <w:trPr>
          <w:trHeight w:val="20"/>
        </w:trPr>
        <w:tc>
          <w:tcPr>
            <w:tcW w:w="48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体育健身</w:t>
            </w: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健身广场</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篮球、羽毛球、乒乓球单双杠及其他健身器械等</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rPr>
              <w:t>400（用地面积）</w:t>
            </w:r>
          </w:p>
        </w:tc>
      </w:tr>
      <w:tr>
        <w:trPr>
          <w:trHeight w:val="20"/>
        </w:trPr>
        <w:tc>
          <w:tcPr>
            <w:tcW w:w="480"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商业服务</w:t>
            </w: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便民农家店</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便民商业，可包含邮件快递服务等功能</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rPr>
              <w:t>120</w:t>
            </w:r>
            <w:r>
              <w:rPr>
                <w:rFonts w:ascii="仿宋" w:eastAsia="仿宋" w:cs="宋体" w:hAnsi="仿宋" w:hint="eastAsia"/>
                <w:color w:val="000000"/>
                <w:kern w:val="0"/>
                <w:sz w:val="24"/>
              </w:rPr>
              <w:t>—</w:t>
            </w:r>
            <w:r>
              <w:rPr>
                <w:rFonts w:ascii="仿宋" w:eastAsia="仿宋" w:cs="宋体" w:hAnsi="仿宋"/>
                <w:color w:val="000000"/>
                <w:kern w:val="0"/>
                <w:sz w:val="24"/>
              </w:rPr>
              <w:t>250</w:t>
            </w:r>
          </w:p>
        </w:tc>
      </w:tr>
      <w:tr>
        <w:trPr>
          <w:trHeight w:val="20"/>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金融电信服务点</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金融知识宣传农村金融服务、咨询代理金融业务、农户信用采集等</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根据实际需要确定</w:t>
            </w:r>
          </w:p>
        </w:tc>
      </w:tr>
      <w:tr>
        <w:trPr>
          <w:trHeight w:val="20"/>
        </w:trPr>
        <w:tc>
          <w:tcPr>
            <w:tcW w:w="48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行政管理</w:t>
            </w: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村务室</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就地办理计划生育、建房申请、外来人口登记、农</w:t>
            </w:r>
            <w:r>
              <w:rPr>
                <w:rFonts w:ascii="仿宋" w:eastAsia="仿宋" w:cs="宋体" w:hAnsi="仿宋"/>
                <w:color w:val="000000"/>
                <w:kern w:val="0"/>
                <w:sz w:val="24"/>
              </w:rPr>
              <w:t>机</w:t>
            </w:r>
            <w:r>
              <w:rPr>
                <w:rFonts w:ascii="仿宋" w:eastAsia="仿宋" w:cs="宋体" w:hAnsi="仿宋" w:hint="eastAsia"/>
                <w:color w:val="000000"/>
                <w:kern w:val="0"/>
                <w:sz w:val="24"/>
              </w:rPr>
              <w:t>耕作、水电维修等与农民相关的事务</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color w:val="000000"/>
                <w:kern w:val="0"/>
                <w:sz w:val="24"/>
              </w:rPr>
              <w:t>100</w:t>
            </w:r>
            <w:r>
              <w:rPr>
                <w:rFonts w:ascii="仿宋" w:eastAsia="仿宋" w:cs="宋体" w:hAnsi="仿宋" w:hint="eastAsia"/>
                <w:color w:val="000000"/>
                <w:kern w:val="0"/>
                <w:sz w:val="24"/>
              </w:rPr>
              <w:t>—</w:t>
            </w:r>
            <w:r>
              <w:rPr>
                <w:rFonts w:ascii="仿宋" w:eastAsia="仿宋" w:cs="宋体" w:hAnsi="仿宋"/>
                <w:color w:val="000000"/>
                <w:kern w:val="0"/>
                <w:sz w:val="24"/>
              </w:rPr>
              <w:t>200</w:t>
            </w:r>
          </w:p>
        </w:tc>
      </w:tr>
      <w:tr>
        <w:trPr>
          <w:trHeight w:val="20"/>
        </w:trPr>
        <w:tc>
          <w:tcPr>
            <w:tcW w:w="480"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就业引导</w:t>
            </w: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物流配送点</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电商直播和农产品物流收发</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根据实际需要确定</w:t>
            </w:r>
          </w:p>
        </w:tc>
      </w:tr>
      <w:tr>
        <w:trPr>
          <w:trHeight w:val="20"/>
        </w:trPr>
        <w:tc>
          <w:tcPr>
            <w:tcW w:w="480" w:type="pct"/>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日常出行</w:t>
            </w: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村级客运站点</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提供农村客运车辆的停靠和发车服务</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根据实际需要确定</w:t>
            </w:r>
          </w:p>
        </w:tc>
      </w:tr>
      <w:tr>
        <w:trPr>
          <w:trHeight w:val="20"/>
        </w:trPr>
        <w:tc>
          <w:tcPr>
            <w:tcW w:w="480" w:type="pct"/>
            <w:vMerge/>
            <w:tcBorders>
              <w:top w:val="single" w:sz="4" w:space="0" w:color="auto"/>
              <w:left w:val="single" w:sz="4" w:space="0" w:color="auto"/>
              <w:bottom w:val="single" w:sz="4" w:space="0" w:color="auto"/>
              <w:right w:val="single" w:sz="4" w:space="0" w:color="auto"/>
            </w:tcBorders>
            <w:vAlign w:val="center"/>
          </w:tcPr>
          <w:p/>
        </w:tc>
        <w:tc>
          <w:tcPr>
            <w:tcW w:w="91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公交站点</w:t>
            </w:r>
          </w:p>
        </w:tc>
        <w:tc>
          <w:tcPr>
            <w:tcW w:w="2277"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提供公交车辆的停靠和发车服务</w:t>
            </w:r>
          </w:p>
        </w:tc>
        <w:tc>
          <w:tcPr>
            <w:tcW w:w="1329"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根据实际需要确定</w:t>
            </w:r>
          </w:p>
        </w:tc>
      </w:tr>
    </w:tbl>
    <w:p>
      <w:pPr>
        <w:adjustRightInd w:val="0"/>
        <w:snapToGrid w:val="0"/>
        <w:spacing w:line="600" w:lineRule="exact"/>
        <w:ind w:firstLineChars="200" w:firstLine="640"/>
        <w:rPr>
          <w:rFonts w:ascii="Times New Roman" w:eastAsia="仿宋" w:cs="Times New Roman" w:hAnsi="Times New Roman"/>
          <w:bCs/>
          <w:snapToGrid w:val="0"/>
          <w:kern w:val="0"/>
          <w:sz w:val="32"/>
          <w:szCs w:val="32"/>
        </w:rPr>
      </w:pPr>
      <w:r>
        <w:rPr>
          <w:rFonts w:ascii="Times New Roman" w:eastAsia="仿宋" w:cs="Times New Roman" w:hAnsi="Times New Roman" w:hint="eastAsia"/>
          <w:bCs/>
          <w:snapToGrid w:val="0"/>
          <w:kern w:val="0"/>
          <w:sz w:val="32"/>
          <w:szCs w:val="32"/>
        </w:rPr>
        <w:t>3</w:t>
      </w:r>
      <w:r>
        <w:rPr>
          <w:rFonts w:ascii="Times New Roman" w:eastAsia="仿宋" w:cs="Times New Roman" w:hAnsi="Times New Roman"/>
          <w:bCs/>
          <w:snapToGrid w:val="0"/>
          <w:kern w:val="0"/>
          <w:sz w:val="32"/>
          <w:szCs w:val="32"/>
        </w:rPr>
        <w:t>.</w:t>
      </w:r>
      <w:r>
        <w:rPr>
          <w:rFonts w:ascii="Times New Roman" w:eastAsia="仿宋" w:cs="Times New Roman" w:hAnsi="Times New Roman" w:hint="eastAsia"/>
          <w:bCs/>
          <w:snapToGrid w:val="0"/>
          <w:kern w:val="0"/>
          <w:sz w:val="32"/>
          <w:szCs w:val="32"/>
        </w:rPr>
        <w:t>市政公用设施建设标准</w:t>
      </w:r>
    </w:p>
    <w:p>
      <w:pPr>
        <w:adjustRightInd w:val="0"/>
        <w:snapToGrid w:val="0"/>
        <w:spacing w:line="600" w:lineRule="exact"/>
        <w:ind w:firstLine="640"/>
        <w:rPr>
          <w:rFonts w:ascii="Times New Roman" w:eastAsia="仿宋" w:cs="Times New Roman" w:hAnsi="Times New Roman"/>
          <w:bCs/>
          <w:snapToGrid w:val="0"/>
          <w:kern w:val="0"/>
          <w:sz w:val="32"/>
          <w:szCs w:val="32"/>
        </w:rPr>
      </w:pPr>
      <w:r>
        <w:rPr>
          <w:rFonts w:ascii="Times New Roman" w:eastAsia="仿宋" w:cs="Times New Roman" w:hAnsi="Times New Roman" w:hint="eastAsia"/>
          <w:bCs/>
          <w:snapToGrid w:val="0"/>
          <w:kern w:val="0"/>
          <w:sz w:val="32"/>
          <w:szCs w:val="32"/>
        </w:rPr>
        <w:t>乡村市政公用设施应符合《社区生活圈规划技术指南（TD/T 1062-2021）》《环境卫生设施设置标准（C</w:t>
      </w:r>
      <w:r>
        <w:rPr>
          <w:rFonts w:ascii="Times New Roman" w:eastAsia="仿宋" w:cs="Times New Roman" w:hAnsi="Times New Roman"/>
          <w:bCs/>
          <w:snapToGrid w:val="0"/>
          <w:kern w:val="0"/>
          <w:sz w:val="32"/>
          <w:szCs w:val="32"/>
        </w:rPr>
        <w:t>JJ27-2012</w:t>
      </w:r>
      <w:r>
        <w:rPr>
          <w:rFonts w:ascii="Times New Roman" w:eastAsia="仿宋" w:cs="Times New Roman" w:hAnsi="Times New Roman" w:hint="eastAsia"/>
          <w:bCs/>
          <w:snapToGrid w:val="0"/>
          <w:kern w:val="0"/>
          <w:sz w:val="32"/>
          <w:szCs w:val="32"/>
        </w:rPr>
        <w:t>）》等规范及相关专项规划的要求。具体建设标准可参照表</w:t>
      </w:r>
      <w:r>
        <w:rPr>
          <w:rFonts w:ascii="Times New Roman" w:eastAsia="仿宋" w:cs="Times New Roman" w:hAnsi="Times New Roman"/>
          <w:bCs/>
          <w:snapToGrid w:val="0"/>
          <w:kern w:val="0"/>
          <w:sz w:val="32"/>
          <w:szCs w:val="32"/>
        </w:rPr>
        <w:t>3-6</w:t>
      </w:r>
      <w:r>
        <w:rPr>
          <w:rFonts w:ascii="Times New Roman" w:eastAsia="仿宋" w:cs="Times New Roman" w:hAnsi="Times New Roman" w:hint="eastAsia"/>
          <w:bCs/>
          <w:snapToGrid w:val="0"/>
          <w:kern w:val="0"/>
          <w:sz w:val="32"/>
          <w:szCs w:val="32"/>
        </w:rPr>
        <w:t>执行。</w:t>
      </w:r>
    </w:p>
    <w:p>
      <w:pPr>
        <w:adjustRightInd w:val="0"/>
        <w:snapToGrid w:val="0"/>
        <w:spacing w:line="520" w:lineRule="exact"/>
        <w:ind w:firstLine="560"/>
        <w:jc w:val="center"/>
        <w:rPr>
          <w:rFonts w:ascii="Times New Roman" w:eastAsia="仿宋" w:cs="Times New Roman" w:hAnsi="Times New Roman"/>
          <w:snapToGrid w:val="0"/>
          <w:kern w:val="0"/>
          <w:sz w:val="28"/>
          <w:szCs w:val="28"/>
        </w:rPr>
      </w:pPr>
      <w:r>
        <w:rPr>
          <w:rFonts w:ascii="Times New Roman" w:eastAsia="仿宋" w:cs="Times New Roman" w:hAnsi="Times New Roman" w:hint="eastAsia"/>
          <w:snapToGrid w:val="0"/>
          <w:kern w:val="0"/>
          <w:sz w:val="28"/>
          <w:szCs w:val="28"/>
        </w:rPr>
        <w:t>表</w:t>
      </w:r>
      <w:r>
        <w:rPr>
          <w:rFonts w:ascii="Times New Roman" w:eastAsia="仿宋" w:cs="Times New Roman" w:hAnsi="Times New Roman"/>
          <w:snapToGrid w:val="0"/>
          <w:kern w:val="0"/>
          <w:sz w:val="28"/>
          <w:szCs w:val="28"/>
        </w:rPr>
        <w:t>3-6</w:t>
      </w:r>
      <w:r>
        <w:rPr>
          <w:rFonts w:ascii="Times New Roman" w:eastAsia="仿宋" w:cs="Times New Roman" w:hAnsi="Times New Roman" w:hint="eastAsia"/>
          <w:snapToGrid w:val="0"/>
          <w:kern w:val="0"/>
          <w:sz w:val="28"/>
          <w:szCs w:val="28"/>
        </w:rPr>
        <w:t>乡村市政公用设施建设标准</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17"/>
        <w:gridCol w:w="2651"/>
        <w:gridCol w:w="4327"/>
      </w:tblGrid>
      <w:tr>
        <w:trPr>
          <w:trHeight w:val="285"/>
          <w:tblHeader/>
        </w:trPr>
        <w:tc>
          <w:tcPr>
            <w:tcW w:w="7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000000"/>
                <w:kern w:val="0"/>
                <w:sz w:val="24"/>
              </w:rPr>
            </w:pPr>
            <w:r>
              <w:rPr>
                <w:rFonts w:ascii="仿宋" w:eastAsia="仿宋" w:cs="宋体" w:hAnsi="仿宋" w:hint="eastAsia"/>
                <w:b/>
                <w:color w:val="000000"/>
                <w:kern w:val="0"/>
                <w:sz w:val="24"/>
              </w:rPr>
              <w:t>设施名称</w:t>
            </w:r>
          </w:p>
        </w:tc>
        <w:tc>
          <w:tcPr>
            <w:tcW w:w="159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000000"/>
                <w:kern w:val="0"/>
                <w:sz w:val="24"/>
              </w:rPr>
            </w:pPr>
            <w:r>
              <w:rPr>
                <w:rFonts w:ascii="仿宋" w:eastAsia="仿宋" w:cs="宋体" w:hAnsi="仿宋" w:hint="eastAsia"/>
                <w:b/>
                <w:color w:val="000000"/>
                <w:kern w:val="0"/>
                <w:sz w:val="24"/>
              </w:rPr>
              <w:t>服务内容</w:t>
            </w:r>
          </w:p>
        </w:tc>
        <w:tc>
          <w:tcPr>
            <w:tcW w:w="260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b/>
                <w:color w:val="000000"/>
                <w:kern w:val="0"/>
                <w:sz w:val="24"/>
              </w:rPr>
            </w:pPr>
            <w:r>
              <w:rPr>
                <w:rFonts w:ascii="仿宋" w:eastAsia="仿宋" w:cs="宋体" w:hAnsi="仿宋" w:hint="eastAsia"/>
                <w:b/>
                <w:color w:val="000000"/>
                <w:kern w:val="0"/>
                <w:sz w:val="24"/>
              </w:rPr>
              <w:t>建设规模</w:t>
            </w:r>
          </w:p>
        </w:tc>
      </w:tr>
      <w:tr>
        <w:trPr>
          <w:trHeight w:val="285"/>
        </w:trPr>
        <w:tc>
          <w:tcPr>
            <w:tcW w:w="7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给水设施</w:t>
            </w:r>
          </w:p>
        </w:tc>
        <w:tc>
          <w:tcPr>
            <w:tcW w:w="159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高位水池、水井、给水管网等</w:t>
            </w:r>
          </w:p>
        </w:tc>
        <w:tc>
          <w:tcPr>
            <w:tcW w:w="260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r>
      <w:tr>
        <w:trPr>
          <w:trHeight w:val="285"/>
        </w:trPr>
        <w:tc>
          <w:tcPr>
            <w:tcW w:w="7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小型排污设施</w:t>
            </w:r>
          </w:p>
        </w:tc>
        <w:tc>
          <w:tcPr>
            <w:tcW w:w="159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对农村生活污水进行处理的构筑物</w:t>
            </w:r>
          </w:p>
        </w:tc>
        <w:tc>
          <w:tcPr>
            <w:tcW w:w="260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根据处理工艺确定</w:t>
            </w:r>
          </w:p>
        </w:tc>
      </w:tr>
      <w:tr>
        <w:trPr>
          <w:trHeight w:val="285"/>
        </w:trPr>
        <w:tc>
          <w:tcPr>
            <w:tcW w:w="7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电力设施</w:t>
            </w:r>
          </w:p>
        </w:tc>
        <w:tc>
          <w:tcPr>
            <w:tcW w:w="159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变压器、电力走廊等</w:t>
            </w:r>
          </w:p>
        </w:tc>
        <w:tc>
          <w:tcPr>
            <w:tcW w:w="260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w:t>
            </w:r>
          </w:p>
        </w:tc>
      </w:tr>
      <w:tr>
        <w:trPr>
          <w:trHeight w:val="570"/>
        </w:trPr>
        <w:tc>
          <w:tcPr>
            <w:tcW w:w="7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垃圾收集点</w:t>
            </w:r>
          </w:p>
        </w:tc>
        <w:tc>
          <w:tcPr>
            <w:tcW w:w="159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垃圾分类化、容器化、密闭化和机械化</w:t>
            </w:r>
          </w:p>
        </w:tc>
        <w:tc>
          <w:tcPr>
            <w:tcW w:w="260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混合收集垃圾容器间占地不小于</w:t>
            </w:r>
            <w:r>
              <w:rPr>
                <w:rFonts w:ascii="仿宋" w:eastAsia="仿宋" w:cs="宋体" w:hAnsi="仿宋"/>
                <w:color w:val="000000"/>
                <w:kern w:val="0"/>
                <w:sz w:val="24"/>
              </w:rPr>
              <w:t xml:space="preserve">5 </w:t>
            </w:r>
            <w:r>
              <w:rPr>
                <w:rFonts w:ascii="仿宋" w:eastAsia="仿宋" w:cs="宋体" w:hAnsi="仿宋" w:hint="eastAsia"/>
                <w:color w:val="000000"/>
                <w:kern w:val="0"/>
                <w:sz w:val="24"/>
              </w:rPr>
              <w:t>㎡，分类收集垃圾容器间占地不小于</w:t>
            </w:r>
            <w:r>
              <w:rPr>
                <w:rFonts w:ascii="仿宋" w:eastAsia="仿宋" w:cs="宋体" w:hAnsi="仿宋"/>
                <w:color w:val="000000"/>
                <w:kern w:val="0"/>
                <w:sz w:val="24"/>
              </w:rPr>
              <w:t xml:space="preserve">10 </w:t>
            </w:r>
            <w:r>
              <w:rPr>
                <w:rFonts w:ascii="仿宋" w:eastAsia="仿宋" w:cs="宋体" w:hAnsi="仿宋" w:hint="eastAsia"/>
                <w:color w:val="000000"/>
                <w:kern w:val="0"/>
                <w:sz w:val="24"/>
              </w:rPr>
              <w:t>㎡</w:t>
            </w:r>
          </w:p>
        </w:tc>
      </w:tr>
      <w:tr>
        <w:trPr>
          <w:trHeight w:val="570"/>
        </w:trPr>
        <w:tc>
          <w:tcPr>
            <w:tcW w:w="7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公共厕所</w:t>
            </w:r>
          </w:p>
        </w:tc>
        <w:tc>
          <w:tcPr>
            <w:tcW w:w="159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为农民和流动人口共同使用的厕所</w:t>
            </w:r>
          </w:p>
        </w:tc>
        <w:tc>
          <w:tcPr>
            <w:tcW w:w="260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附属式公厕面积宜控制在</w:t>
            </w:r>
            <w:r>
              <w:rPr>
                <w:rFonts w:ascii="仿宋" w:eastAsia="仿宋" w:cs="宋体" w:hAnsi="仿宋"/>
                <w:color w:val="000000"/>
                <w:kern w:val="0"/>
                <w:sz w:val="24"/>
              </w:rPr>
              <w:t>20—70㎡，独立式公厕宜控制在25—90㎡</w:t>
            </w:r>
          </w:p>
        </w:tc>
      </w:tr>
      <w:tr>
        <w:trPr>
          <w:trHeight w:val="855"/>
        </w:trPr>
        <w:tc>
          <w:tcPr>
            <w:tcW w:w="794"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公共充电站</w:t>
            </w:r>
          </w:p>
        </w:tc>
        <w:tc>
          <w:tcPr>
            <w:tcW w:w="159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电动汽车充换电服务等乡村能源站</w:t>
            </w:r>
          </w:p>
        </w:tc>
        <w:tc>
          <w:tcPr>
            <w:tcW w:w="2608" w:type="pct"/>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hAnsi="仿宋"/>
                <w:color w:val="000000"/>
                <w:kern w:val="0"/>
                <w:sz w:val="24"/>
              </w:rPr>
            </w:pPr>
            <w:r>
              <w:rPr>
                <w:rFonts w:ascii="仿宋" w:eastAsia="仿宋" w:cs="宋体" w:hAnsi="仿宋" w:hint="eastAsia"/>
                <w:color w:val="000000"/>
                <w:kern w:val="0"/>
                <w:sz w:val="24"/>
              </w:rPr>
              <w:t>独立用地的充电站面积宜控制在</w:t>
            </w:r>
            <w:r>
              <w:rPr>
                <w:rFonts w:ascii="仿宋" w:eastAsia="仿宋" w:cs="宋体" w:hAnsi="仿宋"/>
                <w:color w:val="000000"/>
                <w:kern w:val="0"/>
                <w:sz w:val="24"/>
              </w:rPr>
              <w:t>400—900㎡，结合路边停车布设的充电桩，规模按每站120㎡预留</w:t>
            </w:r>
          </w:p>
        </w:tc>
      </w:tr>
    </w:tbl>
    <w:p>
      <w:pPr>
        <w:adjustRightInd w:val="0"/>
        <w:snapToGrid w:val="0"/>
        <w:spacing w:line="600" w:lineRule="exact"/>
        <w:ind w:firstLineChars="200" w:firstLine="640"/>
        <w:rPr>
          <w:rFonts w:ascii="Times New Roman" w:eastAsia="仿宋" w:cs="Times New Roman" w:hAnsi="Times New Roman"/>
          <w:bCs/>
          <w:snapToGrid w:val="0"/>
          <w:kern w:val="0"/>
          <w:sz w:val="32"/>
          <w:szCs w:val="32"/>
        </w:rPr>
      </w:pPr>
      <w:r>
        <w:rPr>
          <w:rFonts w:ascii="Times New Roman" w:eastAsia="仿宋" w:cs="Times New Roman" w:hAnsi="Times New Roman"/>
          <w:bCs/>
          <w:snapToGrid w:val="0"/>
          <w:kern w:val="0"/>
          <w:sz w:val="32"/>
          <w:szCs w:val="32"/>
        </w:rPr>
        <w:t>4.</w:t>
      </w:r>
      <w:r>
        <w:rPr>
          <w:rFonts w:ascii="Times New Roman" w:eastAsia="仿宋" w:cs="Times New Roman" w:hAnsi="Times New Roman" w:hint="eastAsia"/>
          <w:bCs/>
          <w:snapToGrid w:val="0"/>
          <w:kern w:val="0"/>
          <w:sz w:val="32"/>
          <w:szCs w:val="32"/>
        </w:rPr>
        <w:t>乡村产业建设标准</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乡村产业项目可参照表3-7确定控制指标，按流程进行审查报批后明确规划设计条件，并依据该设计条件形成建设工程设计方案报批后建设实施。</w:t>
      </w:r>
    </w:p>
    <w:p>
      <w:pPr>
        <w:adjustRightInd w:val="0"/>
        <w:snapToGrid w:val="0"/>
        <w:spacing w:line="520" w:lineRule="exact"/>
        <w:ind w:firstLine="560"/>
        <w:jc w:val="center"/>
        <w:rPr>
          <w:rFonts w:ascii="Times New Roman" w:eastAsia="仿宋" w:cs="Times New Roman" w:hAnsi="Times New Roman"/>
          <w:snapToGrid w:val="0"/>
          <w:kern w:val="0"/>
          <w:sz w:val="28"/>
          <w:szCs w:val="28"/>
        </w:rPr>
      </w:pPr>
      <w:r>
        <w:rPr>
          <w:rFonts w:ascii="Times New Roman" w:eastAsia="仿宋" w:cs="Times New Roman" w:hAnsi="Times New Roman" w:hint="eastAsia"/>
          <w:snapToGrid w:val="0"/>
          <w:kern w:val="0"/>
          <w:sz w:val="28"/>
          <w:szCs w:val="28"/>
        </w:rPr>
        <w:t>表</w:t>
      </w:r>
      <w:r>
        <w:rPr>
          <w:rFonts w:ascii="Times New Roman" w:eastAsia="仿宋" w:cs="Times New Roman" w:hAnsi="Times New Roman"/>
          <w:snapToGrid w:val="0"/>
          <w:kern w:val="0"/>
          <w:sz w:val="28"/>
          <w:szCs w:val="28"/>
        </w:rPr>
        <w:t xml:space="preserve">3-7 </w:t>
      </w:r>
      <w:r>
        <w:rPr>
          <w:rFonts w:ascii="Times New Roman" w:eastAsia="仿宋" w:cs="Times New Roman" w:hAnsi="Times New Roman" w:hint="eastAsia"/>
          <w:snapToGrid w:val="0"/>
          <w:kern w:val="0"/>
          <w:sz w:val="28"/>
          <w:szCs w:val="28"/>
        </w:rPr>
        <w:t>乡村产业项目建设用地面积指标表</w:t>
      </w:r>
    </w:p>
    <w:tbl>
      <w:tblPr>
        <w:jc w:val="cente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11"/>
        <w:gridCol w:w="3462"/>
        <w:gridCol w:w="1087"/>
        <w:gridCol w:w="1417"/>
        <w:gridCol w:w="1355"/>
      </w:tblGrid>
      <w:tr>
        <w:trPr>
          <w:tblHeader/>
        </w:trPr>
        <w:tc>
          <w:tcPr>
            <w:tcW w:w="4673" w:type="dxa"/>
            <w:gridSpan w:val="2"/>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szCs w:val="21"/>
              </w:rPr>
            </w:pPr>
            <w:r>
              <w:rPr>
                <w:rFonts w:ascii="Times New Roman" w:eastAsia="仿宋" w:cs="Times New Roman" w:hAnsi="Times New Roman" w:hint="eastAsia"/>
                <w:b/>
                <w:bCs/>
                <w:snapToGrid w:val="0"/>
                <w:kern w:val="0"/>
                <w:sz w:val="24"/>
                <w:szCs w:val="21"/>
              </w:rPr>
              <w:t>类别</w:t>
            </w:r>
          </w:p>
        </w:tc>
        <w:tc>
          <w:tcPr>
            <w:tcW w:w="108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szCs w:val="21"/>
              </w:rPr>
            </w:pPr>
            <w:r>
              <w:rPr>
                <w:rFonts w:ascii="Times New Roman" w:eastAsia="仿宋" w:cs="Times New Roman" w:hAnsi="Times New Roman" w:hint="eastAsia"/>
                <w:b/>
                <w:bCs/>
                <w:snapToGrid w:val="0"/>
                <w:kern w:val="0"/>
                <w:sz w:val="24"/>
                <w:szCs w:val="21"/>
              </w:rPr>
              <w:t>容积率</w:t>
            </w:r>
          </w:p>
        </w:tc>
        <w:tc>
          <w:tcPr>
            <w:tcW w:w="141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szCs w:val="21"/>
              </w:rPr>
            </w:pPr>
            <w:r>
              <w:rPr>
                <w:rFonts w:ascii="Times New Roman" w:eastAsia="仿宋" w:cs="Times New Roman" w:hAnsi="Times New Roman" w:hint="eastAsia"/>
                <w:b/>
                <w:bCs/>
                <w:snapToGrid w:val="0"/>
                <w:kern w:val="0"/>
                <w:sz w:val="24"/>
                <w:szCs w:val="21"/>
              </w:rPr>
              <w:t>建筑密度</w:t>
            </w:r>
          </w:p>
        </w:tc>
        <w:tc>
          <w:tcPr>
            <w:tcW w:w="135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b/>
                <w:bCs/>
                <w:snapToGrid w:val="0"/>
                <w:kern w:val="0"/>
                <w:sz w:val="24"/>
                <w:szCs w:val="21"/>
              </w:rPr>
            </w:pPr>
            <w:r>
              <w:rPr>
                <w:rFonts w:ascii="Times New Roman" w:eastAsia="仿宋" w:cs="Times New Roman" w:hAnsi="Times New Roman" w:hint="eastAsia"/>
                <w:b/>
                <w:bCs/>
                <w:snapToGrid w:val="0"/>
                <w:kern w:val="0"/>
                <w:sz w:val="24"/>
                <w:szCs w:val="21"/>
              </w:rPr>
              <w:t>建筑高度</w:t>
            </w:r>
          </w:p>
        </w:tc>
      </w:tr>
      <w:tr>
        <w:trPr>
          <w:trHeight w:val="515"/>
        </w:trPr>
        <w:tc>
          <w:tcPr>
            <w:tcW w:w="1211"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工业</w:t>
            </w:r>
          </w:p>
        </w:tc>
        <w:tc>
          <w:tcPr>
            <w:tcW w:w="346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一类工业用地</w:t>
            </w:r>
          </w:p>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二类工业用地</w:t>
            </w:r>
          </w:p>
        </w:tc>
        <w:tc>
          <w:tcPr>
            <w:tcW w:w="108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0.8</w:t>
            </w:r>
          </w:p>
        </w:tc>
        <w:tc>
          <w:tcPr>
            <w:tcW w:w="141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30%</w:t>
            </w:r>
          </w:p>
        </w:tc>
        <w:tc>
          <w:tcPr>
            <w:tcW w:w="135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24</w:t>
            </w:r>
            <w:r>
              <w:rPr>
                <w:rFonts w:ascii="Times New Roman" w:eastAsia="仿宋" w:cs="Times New Roman" w:hAnsi="Times New Roman" w:hint="eastAsia"/>
                <w:snapToGrid w:val="0"/>
                <w:kern w:val="0"/>
                <w:sz w:val="24"/>
                <w:szCs w:val="21"/>
              </w:rPr>
              <w:t>米</w:t>
            </w:r>
          </w:p>
        </w:tc>
      </w:tr>
      <w:tr>
        <w:trPr>
          <w:trHeight w:val="578"/>
        </w:trPr>
        <w:tc>
          <w:tcPr>
            <w:tcW w:w="1211"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物流仓储</w:t>
            </w:r>
          </w:p>
        </w:tc>
        <w:tc>
          <w:tcPr>
            <w:tcW w:w="346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一类物流仓储用地</w:t>
            </w:r>
          </w:p>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二类物流仓储用地</w:t>
            </w:r>
          </w:p>
        </w:tc>
        <w:tc>
          <w:tcPr>
            <w:tcW w:w="108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0.8</w:t>
            </w:r>
          </w:p>
        </w:tc>
        <w:tc>
          <w:tcPr>
            <w:tcW w:w="141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40%</w:t>
            </w:r>
          </w:p>
        </w:tc>
        <w:tc>
          <w:tcPr>
            <w:tcW w:w="135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24</w:t>
            </w:r>
            <w:r>
              <w:rPr>
                <w:rFonts w:ascii="Times New Roman" w:eastAsia="仿宋" w:cs="Times New Roman" w:hAnsi="Times New Roman" w:hint="eastAsia"/>
                <w:snapToGrid w:val="0"/>
                <w:kern w:val="0"/>
                <w:sz w:val="24"/>
                <w:szCs w:val="21"/>
              </w:rPr>
              <w:t>米</w:t>
            </w:r>
          </w:p>
        </w:tc>
      </w:tr>
      <w:tr>
        <w:trPr>
          <w:trHeight w:val="71"/>
        </w:trPr>
        <w:tc>
          <w:tcPr>
            <w:tcW w:w="1211" w:type="dxa"/>
            <w:vMerge w:val="restar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商业服务业</w:t>
            </w:r>
          </w:p>
        </w:tc>
        <w:tc>
          <w:tcPr>
            <w:tcW w:w="346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以农产品批发零售为主的市场</w:t>
            </w:r>
          </w:p>
        </w:tc>
        <w:tc>
          <w:tcPr>
            <w:tcW w:w="108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1.5</w:t>
            </w:r>
          </w:p>
        </w:tc>
        <w:tc>
          <w:tcPr>
            <w:tcW w:w="141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50%</w:t>
            </w:r>
          </w:p>
        </w:tc>
        <w:tc>
          <w:tcPr>
            <w:tcW w:w="135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12</w:t>
            </w:r>
            <w:r>
              <w:rPr>
                <w:rFonts w:ascii="Times New Roman" w:eastAsia="仿宋" w:cs="Times New Roman" w:hAnsi="Times New Roman" w:hint="eastAsia"/>
                <w:snapToGrid w:val="0"/>
                <w:kern w:val="0"/>
                <w:sz w:val="24"/>
                <w:szCs w:val="21"/>
              </w:rPr>
              <w:t>米</w:t>
            </w:r>
          </w:p>
        </w:tc>
      </w:tr>
      <w:tr>
        <w:trPr>
          <w:trHeight w:val="71"/>
        </w:trPr>
        <w:tc>
          <w:tcPr>
            <w:tcW w:w="1211" w:type="dxa"/>
            <w:vMerge/>
            <w:tcBorders>
              <w:top w:val="single" w:sz="4" w:space="0" w:color="auto"/>
              <w:left w:val="single" w:sz="4" w:space="0" w:color="auto"/>
              <w:bottom w:val="single" w:sz="4" w:space="0" w:color="auto"/>
              <w:right w:val="single" w:sz="4" w:space="0" w:color="auto"/>
            </w:tcBorders>
            <w:vAlign w:val="center"/>
          </w:tcPr>
          <w:p/>
        </w:tc>
        <w:tc>
          <w:tcPr>
            <w:tcW w:w="346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服务于乡村旅游的农家乐、民宿旅馆、饭店餐馆等接待设施</w:t>
            </w:r>
          </w:p>
        </w:tc>
        <w:tc>
          <w:tcPr>
            <w:tcW w:w="108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3.0</w:t>
            </w:r>
          </w:p>
        </w:tc>
        <w:tc>
          <w:tcPr>
            <w:tcW w:w="141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50%</w:t>
            </w:r>
          </w:p>
        </w:tc>
        <w:tc>
          <w:tcPr>
            <w:tcW w:w="135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24</w:t>
            </w:r>
            <w:r>
              <w:rPr>
                <w:rFonts w:ascii="Times New Roman" w:eastAsia="仿宋" w:cs="Times New Roman" w:hAnsi="Times New Roman" w:hint="eastAsia"/>
                <w:snapToGrid w:val="0"/>
                <w:kern w:val="0"/>
                <w:sz w:val="24"/>
                <w:szCs w:val="21"/>
              </w:rPr>
              <w:t>米</w:t>
            </w:r>
          </w:p>
        </w:tc>
      </w:tr>
      <w:tr>
        <w:trPr>
          <w:trHeight w:val="79"/>
        </w:trPr>
        <w:tc>
          <w:tcPr>
            <w:tcW w:w="1211" w:type="dxa"/>
            <w:vMerge/>
            <w:tcBorders>
              <w:top w:val="single" w:sz="4" w:space="0" w:color="auto"/>
              <w:left w:val="single" w:sz="4" w:space="0" w:color="auto"/>
              <w:bottom w:val="single" w:sz="4" w:space="0" w:color="auto"/>
              <w:right w:val="single" w:sz="4" w:space="0" w:color="auto"/>
            </w:tcBorders>
            <w:vAlign w:val="center"/>
          </w:tcPr>
          <w:p/>
        </w:tc>
        <w:tc>
          <w:tcPr>
            <w:tcW w:w="346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服务于村庄的小超市、网吧、理发店、汽修店、电子产品和日用产品修理店、废品回收站、快递物流和农村电子商务网点等商业设施</w:t>
            </w:r>
          </w:p>
        </w:tc>
        <w:tc>
          <w:tcPr>
            <w:tcW w:w="108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1.6</w:t>
            </w:r>
          </w:p>
        </w:tc>
        <w:tc>
          <w:tcPr>
            <w:tcW w:w="141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50%</w:t>
            </w:r>
          </w:p>
        </w:tc>
        <w:tc>
          <w:tcPr>
            <w:tcW w:w="135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12</w:t>
            </w:r>
            <w:r>
              <w:rPr>
                <w:rFonts w:ascii="Times New Roman" w:eastAsia="仿宋" w:cs="Times New Roman" w:hAnsi="Times New Roman" w:hint="eastAsia"/>
                <w:snapToGrid w:val="0"/>
                <w:kern w:val="0"/>
                <w:sz w:val="24"/>
                <w:szCs w:val="21"/>
              </w:rPr>
              <w:t>米</w:t>
            </w:r>
          </w:p>
        </w:tc>
      </w:tr>
      <w:tr>
        <w:tc>
          <w:tcPr>
            <w:tcW w:w="1211" w:type="dxa"/>
            <w:vMerge/>
            <w:tcBorders>
              <w:top w:val="single" w:sz="4" w:space="0" w:color="auto"/>
              <w:left w:val="single" w:sz="4" w:space="0" w:color="auto"/>
              <w:bottom w:val="single" w:sz="4" w:space="0" w:color="auto"/>
              <w:right w:val="single" w:sz="4" w:space="0" w:color="auto"/>
            </w:tcBorders>
            <w:vAlign w:val="center"/>
          </w:tcPr>
          <w:p/>
        </w:tc>
        <w:tc>
          <w:tcPr>
            <w:tcW w:w="3462"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服务于乡村旅游的游客接待中心、科普教育、采摘助养、绿道驿站等文旅设施</w:t>
            </w:r>
          </w:p>
        </w:tc>
        <w:tc>
          <w:tcPr>
            <w:tcW w:w="108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1.5</w:t>
            </w:r>
          </w:p>
        </w:tc>
        <w:tc>
          <w:tcPr>
            <w:tcW w:w="141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p>
        </w:tc>
        <w:tc>
          <w:tcPr>
            <w:tcW w:w="1355"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Times New Roman" w:eastAsia="仿宋" w:cs="Times New Roman" w:hAnsi="Times New Roman"/>
                <w:snapToGrid w:val="0"/>
                <w:kern w:val="0"/>
                <w:sz w:val="24"/>
                <w:szCs w:val="21"/>
              </w:rPr>
            </w:pPr>
            <w:r>
              <w:rPr>
                <w:rFonts w:ascii="Times New Roman" w:eastAsia="仿宋" w:cs="Times New Roman" w:hAnsi="Times New Roman" w:hint="eastAsia"/>
                <w:snapToGrid w:val="0"/>
                <w:kern w:val="0"/>
                <w:sz w:val="24"/>
                <w:szCs w:val="21"/>
              </w:rPr>
              <w:t>≤</w:t>
            </w:r>
            <w:r>
              <w:rPr>
                <w:rFonts w:ascii="Times New Roman" w:eastAsia="仿宋" w:cs="Times New Roman" w:hAnsi="Times New Roman"/>
                <w:snapToGrid w:val="0"/>
                <w:kern w:val="0"/>
                <w:sz w:val="24"/>
                <w:szCs w:val="21"/>
              </w:rPr>
              <w:t>18</w:t>
            </w:r>
            <w:r>
              <w:rPr>
                <w:rFonts w:ascii="Times New Roman" w:eastAsia="仿宋" w:cs="Times New Roman" w:hAnsi="Times New Roman" w:hint="eastAsia"/>
                <w:snapToGrid w:val="0"/>
                <w:kern w:val="0"/>
                <w:sz w:val="24"/>
                <w:szCs w:val="21"/>
              </w:rPr>
              <w:t>米</w:t>
            </w:r>
          </w:p>
        </w:tc>
      </w:tr>
    </w:tbl>
    <w:p>
      <w:pPr>
        <w:pStyle w:val="2"/>
        <w:ind w:left="0" w:firstLineChars="200" w:firstLine="640"/>
      </w:pPr>
      <w:bookmarkStart w:id="69" w:name="_Toc2484"/>
      <w:bookmarkStart w:id="70" w:name="_Toc209510463"/>
      <w:r>
        <w:t>建筑临距控制</w:t>
      </w:r>
      <w:bookmarkEnd w:id="69"/>
      <w:bookmarkEnd w:id="70"/>
    </w:p>
    <w:p>
      <w:pPr>
        <w:adjustRightInd w:val="0"/>
        <w:snapToGrid w:val="0"/>
        <w:spacing w:line="600" w:lineRule="exact"/>
        <w:ind w:firstLineChars="200" w:firstLine="640"/>
        <w:rPr>
          <w:rFonts w:ascii="Times New Roman" w:eastAsia="仿宋" w:cs="Times New Roman" w:hAnsi="Times New Roman"/>
          <w:bCs/>
          <w:snapToGrid w:val="0"/>
          <w:kern w:val="0"/>
          <w:sz w:val="32"/>
          <w:szCs w:val="32"/>
        </w:rPr>
      </w:pPr>
      <w:r>
        <w:rPr>
          <w:rFonts w:ascii="Times New Roman" w:eastAsia="仿宋" w:cs="Times New Roman" w:hAnsi="Times New Roman"/>
          <w:bCs/>
          <w:snapToGrid w:val="0"/>
          <w:kern w:val="0"/>
          <w:sz w:val="32"/>
          <w:szCs w:val="32"/>
        </w:rPr>
        <w:t>1.</w:t>
      </w:r>
      <w:r>
        <w:rPr>
          <w:rFonts w:ascii="Times New Roman" w:eastAsia="仿宋" w:cs="Times New Roman" w:hAnsi="Times New Roman" w:hint="eastAsia"/>
          <w:bCs/>
          <w:snapToGrid w:val="0"/>
          <w:kern w:val="0"/>
          <w:sz w:val="32"/>
          <w:szCs w:val="32"/>
        </w:rPr>
        <w:t>乡村建筑临距控制</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（1）建筑间距应不妨害相邻权、地役权，应保证相邻房屋的正常日照、采光</w:t>
      </w:r>
      <w:r>
        <w:rPr>
          <w:rFonts w:ascii="Times New Roman" w:eastAsia="仿宋" w:cs="Times New Roman" w:hAnsi="Times New Roman" w:hint="eastAsia"/>
          <w:snapToGrid w:val="0"/>
          <w:kern w:val="0"/>
          <w:sz w:val="32"/>
          <w:szCs w:val="32"/>
        </w:rPr>
        <w:t>、通风</w:t>
      </w:r>
      <w:r>
        <w:rPr>
          <w:rFonts w:ascii="Times New Roman" w:eastAsia="仿宋" w:cs="Times New Roman" w:hAnsi="Times New Roman"/>
          <w:snapToGrid w:val="0"/>
          <w:kern w:val="0"/>
          <w:sz w:val="32"/>
          <w:szCs w:val="32"/>
        </w:rPr>
        <w:t>和通行要求</w:t>
      </w:r>
      <w:r>
        <w:rPr>
          <w:rFonts w:ascii="Times New Roman" w:eastAsia="仿宋" w:cs="Times New Roman" w:hAnsi="Times New Roman" w:hint="eastAsia"/>
          <w:snapToGrid w:val="0"/>
          <w:kern w:val="0"/>
          <w:sz w:val="32"/>
          <w:szCs w:val="32"/>
        </w:rPr>
        <w:t>，并符合</w:t>
      </w:r>
      <w:r>
        <w:rPr>
          <w:rFonts w:ascii="Times New Roman" w:eastAsia="仿宋" w:cs="Times New Roman" w:hAnsi="Times New Roman"/>
          <w:snapToGrid w:val="0"/>
          <w:kern w:val="0"/>
          <w:sz w:val="32"/>
          <w:szCs w:val="32"/>
        </w:rPr>
        <w:t>《农村防火规范》（GB 50039</w:t>
      </w:r>
      <w:r>
        <w:rPr>
          <w:rFonts w:ascii="Times New Roman" w:eastAsia="仿宋" w:cs="Times New Roman" w:hAnsi="Times New Roman" w:hint="eastAsia"/>
          <w:snapToGrid w:val="0"/>
          <w:kern w:val="0"/>
          <w:sz w:val="32"/>
          <w:szCs w:val="32"/>
        </w:rPr>
        <w:t>-2010</w:t>
      </w:r>
      <w:r>
        <w:rPr>
          <w:rFonts w:ascii="Times New Roman" w:eastAsia="仿宋" w:cs="Times New Roman" w:hAnsi="Times New Roman"/>
          <w:snapToGrid w:val="0"/>
          <w:kern w:val="0"/>
          <w:sz w:val="32"/>
          <w:szCs w:val="32"/>
        </w:rPr>
        <w:t>）、《建筑设计防火规范》（GB 50016-2014）等相关要求和现行建设标准。</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（2）一二级耐火等级建筑之间或与其他耐火等级建筑之间的防火间距不宜小于4米，三四级耐火等级建筑之间的间距不宜小于6米。</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w:t>
      </w:r>
      <w:r>
        <w:rPr>
          <w:rFonts w:ascii="Times New Roman" w:eastAsia="仿宋" w:cs="Times New Roman" w:hAnsi="Times New Roman"/>
          <w:snapToGrid w:val="0"/>
          <w:kern w:val="0"/>
          <w:sz w:val="32"/>
          <w:szCs w:val="32"/>
        </w:rPr>
        <w:t>3</w:t>
      </w:r>
      <w:r>
        <w:rPr>
          <w:rFonts w:ascii="Times New Roman" w:eastAsia="仿宋" w:cs="Times New Roman" w:hAnsi="Times New Roman" w:hint="eastAsia"/>
          <w:snapToGrid w:val="0"/>
          <w:kern w:val="0"/>
          <w:sz w:val="32"/>
          <w:szCs w:val="32"/>
        </w:rPr>
        <w:t>）住宅建筑南北间距不小于1:1.0。</w:t>
      </w:r>
    </w:p>
    <w:p>
      <w:pPr>
        <w:adjustRightInd w:val="0"/>
        <w:snapToGrid w:val="0"/>
        <w:spacing w:line="600" w:lineRule="exact"/>
        <w:ind w:firstLineChars="200" w:firstLine="640"/>
        <w:rPr>
          <w:rFonts w:ascii="Times New Roman" w:eastAsia="仿宋" w:cs="Times New Roman" w:hAnsi="Times New Roman"/>
          <w:bCs/>
          <w:snapToGrid w:val="0"/>
          <w:kern w:val="0"/>
          <w:sz w:val="32"/>
          <w:szCs w:val="32"/>
        </w:rPr>
      </w:pPr>
      <w:r>
        <w:rPr>
          <w:rFonts w:ascii="Times New Roman" w:eastAsia="仿宋" w:cs="Times New Roman" w:hAnsi="Times New Roman"/>
          <w:bCs/>
          <w:snapToGrid w:val="0"/>
          <w:kern w:val="0"/>
          <w:sz w:val="32"/>
          <w:szCs w:val="32"/>
        </w:rPr>
        <w:t>2.</w:t>
      </w:r>
      <w:r>
        <w:rPr>
          <w:rFonts w:ascii="Times New Roman" w:eastAsia="仿宋" w:cs="Times New Roman" w:hAnsi="Times New Roman" w:hint="eastAsia"/>
          <w:bCs/>
          <w:snapToGrid w:val="0"/>
          <w:kern w:val="0"/>
          <w:sz w:val="32"/>
          <w:szCs w:val="32"/>
        </w:rPr>
        <w:t>乡村建筑临道路退距</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（1）</w:t>
      </w:r>
      <w:r>
        <w:rPr>
          <w:rFonts w:ascii="Times New Roman" w:eastAsia="仿宋" w:cs="Times New Roman" w:hAnsi="Times New Roman"/>
          <w:snapToGrid w:val="0"/>
          <w:kern w:val="0"/>
          <w:sz w:val="32"/>
          <w:szCs w:val="32"/>
        </w:rPr>
        <w:t>新建住宅临路方向应与同侧相邻建筑外墙面边界齐平，保证沿路建筑的整齐美观；</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（2）临路方向后退距离如村庄内有约定的，按照约定退让距离执行；</w:t>
      </w:r>
      <w:r>
        <w:rPr>
          <w:rFonts w:ascii="Times New Roman" w:eastAsia="仿宋" w:cs="Times New Roman" w:hAnsi="Times New Roman" w:hint="eastAsia"/>
          <w:snapToGrid w:val="0"/>
          <w:kern w:val="0"/>
          <w:sz w:val="32"/>
          <w:szCs w:val="32"/>
        </w:rPr>
        <w:t>没有约定的，以道路边线为基准，建筑正向临路方向退距不宜小于3米，侧向临路方向退距不宜小于2米。</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3）一般建筑按下列要求退让公路用地外缘：高速公路互通立交和特大型桥梁50米及以上；高速公路（包括立交匝道及连接线、收费站）30米及以上；国道20米及以上；省道15米及以上；县道10米及以上；乡道5米及以上。</w:t>
      </w:r>
      <w:r>
        <w:rPr>
          <w:rFonts w:ascii="Times New Roman" w:eastAsia="仿宋" w:cs="Times New Roman" w:hAnsi="Times New Roman" w:hint="eastAsia"/>
          <w:snapToGrid w:val="0"/>
          <w:kern w:val="0"/>
          <w:sz w:val="32"/>
          <w:szCs w:val="32"/>
        </w:rPr>
        <w:t>新建农村大型居民点、</w:t>
      </w:r>
      <w:r>
        <w:rPr>
          <w:rFonts w:ascii="Times New Roman" w:eastAsia="仿宋" w:cs="Times New Roman" w:hAnsi="Times New Roman"/>
          <w:snapToGrid w:val="0"/>
          <w:kern w:val="0"/>
          <w:sz w:val="32"/>
          <w:szCs w:val="32"/>
        </w:rPr>
        <w:t>学校、货物集散地、大型商业网点、农贸市场等人流量较大的公共场所，尽可能在公路一侧建设并满足下列退让要求：国道、省道50米及以上；县道、乡道20米及以上。</w:t>
      </w:r>
    </w:p>
    <w:p>
      <w:pPr>
        <w:adjustRightInd w:val="0"/>
        <w:snapToGrid w:val="0"/>
        <w:spacing w:line="600" w:lineRule="exact"/>
        <w:ind w:firstLineChars="200" w:firstLine="640"/>
        <w:rPr>
          <w:rFonts w:ascii="Times New Roman" w:eastAsia="仿宋" w:cs="Times New Roman" w:hAnsi="Times New Roman"/>
          <w:bCs/>
          <w:snapToGrid w:val="0"/>
          <w:kern w:val="0"/>
          <w:sz w:val="32"/>
          <w:szCs w:val="32"/>
        </w:rPr>
      </w:pPr>
      <w:r>
        <w:rPr>
          <w:rFonts w:ascii="Times New Roman" w:eastAsia="仿宋" w:cs="Times New Roman" w:hAnsi="Times New Roman"/>
          <w:bCs/>
          <w:snapToGrid w:val="0"/>
          <w:kern w:val="0"/>
          <w:sz w:val="32"/>
          <w:szCs w:val="32"/>
        </w:rPr>
        <w:t>3.</w:t>
      </w:r>
      <w:r>
        <w:rPr>
          <w:rFonts w:ascii="Times New Roman" w:eastAsia="仿宋" w:cs="Times New Roman" w:hAnsi="Times New Roman" w:hint="eastAsia"/>
          <w:bCs/>
          <w:snapToGrid w:val="0"/>
          <w:kern w:val="0"/>
          <w:sz w:val="32"/>
          <w:szCs w:val="32"/>
        </w:rPr>
        <w:t>乡村建筑临铁路退距</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新建乡村建筑不得侵占铁路线路安全保护区，退让高速铁路线路路堤坡脚、路堑坡顶或者铁路桥梁（含铁路、道路两用桥）外侧15米及以上；退让其他铁路线路路堤坡脚、路堑坡顶或者铁路桥梁（含铁路、道路两用桥）外侧12米及以上。</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4</w:t>
      </w:r>
      <w:r>
        <w:rPr>
          <w:rFonts w:ascii="Times New Roman" w:eastAsia="仿宋" w:cs="Times New Roman" w:hAnsi="Times New Roman"/>
          <w:snapToGrid w:val="0"/>
          <w:kern w:val="0"/>
          <w:sz w:val="32"/>
          <w:szCs w:val="32"/>
        </w:rPr>
        <w:t>.</w:t>
      </w:r>
      <w:r>
        <w:rPr>
          <w:rFonts w:ascii="Times New Roman" w:eastAsia="仿宋" w:cs="Times New Roman" w:hAnsi="Times New Roman" w:hint="eastAsia"/>
          <w:snapToGrid w:val="0"/>
          <w:kern w:val="0"/>
          <w:sz w:val="32"/>
          <w:szCs w:val="32"/>
        </w:rPr>
        <w:t>乡村建筑临电力线路退距</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新建乡村建筑不得侵占电力线路保护区。架空电力线路保护区范围为导线边线向外侧水平延伸并垂直于地面形成的两平行面内的区域，各级电压导线的边线延伸距离为：1—1</w:t>
      </w:r>
      <w:r>
        <w:rPr>
          <w:rFonts w:ascii="Times New Roman" w:eastAsia="仿宋" w:cs="Times New Roman" w:hAnsi="Times New Roman"/>
          <w:snapToGrid w:val="0"/>
          <w:kern w:val="0"/>
          <w:sz w:val="32"/>
          <w:szCs w:val="32"/>
        </w:rPr>
        <w:t>0</w:t>
      </w:r>
      <w:r>
        <w:rPr>
          <w:rFonts w:ascii="Times New Roman" w:eastAsia="仿宋" w:cs="Times New Roman" w:hAnsi="Times New Roman" w:hint="eastAsia"/>
          <w:snapToGrid w:val="0"/>
          <w:kern w:val="0"/>
          <w:sz w:val="32"/>
          <w:szCs w:val="32"/>
        </w:rPr>
        <w:t>千伏不小于5米，3</w:t>
      </w:r>
      <w:r>
        <w:rPr>
          <w:rFonts w:ascii="Times New Roman" w:eastAsia="仿宋" w:cs="Times New Roman" w:hAnsi="Times New Roman"/>
          <w:snapToGrid w:val="0"/>
          <w:kern w:val="0"/>
          <w:sz w:val="32"/>
          <w:szCs w:val="32"/>
        </w:rPr>
        <w:t>5</w:t>
      </w:r>
      <w:r>
        <w:rPr>
          <w:rFonts w:ascii="Times New Roman" w:eastAsia="仿宋" w:cs="Times New Roman" w:hAnsi="Times New Roman" w:hint="eastAsia"/>
          <w:snapToGrid w:val="0"/>
          <w:kern w:val="0"/>
          <w:sz w:val="32"/>
          <w:szCs w:val="32"/>
        </w:rPr>
        <w:t>—1</w:t>
      </w:r>
      <w:r>
        <w:rPr>
          <w:rFonts w:ascii="Times New Roman" w:eastAsia="仿宋" w:cs="Times New Roman" w:hAnsi="Times New Roman"/>
          <w:snapToGrid w:val="0"/>
          <w:kern w:val="0"/>
          <w:sz w:val="32"/>
          <w:szCs w:val="32"/>
        </w:rPr>
        <w:t>10</w:t>
      </w:r>
      <w:r>
        <w:rPr>
          <w:rFonts w:ascii="Times New Roman" w:eastAsia="仿宋" w:cs="Times New Roman" w:hAnsi="Times New Roman" w:hint="eastAsia"/>
          <w:snapToGrid w:val="0"/>
          <w:kern w:val="0"/>
          <w:sz w:val="32"/>
          <w:szCs w:val="32"/>
        </w:rPr>
        <w:t>千伏不小于1</w:t>
      </w:r>
      <w:r>
        <w:rPr>
          <w:rFonts w:ascii="Times New Roman" w:eastAsia="仿宋" w:cs="Times New Roman" w:hAnsi="Times New Roman"/>
          <w:snapToGrid w:val="0"/>
          <w:kern w:val="0"/>
          <w:sz w:val="32"/>
          <w:szCs w:val="32"/>
        </w:rPr>
        <w:t>0</w:t>
      </w:r>
      <w:r>
        <w:rPr>
          <w:rFonts w:ascii="Times New Roman" w:eastAsia="仿宋" w:cs="Times New Roman" w:hAnsi="Times New Roman" w:hint="eastAsia"/>
          <w:snapToGrid w:val="0"/>
          <w:kern w:val="0"/>
          <w:sz w:val="32"/>
          <w:szCs w:val="32"/>
        </w:rPr>
        <w:t>米，1</w:t>
      </w:r>
      <w:r>
        <w:rPr>
          <w:rFonts w:ascii="Times New Roman" w:eastAsia="仿宋" w:cs="Times New Roman" w:hAnsi="Times New Roman"/>
          <w:snapToGrid w:val="0"/>
          <w:kern w:val="0"/>
          <w:sz w:val="32"/>
          <w:szCs w:val="32"/>
        </w:rPr>
        <w:t>54</w:t>
      </w:r>
      <w:r>
        <w:rPr>
          <w:rFonts w:ascii="Times New Roman" w:eastAsia="仿宋" w:cs="Times New Roman" w:hAnsi="Times New Roman" w:hint="eastAsia"/>
          <w:snapToGrid w:val="0"/>
          <w:kern w:val="0"/>
          <w:sz w:val="32"/>
          <w:szCs w:val="32"/>
        </w:rPr>
        <w:t>—3</w:t>
      </w:r>
      <w:r>
        <w:rPr>
          <w:rFonts w:ascii="Times New Roman" w:eastAsia="仿宋" w:cs="Times New Roman" w:hAnsi="Times New Roman"/>
          <w:snapToGrid w:val="0"/>
          <w:kern w:val="0"/>
          <w:sz w:val="32"/>
          <w:szCs w:val="32"/>
        </w:rPr>
        <w:t>30</w:t>
      </w:r>
      <w:r>
        <w:rPr>
          <w:rFonts w:ascii="Times New Roman" w:eastAsia="仿宋" w:cs="Times New Roman" w:hAnsi="Times New Roman" w:hint="eastAsia"/>
          <w:snapToGrid w:val="0"/>
          <w:kern w:val="0"/>
          <w:sz w:val="32"/>
          <w:szCs w:val="32"/>
        </w:rPr>
        <w:t>千伏不小于1</w:t>
      </w:r>
      <w:r>
        <w:rPr>
          <w:rFonts w:ascii="Times New Roman" w:eastAsia="仿宋" w:cs="Times New Roman" w:hAnsi="Times New Roman"/>
          <w:snapToGrid w:val="0"/>
          <w:kern w:val="0"/>
          <w:sz w:val="32"/>
          <w:szCs w:val="32"/>
        </w:rPr>
        <w:t>5</w:t>
      </w:r>
      <w:r>
        <w:rPr>
          <w:rFonts w:ascii="Times New Roman" w:eastAsia="仿宋" w:cs="Times New Roman" w:hAnsi="Times New Roman" w:hint="eastAsia"/>
          <w:snapToGrid w:val="0"/>
          <w:kern w:val="0"/>
          <w:sz w:val="32"/>
          <w:szCs w:val="32"/>
        </w:rPr>
        <w:t>米，5</w:t>
      </w:r>
      <w:r>
        <w:rPr>
          <w:rFonts w:ascii="Times New Roman" w:eastAsia="仿宋" w:cs="Times New Roman" w:hAnsi="Times New Roman"/>
          <w:snapToGrid w:val="0"/>
          <w:kern w:val="0"/>
          <w:sz w:val="32"/>
          <w:szCs w:val="32"/>
        </w:rPr>
        <w:t>00</w:t>
      </w:r>
      <w:r>
        <w:rPr>
          <w:rFonts w:ascii="Times New Roman" w:eastAsia="仿宋" w:cs="Times New Roman" w:hAnsi="Times New Roman" w:hint="eastAsia"/>
          <w:snapToGrid w:val="0"/>
          <w:kern w:val="0"/>
          <w:sz w:val="32"/>
          <w:szCs w:val="32"/>
        </w:rPr>
        <w:t>千伏不小于2</w:t>
      </w:r>
      <w:r>
        <w:rPr>
          <w:rFonts w:ascii="Times New Roman" w:eastAsia="仿宋" w:cs="Times New Roman" w:hAnsi="Times New Roman"/>
          <w:snapToGrid w:val="0"/>
          <w:kern w:val="0"/>
          <w:sz w:val="32"/>
          <w:szCs w:val="32"/>
        </w:rPr>
        <w:t>0</w:t>
      </w:r>
      <w:r>
        <w:rPr>
          <w:rFonts w:ascii="Times New Roman" w:eastAsia="仿宋" w:cs="Times New Roman" w:hAnsi="Times New Roman" w:hint="eastAsia"/>
          <w:snapToGrid w:val="0"/>
          <w:kern w:val="0"/>
          <w:sz w:val="32"/>
          <w:szCs w:val="32"/>
        </w:rPr>
        <w:t>米。地下电缆为电缆线路地面标桩两侧各0.75米所形成的两平行线内的区域。电力相关规划另有规定的，从其规定。</w:t>
      </w:r>
    </w:p>
    <w:p>
      <w:pPr>
        <w:pStyle w:val="2"/>
        <w:ind w:left="0" w:firstLineChars="200" w:firstLine="640"/>
      </w:pPr>
      <w:bookmarkStart w:id="71" w:name="_Toc209510464"/>
      <w:bookmarkStart w:id="72" w:name="_Toc32300"/>
      <w:r>
        <w:t>建筑高度控制</w:t>
      </w:r>
      <w:bookmarkStart w:id="73" w:name="第二节_建筑高度控制"/>
      <w:bookmarkStart w:id="74" w:name="_bookmark14"/>
      <w:bookmarkEnd w:id="71"/>
      <w:bookmarkEnd w:id="72"/>
      <w:bookmarkEnd w:id="73"/>
      <w:bookmarkEnd w:id="74"/>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1.乡村建筑高度应满足安全、日照、通风等基本要求，如涉及城市重要景观地区、文保单位、传统村落、自然保护区、机场等特定区域，还应符合城市景观、历史文化</w:t>
      </w:r>
      <w:r>
        <w:rPr>
          <w:rFonts w:ascii="Times New Roman" w:eastAsia="仿宋" w:cs="Times New Roman" w:hAnsi="Times New Roman" w:hint="eastAsia"/>
          <w:snapToGrid w:val="0"/>
          <w:kern w:val="0"/>
          <w:sz w:val="32"/>
          <w:szCs w:val="32"/>
        </w:rPr>
        <w:t>保护</w:t>
      </w:r>
      <w:r>
        <w:rPr>
          <w:rFonts w:ascii="Times New Roman" w:eastAsia="仿宋" w:cs="Times New Roman" w:hAnsi="Times New Roman"/>
          <w:snapToGrid w:val="0"/>
          <w:kern w:val="0"/>
          <w:sz w:val="32"/>
          <w:szCs w:val="32"/>
        </w:rPr>
        <w:t>、生态保护、机场净空等特定的高度管控要求。</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2</w:t>
      </w:r>
      <w:r>
        <w:rPr>
          <w:rFonts w:ascii="Times New Roman" w:eastAsia="仿宋" w:cs="Times New Roman" w:hAnsi="Times New Roman"/>
          <w:snapToGrid w:val="0"/>
          <w:kern w:val="0"/>
          <w:sz w:val="32"/>
          <w:szCs w:val="32"/>
        </w:rPr>
        <w:t>.新建村民住宅层数不得超过4层，架空层层高超过2.2米（含2.2米）的按1层计算，各层层高均不得超过4.4米，总层高不得高于15米（以室外地平面标高为基准）。</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3</w:t>
      </w:r>
      <w:r>
        <w:rPr>
          <w:rFonts w:ascii="Times New Roman" w:eastAsia="仿宋" w:cs="Times New Roman" w:hAnsi="Times New Roman"/>
          <w:snapToGrid w:val="0"/>
          <w:kern w:val="0"/>
          <w:sz w:val="32"/>
          <w:szCs w:val="32"/>
        </w:rPr>
        <w:t>.幼儿园建筑层数应≤3层，小学教学建筑层数应≤3层，初中教学建筑层数应≤4层。村级社区生活圈服务要素按《社区生活圈规划技术指南》相关要求执行，建筑高度一般不超过24米。</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snapToGrid w:val="0"/>
          <w:kern w:val="0"/>
          <w:sz w:val="32"/>
          <w:szCs w:val="32"/>
        </w:rPr>
        <w:t>4.乡村产业项目建</w:t>
      </w:r>
      <w:r>
        <w:rPr>
          <w:rFonts w:ascii="Times New Roman" w:eastAsia="仿宋" w:cs="Times New Roman" w:hAnsi="Times New Roman" w:hint="eastAsia"/>
          <w:snapToGrid w:val="0"/>
          <w:kern w:val="0"/>
          <w:sz w:val="32"/>
          <w:szCs w:val="32"/>
        </w:rPr>
        <w:t>筑高度参照表</w:t>
      </w:r>
      <w:r>
        <w:rPr>
          <w:rFonts w:ascii="Times New Roman" w:eastAsia="仿宋" w:cs="Times New Roman" w:hAnsi="Times New Roman"/>
          <w:snapToGrid w:val="0"/>
          <w:kern w:val="0"/>
          <w:sz w:val="32"/>
          <w:szCs w:val="32"/>
        </w:rPr>
        <w:t>3-7</w:t>
      </w:r>
      <w:r>
        <w:rPr>
          <w:rFonts w:ascii="Times New Roman" w:eastAsia="仿宋" w:cs="Times New Roman" w:hAnsi="Times New Roman" w:hint="eastAsia"/>
          <w:snapToGrid w:val="0"/>
          <w:kern w:val="0"/>
          <w:sz w:val="32"/>
          <w:szCs w:val="32"/>
        </w:rPr>
        <w:t>确定。</w:t>
      </w:r>
    </w:p>
    <w:p>
      <w:pPr>
        <w:pStyle w:val="2"/>
        <w:ind w:left="0" w:firstLineChars="200" w:firstLine="640"/>
      </w:pPr>
      <w:bookmarkStart w:id="75" w:name="_Toc209510465"/>
      <w:bookmarkStart w:id="76" w:name="_Toc5837"/>
      <w:r>
        <w:t>建筑风貌控制</w:t>
      </w:r>
      <w:bookmarkEnd w:id="75"/>
      <w:bookmarkEnd w:id="76"/>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bookmarkStart w:id="77" w:name="第三节_农房风貌控制"/>
      <w:bookmarkStart w:id="78" w:name="_bookmark15"/>
      <w:bookmarkEnd w:id="77"/>
      <w:bookmarkEnd w:id="78"/>
      <w:r>
        <w:rPr>
          <w:rFonts w:ascii="Times New Roman" w:eastAsia="仿宋" w:cs="Times New Roman" w:hAnsi="Times New Roman" w:hint="eastAsia"/>
          <w:snapToGrid w:val="0"/>
          <w:kern w:val="0"/>
          <w:sz w:val="32"/>
          <w:szCs w:val="32"/>
        </w:rPr>
        <w:t>乡村</w:t>
      </w:r>
      <w:r>
        <w:rPr>
          <w:rFonts w:ascii="Times New Roman" w:eastAsia="仿宋" w:cs="Times New Roman" w:hAnsi="Times New Roman"/>
          <w:snapToGrid w:val="0"/>
          <w:kern w:val="0"/>
          <w:sz w:val="32"/>
          <w:szCs w:val="32"/>
        </w:rPr>
        <w:t>建筑风貌应符合《广西壮族自治区农村房屋特色风貌管控导则》</w:t>
      </w:r>
      <w:r>
        <w:rPr>
          <w:rFonts w:ascii="Times New Roman" w:eastAsia="仿宋" w:cs="Times New Roman" w:hAnsi="Times New Roman" w:hint="eastAsia"/>
          <w:snapToGrid w:val="0"/>
          <w:kern w:val="0"/>
          <w:sz w:val="32"/>
          <w:szCs w:val="32"/>
        </w:rPr>
        <w:t>《钦州市农房特色风貌管控导则》</w:t>
      </w:r>
      <w:r>
        <w:rPr>
          <w:rFonts w:ascii="Times New Roman" w:eastAsia="仿宋" w:cs="Times New Roman" w:hAnsi="Times New Roman"/>
          <w:snapToGrid w:val="0"/>
          <w:kern w:val="0"/>
          <w:sz w:val="32"/>
          <w:szCs w:val="32"/>
        </w:rPr>
        <w:t>《</w:t>
      </w:r>
      <w:r>
        <w:rPr>
          <w:rFonts w:ascii="Times New Roman" w:eastAsia="仿宋" w:cs="Times New Roman" w:hAnsi="Times New Roman" w:hint="eastAsia"/>
          <w:snapToGrid w:val="0"/>
          <w:kern w:val="0"/>
          <w:sz w:val="32"/>
          <w:szCs w:val="32"/>
        </w:rPr>
        <w:t>钦州市钦北区农村房屋特色风貌管控导则</w:t>
      </w:r>
      <w:r>
        <w:rPr>
          <w:rFonts w:ascii="Times New Roman" w:eastAsia="仿宋" w:cs="Times New Roman" w:hAnsi="Times New Roman"/>
          <w:snapToGrid w:val="0"/>
          <w:kern w:val="0"/>
          <w:sz w:val="32"/>
          <w:szCs w:val="32"/>
        </w:rPr>
        <w:t>》等相关管控文件的要求，</w:t>
      </w:r>
      <w:r>
        <w:rPr>
          <w:rFonts w:ascii="Times New Roman" w:eastAsia="仿宋" w:cs="Times New Roman" w:hAnsi="Times New Roman" w:hint="eastAsia"/>
          <w:snapToGrid w:val="0"/>
          <w:kern w:val="0"/>
          <w:sz w:val="32"/>
          <w:szCs w:val="32"/>
        </w:rPr>
        <w:t>按照钦北区现行农房建设通用图集进行建设，严格实施带图报建和按图验收制度。</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乡村建筑应尊重周边环境和建筑现状，融合村庄整体风貌，有序构建院落、住宅空间，体现地方特色与多民族融合文化特色，</w:t>
      </w:r>
      <w:r>
        <w:rPr>
          <w:rFonts w:ascii="Times New Roman" w:eastAsia="仿宋" w:cs="Times New Roman" w:hAnsi="Times New Roman"/>
          <w:snapToGrid w:val="0"/>
          <w:kern w:val="0"/>
          <w:sz w:val="32"/>
          <w:szCs w:val="32"/>
        </w:rPr>
        <w:t>总体呈现 “镬耳螭龙波浪纹，洋窗联廊花墙头；石雕拱劵凹凸柱，夯土灰砖青石板”的风貌特色。建筑屋面宜采用</w:t>
      </w:r>
      <w:r>
        <w:rPr>
          <w:rFonts w:ascii="Times New Roman" w:eastAsia="仿宋" w:cs="Times New Roman" w:hAnsi="Times New Roman" w:hint="eastAsia"/>
          <w:snapToGrid w:val="0"/>
          <w:kern w:val="0"/>
          <w:sz w:val="32"/>
          <w:szCs w:val="32"/>
        </w:rPr>
        <w:t>小青瓦坡屋顶</w:t>
      </w:r>
      <w:r>
        <w:rPr>
          <w:rFonts w:ascii="Times New Roman" w:eastAsia="仿宋" w:cs="Times New Roman" w:hAnsi="Times New Roman"/>
          <w:snapToGrid w:val="0"/>
          <w:kern w:val="0"/>
          <w:sz w:val="32"/>
          <w:szCs w:val="32"/>
        </w:rPr>
        <w:t>，墙体以白墙、清水灰砖墙为主，门窗采用仿木铝合金门窗、木门窗。</w:t>
      </w:r>
    </w:p>
    <w:p>
      <w:pPr>
        <w:pStyle w:val="32"/>
      </w:pPr>
      <w:bookmarkStart w:id="79" w:name="_Toc17532"/>
      <w:bookmarkStart w:id="80" w:name="_Toc209510466"/>
      <w:r>
        <w:t>其他管控指引</w:t>
      </w:r>
      <w:bookmarkEnd w:id="79"/>
      <w:bookmarkEnd w:id="80"/>
    </w:p>
    <w:p>
      <w:pPr>
        <w:pStyle w:val="2"/>
        <w:ind w:left="0" w:firstLineChars="200" w:firstLine="640"/>
      </w:pPr>
      <w:bookmarkStart w:id="81" w:name="_Toc209510467"/>
      <w:bookmarkStart w:id="82" w:name="_Toc1967"/>
      <w:r>
        <w:rPr>
          <w:rFonts w:hint="eastAsia"/>
        </w:rPr>
        <w:t>乡村道路管控</w:t>
      </w:r>
      <w:bookmarkEnd w:id="81"/>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新建乡村道路路基宽度不宜大于</w:t>
      </w:r>
      <w:r>
        <w:rPr>
          <w:rFonts w:ascii="Times New Roman" w:eastAsia="仿宋" w:cs="Times New Roman" w:hAnsi="Times New Roman"/>
          <w:snapToGrid w:val="0"/>
          <w:kern w:val="0"/>
          <w:sz w:val="32"/>
          <w:szCs w:val="32"/>
        </w:rPr>
        <w:t xml:space="preserve">8 </w:t>
      </w:r>
      <w:r>
        <w:rPr>
          <w:rFonts w:ascii="Times New Roman" w:eastAsia="仿宋" w:cs="Times New Roman" w:hAnsi="Times New Roman" w:hint="eastAsia"/>
          <w:snapToGrid w:val="0"/>
          <w:kern w:val="0"/>
          <w:sz w:val="32"/>
          <w:szCs w:val="32"/>
        </w:rPr>
        <w:t>米，按照城乡统筹、道路成网的原则，兼顾雨水、污水重力自流管线收集排放等要求，因地制宜设置三个级别道路，其中村域组团间连接道路，路面宽度不应小于</w:t>
      </w:r>
      <w:r>
        <w:rPr>
          <w:rFonts w:ascii="Times New Roman" w:eastAsia="仿宋" w:cs="Times New Roman" w:hAnsi="Times New Roman"/>
          <w:snapToGrid w:val="0"/>
          <w:kern w:val="0"/>
          <w:sz w:val="32"/>
          <w:szCs w:val="32"/>
        </w:rPr>
        <w:t xml:space="preserve">4.5 </w:t>
      </w:r>
      <w:r>
        <w:rPr>
          <w:rFonts w:ascii="Times New Roman" w:eastAsia="仿宋" w:cs="Times New Roman" w:hAnsi="Times New Roman" w:hint="eastAsia"/>
          <w:snapToGrid w:val="0"/>
          <w:kern w:val="0"/>
          <w:sz w:val="32"/>
          <w:szCs w:val="32"/>
        </w:rPr>
        <w:t>米，部分条件受限地区路面宽度不宜小于</w:t>
      </w:r>
      <w:r>
        <w:rPr>
          <w:rFonts w:ascii="Times New Roman" w:eastAsia="仿宋" w:cs="Times New Roman" w:hAnsi="Times New Roman"/>
          <w:snapToGrid w:val="0"/>
          <w:kern w:val="0"/>
          <w:sz w:val="32"/>
          <w:szCs w:val="32"/>
        </w:rPr>
        <w:t xml:space="preserve">3.5 </w:t>
      </w:r>
      <w:r>
        <w:rPr>
          <w:rFonts w:ascii="Times New Roman" w:eastAsia="仿宋" w:cs="Times New Roman" w:hAnsi="Times New Roman" w:hint="eastAsia"/>
          <w:snapToGrid w:val="0"/>
          <w:kern w:val="0"/>
          <w:sz w:val="32"/>
          <w:szCs w:val="32"/>
        </w:rPr>
        <w:t>米；村屯内部主要道路，路面宽度宜</w:t>
      </w:r>
      <w:r>
        <w:rPr>
          <w:rFonts w:ascii="Times New Roman" w:eastAsia="仿宋" w:cs="Times New Roman" w:hAnsi="Times New Roman"/>
          <w:snapToGrid w:val="0"/>
          <w:kern w:val="0"/>
          <w:sz w:val="32"/>
          <w:szCs w:val="32"/>
        </w:rPr>
        <w:t>4.5</w:t>
      </w:r>
      <w:r>
        <w:rPr>
          <w:rFonts w:ascii="Times New Roman" w:eastAsia="仿宋" w:cs="Times New Roman" w:hAnsi="Times New Roman" w:hint="eastAsia"/>
          <w:snapToGrid w:val="0"/>
          <w:kern w:val="0"/>
          <w:sz w:val="32"/>
          <w:szCs w:val="32"/>
        </w:rPr>
        <w:t>米，不宜低于</w:t>
      </w:r>
      <w:r>
        <w:rPr>
          <w:rFonts w:ascii="Times New Roman" w:eastAsia="仿宋" w:cs="Times New Roman" w:hAnsi="Times New Roman"/>
          <w:snapToGrid w:val="0"/>
          <w:kern w:val="0"/>
          <w:sz w:val="32"/>
          <w:szCs w:val="32"/>
        </w:rPr>
        <w:t xml:space="preserve">3.5 </w:t>
      </w:r>
      <w:r>
        <w:rPr>
          <w:rFonts w:ascii="Times New Roman" w:eastAsia="仿宋" w:cs="Times New Roman" w:hAnsi="Times New Roman" w:hint="eastAsia"/>
          <w:snapToGrid w:val="0"/>
          <w:kern w:val="0"/>
          <w:sz w:val="32"/>
          <w:szCs w:val="32"/>
        </w:rPr>
        <w:t>米；村屯内部次要道路，路面宽度不宜小于</w:t>
      </w:r>
      <w:r>
        <w:rPr>
          <w:rFonts w:ascii="Times New Roman" w:eastAsia="仿宋" w:cs="Times New Roman" w:hAnsi="Times New Roman"/>
          <w:snapToGrid w:val="0"/>
          <w:kern w:val="0"/>
          <w:sz w:val="32"/>
          <w:szCs w:val="32"/>
        </w:rPr>
        <w:t xml:space="preserve">2.5 </w:t>
      </w:r>
      <w:r>
        <w:rPr>
          <w:rFonts w:ascii="Times New Roman" w:eastAsia="仿宋" w:cs="Times New Roman" w:hAnsi="Times New Roman" w:hint="eastAsia"/>
          <w:snapToGrid w:val="0"/>
          <w:kern w:val="0"/>
          <w:sz w:val="32"/>
          <w:szCs w:val="32"/>
        </w:rPr>
        <w:t>米。在路面宽度小于等于3.5 米，且长度超1 公里的道路，宜在合适的位置增设会车场地。</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新建、改建乡村道路，作为消防通道使用的，其路面宽度、转弯半径以及管架、栈桥等设施跨越道路的高度，应当符合消防车辆通行要求，消防车通道净宽、净高度均为4 米，转弯半径不小于9 米。</w:t>
      </w:r>
    </w:p>
    <w:p>
      <w:pPr>
        <w:adjustRightInd w:val="0"/>
        <w:snapToGrid w:val="0"/>
        <w:spacing w:line="600" w:lineRule="exact"/>
        <w:ind w:firstLineChars="200" w:firstLine="640"/>
        <w:rPr>
          <w:rFonts w:ascii="Times New Roman" w:cs="Times New Roman" w:hAnsi="Times New Roman"/>
          <w:snapToGrid w:val="0"/>
          <w:kern w:val="0"/>
          <w:szCs w:val="32"/>
        </w:rPr>
      </w:pPr>
      <w:r>
        <w:rPr>
          <w:rFonts w:ascii="Times New Roman" w:eastAsia="仿宋" w:cs="Times New Roman" w:hAnsi="Times New Roman" w:hint="eastAsia"/>
          <w:snapToGrid w:val="0"/>
          <w:kern w:val="0"/>
          <w:sz w:val="32"/>
          <w:szCs w:val="32"/>
        </w:rPr>
        <w:t>交通安全设施、道路标识等结合国家相关行业建设标准设置。</w:t>
      </w:r>
    </w:p>
    <w:p>
      <w:pPr>
        <w:pStyle w:val="2"/>
        <w:ind w:left="0" w:firstLineChars="200" w:firstLine="640"/>
      </w:pPr>
      <w:bookmarkStart w:id="83" w:name="_Toc209510468"/>
      <w:r>
        <w:t>历史文化遗产保护管控</w:t>
      </w:r>
      <w:bookmarkEnd w:id="82"/>
      <w:bookmarkEnd w:id="83"/>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乡村建设中不得拆除、迁移、破坏文物保护单位、历史建筑、一般不可移动文物等，不得擅自拆除、迁移、破坏其他具备保护价值的历史建（构）筑物。</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严格控制传统村落、已划定历史文化保护线的乡村土地开发建设强度和风貌管控，应符合其保护规划和管控要求。在传统村落、历史文化保护线内以及其周边的各项乡村建设，建筑风貌应符合保护规划的管控要求，并与周边环境相协调。</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已纳入传统村落名录和拟申请传统村落的村庄，应按传统村落规划编制要求进行管控。</w:t>
      </w:r>
    </w:p>
    <w:p>
      <w:pPr>
        <w:adjustRightInd w:val="0"/>
        <w:snapToGrid w:val="0"/>
        <w:spacing w:line="600" w:lineRule="exact"/>
        <w:ind w:firstLineChars="200"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不得随意改变文物保护单位、历史建筑、一般不可移动文物及其他具备保护价值的历史建（构）筑物的建筑形态、色彩等，在符合保护规划的管控要求下，可结合乡村发展需求适当活化利用，发展乡村旅游等产业。</w:t>
      </w:r>
    </w:p>
    <w:p>
      <w:pPr>
        <w:pStyle w:val="2"/>
        <w:ind w:left="0" w:firstLineChars="200" w:firstLine="640"/>
      </w:pPr>
      <w:bookmarkStart w:id="84" w:name="_Toc6432"/>
      <w:bookmarkStart w:id="85" w:name="_Toc209510469"/>
      <w:r>
        <w:t>滨水区域管控</w:t>
      </w:r>
      <w:bookmarkEnd w:id="84"/>
      <w:bookmarkEnd w:id="85"/>
    </w:p>
    <w:p>
      <w:pPr>
        <w:adjustRightInd w:val="0"/>
        <w:snapToGrid w:val="0"/>
        <w:spacing w:line="600" w:lineRule="exact"/>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加强钦江、茅岭江、大寺江、那蒙江等滨水区域周边地区管控，保护水体廊道与湿地，建设山水村落融合的美丽乡村。滨水区域的新建建筑应留出望江、望河、望湖视线通廊，可视范围内的建筑风貌、色彩、尺度等应与江河湖泊协调，新建建筑与水体岸线的距离应满足防洪排涝的要求。</w:t>
      </w:r>
    </w:p>
    <w:p>
      <w:pPr>
        <w:pStyle w:val="2"/>
        <w:ind w:left="0" w:firstLineChars="200" w:firstLine="640"/>
      </w:pPr>
      <w:bookmarkStart w:id="86" w:name="_Toc209510470"/>
      <w:r>
        <w:rPr>
          <w:rFonts w:hint="eastAsia"/>
        </w:rPr>
        <w:t>临山区域管控</w:t>
      </w:r>
      <w:bookmarkEnd w:id="86"/>
    </w:p>
    <w:p>
      <w:pPr>
        <w:adjustRightInd w:val="0"/>
        <w:snapToGrid w:val="0"/>
        <w:spacing w:line="600" w:lineRule="exact"/>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加强王岗山自然保护区、林湖森林公园等重要山体周边地区管控，保持山体轮廓线的完整性。严禁随意改变地形地貌，严格控制乡村建设对山体环境的侵占</w:t>
      </w:r>
      <w:r>
        <w:rPr>
          <w:rFonts w:hint="eastAsia"/>
        </w:rPr>
        <w:t>。</w:t>
      </w:r>
      <w:r>
        <w:rPr>
          <w:rFonts w:ascii="Times New Roman" w:eastAsia="仿宋" w:cs="Times New Roman" w:hAnsi="Times New Roman" w:hint="eastAsia"/>
          <w:snapToGrid w:val="0"/>
          <w:kern w:val="0"/>
          <w:sz w:val="32"/>
          <w:szCs w:val="32"/>
        </w:rPr>
        <w:t>临山区域的新建建筑应留出望山视线通廊，可视范围内的建筑风貌、色彩、尺度等应与山体协调。</w:t>
      </w:r>
    </w:p>
    <w:p>
      <w:pPr>
        <w:pStyle w:val="2"/>
        <w:ind w:left="0" w:firstLineChars="200" w:firstLine="640"/>
      </w:pPr>
      <w:bookmarkStart w:id="87" w:name="_Toc209510471"/>
      <w:r>
        <w:rPr>
          <w:rFonts w:hint="eastAsia"/>
        </w:rPr>
        <w:t>国土空间整治与生态修复</w:t>
      </w:r>
      <w:bookmarkEnd w:id="87"/>
    </w:p>
    <w:p>
      <w:pPr>
        <w:adjustRightInd w:val="0"/>
        <w:snapToGrid w:val="0"/>
        <w:spacing w:line="600" w:lineRule="exact"/>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严格控制农用地的使用，对进行农转用的村庄，应通过高标准农田建设、耕地提质改造、低效林地和园地整理、宜耕后备资源开发、其他农用地整理等方式补充农业用地，以保证耕地数量不减少、质量不下降。</w:t>
      </w:r>
    </w:p>
    <w:p>
      <w:pPr>
        <w:adjustRightInd w:val="0"/>
        <w:snapToGrid w:val="0"/>
        <w:spacing w:line="600" w:lineRule="exact"/>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以改善村庄人居环境，建设美丽乡村为目标，通过土地复垦、矿山生态修复、农村人居环境整治和风貌提升、污水处理和水环境修复、小流域治理等乡村生态环境整治修复方式，对村庄环境进行修复提升。</w:t>
      </w:r>
    </w:p>
    <w:p>
      <w:pPr>
        <w:pStyle w:val="1"/>
        <w:ind w:firstLine="643"/>
      </w:pPr>
      <w:bookmarkStart w:id="88" w:name="_Toc209510472"/>
      <w:bookmarkStart w:id="89" w:name="_Toc9890"/>
      <w:r>
        <w:rPr>
          <w:rFonts w:hint="eastAsia"/>
        </w:rPr>
        <w:t>实施保障</w:t>
      </w:r>
      <w:bookmarkEnd w:id="88"/>
    </w:p>
    <w:p>
      <w:pPr>
        <w:pStyle w:val="2"/>
        <w:ind w:left="0" w:firstLineChars="200" w:firstLine="640"/>
      </w:pPr>
      <w:bookmarkStart w:id="90" w:name="_Toc209510473"/>
      <w:r>
        <w:rPr>
          <w:rFonts w:hint="eastAsia"/>
        </w:rPr>
        <w:t>实施管理</w:t>
      </w:r>
      <w:bookmarkEnd w:id="90"/>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通则印发后，应纳入国土空间规划“一张图”实施监督信息系统，强化日常监督管理。若需修改，由钦北区自然资源局组织修改，修改完成后征求相关部门、乡镇人民政府、专家学者等意见，并在钦北区人民政府官方网站公示，公示时间不少于7 日。公示期满无异议后，报钦北区人民政府批准后实施。</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符合以下情形的可以按有关程序修改通则：</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1.因法律法规、政策文件、技术标准修订，且与本通则的强制性条款产生矛盾的。</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2.因上位国土空间总体规划修改调整，本通则与上位国土空间总体规划约束性指标及内容不符的。</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3.因行政区划已依法作调整，经对通则实施进行评估，现行通则的审批机关认为确需对通则进行修订的。</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4.因重大项目建设对钦北区乡村地区产生较大影响，经对通则实施进行评估，现行通则的审批机关认为确需对通则进行修订的。</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5.法律法规和国务院、自治区、市县人民政府规定的其他情形。</w:t>
      </w:r>
    </w:p>
    <w:p>
      <w:pPr>
        <w:pStyle w:val="2"/>
        <w:ind w:left="0" w:firstLineChars="200" w:firstLine="640"/>
      </w:pPr>
      <w:bookmarkStart w:id="91" w:name="_Toc209510474"/>
      <w:r>
        <w:rPr>
          <w:rFonts w:hint="eastAsia"/>
        </w:rPr>
        <w:t>图则管控</w:t>
      </w:r>
      <w:bookmarkEnd w:id="91"/>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本通则若无法满足具体项目建设管控要求的，可编制乡村地区重点地块图则（详见图1），细化明确项目的用地位置、面积、土地用途、容积率、绿地率、建筑密度、建筑高度等控制内容，作为核发规划许可的依据。</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乡村地区重点地块图则由乡镇人民政府组织编制，钦北区自然资源局组织技术审查，乡镇人民政府组织村（居）民委员会成员，召开村（居）民会议或村（居）民代表会议讨论通过，并在村（居）委会公示栏或政府官方网站等多渠道进行公示，公示时间不得少于7个工作日。公示期满无异议后，报钦北区人民政府批准后实施，并将成果纳入国土空间规划“一张图”系统管理。</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以下情形应编制乡村地区重点地块图则：</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1.本通则条文式内容无法满足具体项目建设管控要求的。</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2.村庄规划中采用图标、留白等方式未明确地块管控要求的建设项目。</w:t>
      </w:r>
    </w:p>
    <w:p>
      <w:pPr>
        <w:ind w:firstLine="640"/>
        <w:rPr>
          <w:rFonts w:ascii="Times New Roman" w:eastAsia="仿宋" w:cs="Times New Roman" w:hAnsi="Times New Roman"/>
          <w:snapToGrid w:val="0"/>
          <w:kern w:val="0"/>
          <w:sz w:val="32"/>
          <w:szCs w:val="32"/>
        </w:rPr>
      </w:pPr>
      <w:r>
        <w:rPr>
          <w:rFonts w:ascii="Times New Roman" w:eastAsia="仿宋" w:cs="Times New Roman" w:hAnsi="Times New Roman" w:hint="eastAsia"/>
          <w:snapToGrid w:val="0"/>
          <w:kern w:val="0"/>
          <w:sz w:val="32"/>
          <w:szCs w:val="32"/>
        </w:rPr>
        <w:t>3.法律法规和国务院、自治区、市县人民政府规定的其他情形。</w:t>
      </w:r>
    </w:p>
    <w:p>
      <w:pPr>
        <w:ind w:firstLine="560"/>
        <w:jc w:val="center"/>
        <w:rPr>
          <w:rFonts w:ascii="Times New Roman" w:eastAsia="仿宋" w:cs="Times New Roman" w:hAnsi="Times New Roman"/>
          <w:snapToGrid w:val="0"/>
          <w:kern w:val="0"/>
          <w:sz w:val="28"/>
          <w:szCs w:val="32"/>
        </w:rPr>
      </w:pPr>
      <w:r>
        <w:rPr>
          <w:rFonts w:ascii="Times New Roman" w:eastAsia="仿宋" w:cs="Times New Roman" w:hAnsi="Times New Roman" w:hint="eastAsia"/>
          <w:snapToGrid w:val="0"/>
          <w:kern w:val="0"/>
          <w:sz w:val="28"/>
          <w:szCs w:val="32"/>
        </w:rPr>
        <w:t>图</w:t>
      </w:r>
      <w:r>
        <w:rPr>
          <w:sz w:val="20"/>
        </w:rPr>
        <w:drawing>
          <wp:anchor distT="0" distB="0" distL="114300" distR="114300" simplePos="0" relativeHeight="16" behindDoc="0" locked="0" layoutInCell="1" hidden="0" allowOverlap="1">
            <wp:simplePos x="0" y="0"/>
            <wp:positionH relativeFrom="column">
              <wp:posOffset>32385</wp:posOffset>
            </wp:positionH>
            <wp:positionV relativeFrom="paragraph">
              <wp:posOffset>523875</wp:posOffset>
            </wp:positionV>
            <wp:extent cx="5274310" cy="3840479"/>
            <wp:effectExtent l="0" t="0" r="0" b="0"/>
            <wp:wrapTopAndBottom/>
            <wp:docPr id="4" name="图片 2"/>
            <wp:cNvGraphicFramePr>
              <a:graphicFrameLocks noChangeAspect="1"/>
            </wp:cNvGraphicFramePr>
            <a:graphic>
              <a:graphicData uri="http://schemas.openxmlformats.org/drawingml/2006/picture">
                <pic:pic>
                  <pic:nvPicPr>
                    <pic:cNvPr id="6" name="图片 2 6"/>
                    <pic:cNvPicPr/>
                  </pic:nvPicPr>
                  <pic:blipFill>
                    <a:blip r:embed="rId5"/>
                    <a:stretch>
                      <a:fillRect/>
                    </a:stretch>
                  </pic:blipFill>
                  <pic:spPr>
                    <a:xfrm rot="0">
                      <a:off x="0" y="0"/>
                      <a:ext cx="5274310" cy="3840479"/>
                    </a:xfrm>
                    <a:prstGeom prst="rect"/>
                    <a:noFill/>
                    <a:ln w="9525" cmpd="sng" cap="flat">
                      <a:noFill/>
                      <a:prstDash val="solid"/>
                      <a:miter/>
                    </a:ln>
                  </pic:spPr>
                </pic:pic>
              </a:graphicData>
            </a:graphic>
          </wp:anchor>
        </w:drawing>
      </w:r>
      <w:r>
        <w:rPr>
          <w:rFonts w:ascii="Times New Roman" w:eastAsia="仿宋" w:cs="Times New Roman" w:hAnsi="Times New Roman" w:hint="eastAsia"/>
          <w:snapToGrid w:val="0"/>
          <w:kern w:val="0"/>
          <w:sz w:val="28"/>
          <w:szCs w:val="32"/>
        </w:rPr>
        <w:t>1</w:t>
      </w:r>
      <w:r>
        <w:rPr>
          <w:rFonts w:ascii="Times New Roman" w:eastAsia="仿宋" w:cs="Times New Roman" w:hAnsi="Times New Roman"/>
          <w:snapToGrid w:val="0"/>
          <w:kern w:val="0"/>
          <w:sz w:val="28"/>
          <w:szCs w:val="32"/>
        </w:rPr>
        <w:t xml:space="preserve"> </w:t>
      </w:r>
      <w:r>
        <w:rPr>
          <w:rFonts w:ascii="Times New Roman" w:eastAsia="仿宋" w:cs="Times New Roman" w:hAnsi="Times New Roman" w:hint="eastAsia"/>
          <w:snapToGrid w:val="0"/>
          <w:kern w:val="0"/>
          <w:sz w:val="28"/>
          <w:szCs w:val="32"/>
        </w:rPr>
        <w:t>乡村地区重点地块图则样图</w:t>
      </w:r>
    </w:p>
    <w:p>
      <w:pPr>
        <w:pStyle w:val="1"/>
        <w:numPr>
          <w:ilvl w:val="0"/>
          <w:numId w:val="0"/>
        </w:numPr>
        <w:jc w:val="both"/>
      </w:pPr>
      <w:bookmarkStart w:id="92" w:name="_Toc209510475"/>
      <w:r>
        <w:rPr>
          <w:rFonts w:hint="eastAsia"/>
        </w:rPr>
        <w:t>附则</w:t>
      </w:r>
      <w:bookmarkEnd w:id="89"/>
      <w:bookmarkEnd w:id="92"/>
    </w:p>
    <w:p>
      <w:pPr>
        <w:pStyle w:val="2"/>
        <w:ind w:left="0" w:firstLineChars="200" w:firstLine="640"/>
      </w:pPr>
      <w:bookmarkStart w:id="93" w:name="_Toc209510476"/>
      <w:bookmarkStart w:id="94" w:name="_Toc5664"/>
      <w:r>
        <w:t>本通则由</w:t>
      </w:r>
      <w:r>
        <w:rPr>
          <w:rFonts w:hint="eastAsia"/>
        </w:rPr>
        <w:t>钦州市钦北区</w:t>
      </w:r>
      <w:r>
        <w:t>自然资源局负责解释。</w:t>
      </w:r>
      <w:bookmarkEnd w:id="93"/>
      <w:bookmarkEnd w:id="94"/>
    </w:p>
    <w:p>
      <w:pPr>
        <w:pStyle w:val="2"/>
        <w:ind w:left="0" w:firstLineChars="200" w:firstLine="640"/>
      </w:pPr>
      <w:bookmarkStart w:id="95" w:name="_Toc26057"/>
      <w:bookmarkStart w:id="96" w:name="_Toc209510477"/>
      <w:r>
        <w:t>本通则自</w:t>
      </w:r>
      <w:r>
        <w:rPr>
          <w:rFonts w:hint="eastAsia"/>
        </w:rPr>
        <w:t>印发之日</w:t>
      </w:r>
      <w:r>
        <w:t>起施行，</w:t>
      </w:r>
      <w:r>
        <w:rPr>
          <w:rFonts w:hint="eastAsia"/>
        </w:rPr>
        <w:t>有效期至2</w:t>
      </w:r>
      <w:r>
        <w:t>035</w:t>
      </w:r>
      <w:r>
        <w:rPr>
          <w:rFonts w:hint="eastAsia"/>
        </w:rPr>
        <w:t>年，期间国家、地方政策如有新规定的，以新规定为准。</w:t>
      </w:r>
      <w:bookmarkEnd w:id="95"/>
      <w:bookmarkEnd w:id="96"/>
    </w:p>
    <w:p>
      <w:pPr>
        <w:pStyle w:val="2"/>
        <w:ind w:left="0" w:firstLineChars="200" w:firstLine="640"/>
      </w:pPr>
      <w:bookmarkStart w:id="97" w:name="_Toc10705"/>
      <w:bookmarkStart w:id="98" w:name="_Toc209510478"/>
      <w:r>
        <w:t>本通则有关用语如下：</w:t>
      </w:r>
      <w:bookmarkEnd w:id="97"/>
      <w:bookmarkEnd w:id="98"/>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1.</w:t>
      </w:r>
      <w:r>
        <w:rPr>
          <w:rFonts w:ascii="Times New Roman" w:eastAsia="仿宋" w:cs="Times New Roman" w:hAnsi="Times New Roman"/>
          <w:sz w:val="32"/>
          <w:szCs w:val="32"/>
        </w:rPr>
        <w:t>在执行本通则的条文时，对要求严格程度不同的用词说明如下：</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（1）表示很严格，非这样做不可的用词：正面词采用“必须”，反面词采用“严禁”。</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（2）表示严格，在正常情况均应这样做的用词：正面词采用“应”，反面词采用“不应”或“不得”。</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（3）表示允许稍有选择，在条件许可时首先应这样做的用词：正面词采用“宜”，反面词采用“不宜”。</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（4）表示有选择，在一定条件下可以这样做的用词，采用“可”。</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2.</w:t>
      </w:r>
      <w:r>
        <w:rPr>
          <w:rFonts w:ascii="Times New Roman" w:eastAsia="仿宋" w:cs="Times New Roman" w:hAnsi="Times New Roman"/>
          <w:sz w:val="32"/>
          <w:szCs w:val="32"/>
        </w:rPr>
        <w:t>条文中指明应按其他有关标准、规范执行的要求为：“应符合……的规定（要求）”或“应按照……执行”，如相关标准、规范有更新，按最新文件要求执行。</w:t>
      </w:r>
    </w:p>
    <w:p>
      <w:pPr>
        <w:widowControl/>
        <w:snapToGrid w:val="0"/>
        <w:spacing w:line="600" w:lineRule="exact"/>
        <w:rPr>
          <w:rFonts w:ascii="Times New Roman" w:eastAsia="仿宋" w:cs="Times New Roman" w:hAnsi="Times New Roman"/>
          <w:sz w:val="32"/>
          <w:szCs w:val="32"/>
        </w:rPr>
        <w:sectPr>
          <w:footerReference w:type="default" r:id="rId4"/>
          <w:pgSz w:w="11906" w:h="16838"/>
          <w:pgMar w:top="1440" w:right="1800" w:bottom="1440" w:left="1800" w:header="851" w:footer="992" w:gutter="0"/>
          <w:pgNumType w:start="1"/>
          <w:docGrid w:type="lines" w:linePitch="312" w:charSpace="0"/>
        </w:sectPr>
      </w:pPr>
    </w:p>
    <w:p>
      <w:pPr>
        <w:pStyle w:val="1"/>
        <w:numPr>
          <w:ilvl w:val="0"/>
          <w:numId w:val="0"/>
        </w:numPr>
        <w:jc w:val="both"/>
      </w:pPr>
      <w:bookmarkStart w:id="99" w:name="_Toc23650"/>
      <w:bookmarkStart w:id="100" w:name="_Toc209510479"/>
      <w:r>
        <w:t>附录</w:t>
      </w:r>
      <w:bookmarkEnd w:id="99"/>
      <w:bookmarkEnd w:id="100"/>
    </w:p>
    <w:p>
      <w:pPr>
        <w:pStyle w:val="2"/>
        <w:numPr>
          <w:ilvl w:val="0"/>
          <w:numId w:val="0"/>
        </w:numPr>
        <w:ind w:left="0" w:firstLine="643"/>
      </w:pPr>
      <w:bookmarkStart w:id="101" w:name="_Toc16803"/>
      <w:bookmarkStart w:id="102" w:name="_Toc209510480"/>
      <w:r>
        <w:t>附录1 名词解释</w:t>
      </w:r>
      <w:bookmarkEnd w:id="101"/>
      <w:bookmarkEnd w:id="102"/>
    </w:p>
    <w:p>
      <w:pPr>
        <w:widowControl/>
        <w:snapToGrid w:val="0"/>
        <w:spacing w:line="600" w:lineRule="exact"/>
        <w:ind w:firstLineChars="200" w:firstLine="640"/>
        <w:rPr>
          <w:rFonts w:ascii="Times New Roman" w:eastAsia="仿宋" w:cs="Times New Roman" w:hAnsi="Times New Roman"/>
          <w:b/>
          <w:bCs/>
          <w:sz w:val="32"/>
          <w:szCs w:val="32"/>
        </w:rPr>
      </w:pPr>
      <w:r>
        <w:rPr>
          <w:rFonts w:ascii="Times New Roman" w:eastAsia="仿宋" w:cs="Times New Roman" w:hAnsi="Times New Roman"/>
          <w:b/>
          <w:bCs/>
          <w:sz w:val="32"/>
          <w:szCs w:val="32"/>
        </w:rPr>
        <w:t>（一）村庄建设边界</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指在一定时期内，可以进行村庄开发建设及需要重点管控的国土空间范围，是规划相对集中的农村居民点建设用地以及因村庄建设和发展需要必须实行规划控制的区域。</w:t>
      </w:r>
    </w:p>
    <w:p>
      <w:pPr>
        <w:widowControl/>
        <w:snapToGrid w:val="0"/>
        <w:spacing w:line="600" w:lineRule="exact"/>
        <w:ind w:firstLineChars="200" w:firstLine="640"/>
        <w:rPr>
          <w:rFonts w:ascii="Times New Roman" w:eastAsia="仿宋" w:cs="Times New Roman" w:hAnsi="Times New Roman"/>
          <w:b/>
          <w:bCs/>
          <w:sz w:val="32"/>
          <w:szCs w:val="32"/>
        </w:rPr>
      </w:pPr>
      <w:r>
        <w:rPr>
          <w:rFonts w:ascii="Times New Roman" w:eastAsia="仿宋" w:cs="Times New Roman" w:hAnsi="Times New Roman"/>
          <w:b/>
          <w:bCs/>
          <w:sz w:val="32"/>
          <w:szCs w:val="32"/>
        </w:rPr>
        <w:t>（二）村庄建设用地</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指乡村居民点，指乡村所属的商业服务业、住宅、工业、学校等用地。包括乡政府所在地和乡村居民点范围内的其他各类建设用地。</w:t>
      </w:r>
    </w:p>
    <w:p>
      <w:pPr>
        <w:widowControl/>
        <w:snapToGrid w:val="0"/>
        <w:spacing w:line="600" w:lineRule="exact"/>
        <w:ind w:firstLineChars="200" w:firstLine="640"/>
        <w:rPr>
          <w:rFonts w:ascii="Times New Roman" w:eastAsia="仿宋" w:cs="Times New Roman" w:hAnsi="Times New Roman"/>
          <w:b/>
          <w:bCs/>
          <w:sz w:val="32"/>
          <w:szCs w:val="32"/>
        </w:rPr>
      </w:pPr>
      <w:r>
        <w:rPr>
          <w:rFonts w:ascii="Times New Roman" w:eastAsia="仿宋" w:cs="Times New Roman" w:hAnsi="Times New Roman"/>
          <w:b/>
          <w:bCs/>
          <w:sz w:val="32"/>
          <w:szCs w:val="32"/>
        </w:rPr>
        <w:t>（</w:t>
      </w:r>
      <w:r>
        <w:rPr>
          <w:rFonts w:ascii="Times New Roman" w:eastAsia="仿宋" w:cs="Times New Roman" w:hAnsi="Times New Roman" w:hint="eastAsia"/>
          <w:b/>
          <w:bCs/>
          <w:sz w:val="32"/>
          <w:szCs w:val="32"/>
        </w:rPr>
        <w:t>三</w:t>
      </w:r>
      <w:r>
        <w:rPr>
          <w:rFonts w:ascii="Times New Roman" w:eastAsia="仿宋" w:cs="Times New Roman" w:hAnsi="Times New Roman"/>
          <w:b/>
          <w:bCs/>
          <w:sz w:val="32"/>
          <w:szCs w:val="32"/>
        </w:rPr>
        <w:t>）</w:t>
      </w:r>
      <w:r>
        <w:rPr>
          <w:rFonts w:ascii="Times New Roman" w:eastAsia="仿宋" w:cs="Times New Roman" w:hAnsi="Times New Roman" w:hint="eastAsia"/>
          <w:b/>
          <w:bCs/>
          <w:sz w:val="32"/>
          <w:szCs w:val="32"/>
        </w:rPr>
        <w:t>一类工业</w:t>
      </w:r>
      <w:r>
        <w:rPr>
          <w:rFonts w:ascii="Times New Roman" w:eastAsia="仿宋" w:cs="Times New Roman" w:hAnsi="Times New Roman"/>
          <w:b/>
          <w:bCs/>
          <w:sz w:val="32"/>
          <w:szCs w:val="32"/>
        </w:rPr>
        <w:t>用地</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对居住和公共环境基本无干扰、污染和安全隐患，布局无特殊控制要求的工业用地。</w:t>
      </w:r>
    </w:p>
    <w:p>
      <w:pPr>
        <w:widowControl/>
        <w:snapToGrid w:val="0"/>
        <w:spacing w:line="600" w:lineRule="exact"/>
        <w:ind w:firstLineChars="200" w:firstLine="640"/>
        <w:rPr>
          <w:rFonts w:ascii="Times New Roman" w:eastAsia="仿宋" w:cs="Times New Roman" w:hAnsi="Times New Roman"/>
          <w:b/>
          <w:bCs/>
          <w:sz w:val="32"/>
          <w:szCs w:val="32"/>
        </w:rPr>
      </w:pPr>
      <w:r>
        <w:rPr>
          <w:rFonts w:ascii="Times New Roman" w:eastAsia="仿宋" w:cs="Times New Roman" w:hAnsi="Times New Roman"/>
          <w:b/>
          <w:bCs/>
          <w:sz w:val="32"/>
          <w:szCs w:val="32"/>
        </w:rPr>
        <w:t>（</w:t>
      </w:r>
      <w:r>
        <w:rPr>
          <w:rFonts w:ascii="Times New Roman" w:eastAsia="仿宋" w:cs="Times New Roman" w:hAnsi="Times New Roman" w:hint="eastAsia"/>
          <w:b/>
          <w:bCs/>
          <w:sz w:val="32"/>
          <w:szCs w:val="32"/>
        </w:rPr>
        <w:t>四</w:t>
      </w:r>
      <w:r>
        <w:rPr>
          <w:rFonts w:ascii="Times New Roman" w:eastAsia="仿宋" w:cs="Times New Roman" w:hAnsi="Times New Roman"/>
          <w:b/>
          <w:bCs/>
          <w:sz w:val="32"/>
          <w:szCs w:val="32"/>
        </w:rPr>
        <w:t>）</w:t>
      </w:r>
      <w:r>
        <w:rPr>
          <w:rFonts w:ascii="Times New Roman" w:eastAsia="仿宋" w:cs="Times New Roman" w:hAnsi="Times New Roman" w:hint="eastAsia"/>
          <w:b/>
          <w:bCs/>
          <w:sz w:val="32"/>
          <w:szCs w:val="32"/>
        </w:rPr>
        <w:t>二类工业</w:t>
      </w:r>
      <w:r>
        <w:rPr>
          <w:rFonts w:ascii="Times New Roman" w:eastAsia="仿宋" w:cs="Times New Roman" w:hAnsi="Times New Roman"/>
          <w:b/>
          <w:bCs/>
          <w:sz w:val="32"/>
          <w:szCs w:val="32"/>
        </w:rPr>
        <w:t>用地</w:t>
      </w:r>
    </w:p>
    <w:p>
      <w:pPr>
        <w:widowControl/>
        <w:snapToGrid w:val="0"/>
        <w:spacing w:line="600" w:lineRule="exact"/>
        <w:ind w:firstLineChars="200" w:firstLine="640"/>
        <w:rPr>
          <w:rFonts w:ascii="Times New Roman" w:eastAsia="仿宋" w:cs="Times New Roman" w:hAnsi="Times New Roman"/>
          <w:b/>
          <w:bCs/>
          <w:sz w:val="32"/>
          <w:szCs w:val="32"/>
        </w:rPr>
      </w:pPr>
      <w:r>
        <w:rPr>
          <w:rFonts w:ascii="Times New Roman" w:eastAsia="仿宋" w:cs="Times New Roman" w:hAnsi="Times New Roman" w:hint="eastAsia"/>
          <w:sz w:val="32"/>
          <w:szCs w:val="32"/>
        </w:rPr>
        <w:t>对居住和公共环境有一定干扰、污染和安全隐患，不可布局于居住区和公共设施集中区内的工业用地。</w:t>
      </w:r>
    </w:p>
    <w:p>
      <w:pPr>
        <w:widowControl/>
        <w:snapToGrid w:val="0"/>
        <w:spacing w:line="600" w:lineRule="exact"/>
        <w:ind w:firstLineChars="200" w:firstLine="640"/>
        <w:rPr>
          <w:rFonts w:ascii="Times New Roman" w:eastAsia="仿宋" w:cs="Times New Roman" w:hAnsi="Times New Roman"/>
          <w:b/>
          <w:bCs/>
          <w:sz w:val="32"/>
          <w:szCs w:val="32"/>
        </w:rPr>
      </w:pPr>
      <w:r>
        <w:rPr>
          <w:rFonts w:ascii="Times New Roman" w:eastAsia="仿宋" w:cs="Times New Roman" w:hAnsi="Times New Roman"/>
          <w:b/>
          <w:bCs/>
          <w:sz w:val="32"/>
          <w:szCs w:val="32"/>
        </w:rPr>
        <w:t>（</w:t>
      </w:r>
      <w:r>
        <w:rPr>
          <w:rFonts w:ascii="Times New Roman" w:eastAsia="仿宋" w:cs="Times New Roman" w:hAnsi="Times New Roman" w:hint="eastAsia"/>
          <w:b/>
          <w:bCs/>
          <w:sz w:val="32"/>
          <w:szCs w:val="32"/>
        </w:rPr>
        <w:t>五</w:t>
      </w:r>
      <w:r>
        <w:rPr>
          <w:rFonts w:ascii="Times New Roman" w:eastAsia="仿宋" w:cs="Times New Roman" w:hAnsi="Times New Roman"/>
          <w:b/>
          <w:bCs/>
          <w:sz w:val="32"/>
          <w:szCs w:val="32"/>
        </w:rPr>
        <w:t>）</w:t>
      </w:r>
      <w:r>
        <w:rPr>
          <w:rFonts w:ascii="Times New Roman" w:eastAsia="仿宋" w:cs="Times New Roman" w:hAnsi="Times New Roman" w:hint="eastAsia"/>
          <w:b/>
          <w:bCs/>
          <w:sz w:val="32"/>
          <w:szCs w:val="32"/>
        </w:rPr>
        <w:t>一类物流仓储</w:t>
      </w:r>
      <w:r>
        <w:rPr>
          <w:rFonts w:ascii="Times New Roman" w:eastAsia="仿宋" w:cs="Times New Roman" w:hAnsi="Times New Roman"/>
          <w:b/>
          <w:bCs/>
          <w:sz w:val="32"/>
          <w:szCs w:val="32"/>
        </w:rPr>
        <w:t>用地</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对居住和公共环境基本无干扰、污染和安全隐患，布局无特殊控制要求的物流仓储用地。</w:t>
      </w:r>
    </w:p>
    <w:p>
      <w:pPr>
        <w:widowControl/>
        <w:snapToGrid w:val="0"/>
        <w:spacing w:line="600" w:lineRule="exact"/>
        <w:ind w:firstLineChars="200" w:firstLine="640"/>
        <w:rPr>
          <w:rFonts w:ascii="Times New Roman" w:eastAsia="仿宋" w:cs="Times New Roman" w:hAnsi="Times New Roman"/>
          <w:b/>
          <w:bCs/>
          <w:sz w:val="32"/>
          <w:szCs w:val="32"/>
        </w:rPr>
      </w:pPr>
      <w:r>
        <w:rPr>
          <w:rFonts w:ascii="Times New Roman" w:eastAsia="仿宋" w:cs="Times New Roman" w:hAnsi="Times New Roman"/>
          <w:b/>
          <w:bCs/>
          <w:sz w:val="32"/>
          <w:szCs w:val="32"/>
        </w:rPr>
        <w:t>（</w:t>
      </w:r>
      <w:r>
        <w:rPr>
          <w:rFonts w:ascii="Times New Roman" w:eastAsia="仿宋" w:cs="Times New Roman" w:hAnsi="Times New Roman" w:hint="eastAsia"/>
          <w:b/>
          <w:bCs/>
          <w:sz w:val="32"/>
          <w:szCs w:val="32"/>
        </w:rPr>
        <w:t>六</w:t>
      </w:r>
      <w:r>
        <w:rPr>
          <w:rFonts w:ascii="Times New Roman" w:eastAsia="仿宋" w:cs="Times New Roman" w:hAnsi="Times New Roman"/>
          <w:b/>
          <w:bCs/>
          <w:sz w:val="32"/>
          <w:szCs w:val="32"/>
        </w:rPr>
        <w:t>）</w:t>
      </w:r>
      <w:r>
        <w:rPr>
          <w:rFonts w:ascii="Times New Roman" w:eastAsia="仿宋" w:cs="Times New Roman" w:hAnsi="Times New Roman" w:hint="eastAsia"/>
          <w:b/>
          <w:bCs/>
          <w:sz w:val="32"/>
          <w:szCs w:val="32"/>
        </w:rPr>
        <w:t>二类物流仓储</w:t>
      </w:r>
      <w:r>
        <w:rPr>
          <w:rFonts w:ascii="Times New Roman" w:eastAsia="仿宋" w:cs="Times New Roman" w:hAnsi="Times New Roman"/>
          <w:b/>
          <w:bCs/>
          <w:sz w:val="32"/>
          <w:szCs w:val="32"/>
        </w:rPr>
        <w:t>用地</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指对居住和公共环境有一定干扰、污染和安全隐患，不可布局于居住区和公共设施集中区内的物流仓储用地。</w:t>
      </w:r>
    </w:p>
    <w:p>
      <w:pPr>
        <w:widowControl/>
        <w:snapToGrid w:val="0"/>
        <w:spacing w:line="600" w:lineRule="exact"/>
        <w:ind w:firstLineChars="200" w:firstLine="640"/>
        <w:rPr>
          <w:rFonts w:ascii="Times New Roman" w:eastAsia="仿宋" w:cs="Times New Roman" w:hAnsi="Times New Roman"/>
          <w:b/>
          <w:bCs/>
          <w:sz w:val="32"/>
          <w:szCs w:val="32"/>
        </w:rPr>
      </w:pPr>
      <w:r>
        <w:rPr>
          <w:rFonts w:ascii="Times New Roman" w:eastAsia="仿宋" w:cs="Times New Roman" w:hAnsi="Times New Roman" w:hint="eastAsia"/>
          <w:b/>
          <w:bCs/>
          <w:sz w:val="32"/>
          <w:szCs w:val="32"/>
        </w:rPr>
        <w:t>（七）商业服务业用地</w:t>
      </w:r>
    </w:p>
    <w:p>
      <w:pPr>
        <w:widowControl/>
        <w:snapToGrid w:val="0"/>
        <w:spacing w:line="600" w:lineRule="exact"/>
        <w:ind w:firstLineChars="200" w:firstLine="640"/>
        <w:rPr>
          <w:rFonts w:ascii="Times New Roman" w:eastAsia="仿宋" w:cs="Times New Roman" w:hAnsi="Times New Roman"/>
          <w:sz w:val="32"/>
          <w:szCs w:val="32"/>
        </w:rPr>
      </w:pPr>
      <w:r>
        <w:rPr>
          <w:rFonts w:ascii="Times New Roman" w:eastAsia="仿宋" w:cs="Times New Roman" w:hAnsi="Times New Roman" w:hint="eastAsia"/>
          <w:sz w:val="32"/>
          <w:szCs w:val="32"/>
        </w:rPr>
        <w:t>指商业、商务金融以及娱乐康体等设施用地，不包括农村社区服务设施用地和城镇社区服务设施用地。</w:t>
      </w:r>
    </w:p>
    <w:p>
      <w:pPr>
        <w:widowControl/>
        <w:ind w:firstLine="640"/>
        <w:jc w:val="left"/>
        <w:rPr>
          <w:rFonts w:ascii="Times New Roman" w:eastAsia="仿宋" w:cs="Times New Roman" w:hAnsi="Times New Roman"/>
          <w:sz w:val="32"/>
          <w:szCs w:val="32"/>
        </w:rPr>
      </w:pPr>
      <w:r>
        <w:rPr>
          <w:rFonts w:ascii="Times New Roman" w:eastAsia="仿宋" w:cs="Times New Roman" w:hAnsi="Times New Roman"/>
          <w:sz w:val="32"/>
          <w:szCs w:val="32"/>
        </w:rPr>
        <w:br w:type="page"/>
      </w:r>
    </w:p>
    <w:p>
      <w:pPr>
        <w:pStyle w:val="2"/>
        <w:pBdr>
          <w:top w:val="none" w:sz="0" w:space="0" w:color="auto"/>
          <w:left w:val="none" w:sz="0" w:space="0" w:color="auto"/>
          <w:bottom w:val="none" w:sz="0" w:space="0" w:color="auto"/>
          <w:right w:val="none" w:sz="0" w:space="0" w:color="auto"/>
        </w:pBdr>
        <w:bidi w:val="0"/>
        <w:spacing w:before="164" w:beforeAutospacing="0" w:after="74" w:afterAutospacing="0" w:line="240" w:lineRule="auto"/>
        <w:ind w:left="0" w:right="0" w:firstLine="644"/>
        <w:outlineLvl w:val="1"/>
        <w:rPr>
          <w:rFonts w:ascii="Sans-serif" w:hAnsi="Sans-serif"/>
          <w:b/>
          <w:i w:val="0"/>
          <w:iCs w:val="0"/>
          <w:caps w:val="0"/>
          <w:smallCaps w:val="0"/>
          <w:vanish w:val="0"/>
          <w:color w:val="000000"/>
          <w:spacing w:val="0"/>
          <w:sz w:val="36"/>
        </w:rPr>
      </w:pPr>
      <w:bookmarkStart w:id="103" w:name="_Toc209510483"/>
      <w:r>
        <w:rPr>
          <w:rStyle w:val="96"/>
          <w:rFonts w:ascii="仿宋" w:eastAsia="仿宋" w:hint="eastAsia"/>
          <w:b/>
          <w:i w:val="0"/>
          <w:iCs w:val="0"/>
          <w:caps w:val="0"/>
          <w:smallCaps w:val="0"/>
          <w:vanish w:val="0"/>
          <w:color w:val="000000"/>
          <w:spacing w:val="0"/>
          <w:sz w:val="32"/>
          <w:szCs w:val="32"/>
          <w:vertAlign w:val="baseline"/>
        </w:rPr>
        <w:t>附录</w:t>
      </w:r>
      <w:r>
        <w:rPr>
          <w:rStyle w:val="96"/>
          <w:rFonts w:ascii="Calibri Light" w:hAnsi="Calibri Light"/>
          <w:b/>
          <w:i w:val="0"/>
          <w:iCs w:val="0"/>
          <w:caps w:val="0"/>
          <w:smallCaps w:val="0"/>
          <w:vanish w:val="0"/>
          <w:color w:val="000000"/>
          <w:spacing w:val="0"/>
          <w:sz w:val="32"/>
          <w:szCs w:val="32"/>
          <w:vertAlign w:val="baseline"/>
        </w:rPr>
        <w:t>2 </w:t>
      </w:r>
      <w:r>
        <w:rPr>
          <w:rStyle w:val="96"/>
          <w:rFonts w:ascii="仿宋" w:eastAsia="仿宋" w:hint="eastAsia"/>
          <w:b/>
          <w:i w:val="0"/>
          <w:iCs w:val="0"/>
          <w:caps w:val="0"/>
          <w:smallCaps w:val="0"/>
          <w:vanish w:val="0"/>
          <w:color w:val="000000"/>
          <w:spacing w:val="0"/>
          <w:sz w:val="32"/>
          <w:szCs w:val="32"/>
          <w:vertAlign w:val="baseline"/>
        </w:rPr>
        <w:t>指标计算规则</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全区规划村庄建设用地规模不得超过</w:t>
      </w:r>
      <w:r>
        <w:rPr>
          <w:rFonts w:ascii="Times New Roman" w:hAnsi="Times New Roman"/>
          <w:b w:val="0"/>
          <w:bCs w:val="0"/>
          <w:i w:val="0"/>
          <w:iCs w:val="0"/>
          <w:caps w:val="0"/>
          <w:smallCaps w:val="0"/>
          <w:vanish w:val="0"/>
          <w:color w:val="auto"/>
          <w:spacing w:val="0"/>
          <w:sz w:val="32"/>
          <w:szCs w:val="32"/>
          <w:vertAlign w:val="baseline"/>
        </w:rPr>
        <w:t>2020</w:t>
      </w:r>
      <w:r>
        <w:rPr>
          <w:rFonts w:ascii="仿宋" w:eastAsia="仿宋" w:hint="eastAsia"/>
          <w:b w:val="0"/>
          <w:bCs w:val="0"/>
          <w:i w:val="0"/>
          <w:iCs w:val="0"/>
          <w:caps w:val="0"/>
          <w:smallCaps w:val="0"/>
          <w:vanish w:val="0"/>
          <w:color w:val="auto"/>
          <w:spacing w:val="0"/>
          <w:sz w:val="32"/>
          <w:szCs w:val="32"/>
          <w:vertAlign w:val="baseline"/>
        </w:rPr>
        <w:t>年度国土变更调查村庄用地（</w:t>
      </w:r>
      <w:r>
        <w:rPr>
          <w:rFonts w:ascii="Times New Roman" w:hAnsi="Times New Roman"/>
          <w:b w:val="0"/>
          <w:bCs w:val="0"/>
          <w:i w:val="0"/>
          <w:iCs w:val="0"/>
          <w:caps w:val="0"/>
          <w:smallCaps w:val="0"/>
          <w:vanish w:val="0"/>
          <w:color w:val="auto"/>
          <w:spacing w:val="0"/>
          <w:sz w:val="32"/>
          <w:szCs w:val="32"/>
          <w:vertAlign w:val="baseline"/>
        </w:rPr>
        <w:t>203</w:t>
      </w:r>
      <w:r>
        <w:rPr>
          <w:rFonts w:ascii="仿宋" w:eastAsia="仿宋" w:hint="eastAsia"/>
          <w:b w:val="0"/>
          <w:bCs w:val="0"/>
          <w:i w:val="0"/>
          <w:iCs w:val="0"/>
          <w:caps w:val="0"/>
          <w:smallCaps w:val="0"/>
          <w:vanish w:val="0"/>
          <w:color w:val="auto"/>
          <w:spacing w:val="0"/>
          <w:sz w:val="32"/>
          <w:szCs w:val="32"/>
          <w:vertAlign w:val="baseline"/>
        </w:rPr>
        <w:t>）规模；</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2.</w:t>
      </w:r>
      <w:r>
        <w:rPr>
          <w:rFonts w:ascii="仿宋" w:eastAsia="仿宋" w:hint="eastAsia"/>
          <w:b w:val="0"/>
          <w:bCs w:val="0"/>
          <w:i w:val="0"/>
          <w:iCs w:val="0"/>
          <w:caps w:val="0"/>
          <w:smallCaps w:val="0"/>
          <w:vanish w:val="0"/>
          <w:color w:val="auto"/>
          <w:spacing w:val="0"/>
          <w:sz w:val="32"/>
          <w:szCs w:val="32"/>
          <w:vertAlign w:val="baseline"/>
        </w:rPr>
        <w:t>各乡（镇）村庄建设规模原则不得突破上位国土空间规划分解下达的村庄建设用地指标，原则上以乡镇为单元进行总量控制，内部平衡，确需突破的进行充分论证；</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3.</w:t>
      </w:r>
      <w:r>
        <w:rPr>
          <w:rFonts w:ascii="仿宋" w:eastAsia="仿宋" w:hint="eastAsia"/>
          <w:b w:val="0"/>
          <w:bCs w:val="0"/>
          <w:i w:val="0"/>
          <w:iCs w:val="0"/>
          <w:caps w:val="0"/>
          <w:smallCaps w:val="0"/>
          <w:vanish w:val="0"/>
          <w:color w:val="auto"/>
          <w:spacing w:val="0"/>
          <w:sz w:val="32"/>
          <w:szCs w:val="32"/>
          <w:vertAlign w:val="baseline"/>
        </w:rPr>
        <w:t>已编村庄规划且已入库的，以数据库的规划村庄建设用地规模为准。</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4.</w:t>
      </w:r>
      <w:r>
        <w:rPr>
          <w:rFonts w:ascii="仿宋" w:eastAsia="仿宋" w:hint="eastAsia"/>
          <w:b w:val="0"/>
          <w:bCs w:val="0"/>
          <w:i w:val="0"/>
          <w:iCs w:val="0"/>
          <w:caps w:val="0"/>
          <w:smallCaps w:val="0"/>
          <w:vanish w:val="0"/>
          <w:color w:val="auto"/>
          <w:spacing w:val="0"/>
          <w:sz w:val="32"/>
          <w:szCs w:val="32"/>
          <w:vertAlign w:val="baseline"/>
        </w:rPr>
        <w:t>已编村庄规划已批但未入库的，原则上以已批的或已承诺的规划村庄建设用地规模为准，乡镇汇总后村庄建设用地规模超出上位国土空间规划下达指标的，需进行调整。</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5.</w:t>
      </w:r>
      <w:r>
        <w:rPr>
          <w:rFonts w:ascii="仿宋" w:eastAsia="仿宋" w:hint="eastAsia"/>
          <w:b w:val="0"/>
          <w:bCs w:val="0"/>
          <w:i w:val="0"/>
          <w:iCs w:val="0"/>
          <w:caps w:val="0"/>
          <w:smallCaps w:val="0"/>
          <w:vanish w:val="0"/>
          <w:color w:val="auto"/>
          <w:spacing w:val="0"/>
          <w:sz w:val="32"/>
          <w:szCs w:val="32"/>
          <w:vertAlign w:val="baseline"/>
        </w:rPr>
        <w:t>调整原则：乡镇政府所在地的村、各乡镇政府提供重点发展的行政村，村庄建设用地指标可适当增加，其他村减量或保持不变。</w:t>
      </w:r>
    </w:p>
    <w:p>
      <w:pPr>
        <w:pStyle w:val="2"/>
        <w:pBdr>
          <w:top w:val="none" w:sz="0" w:space="0" w:color="auto"/>
          <w:left w:val="none" w:sz="0" w:space="0" w:color="auto"/>
          <w:bottom w:val="none" w:sz="0" w:space="0" w:color="auto"/>
          <w:right w:val="none" w:sz="0" w:space="0" w:color="auto"/>
        </w:pBdr>
        <w:bidi w:val="0"/>
        <w:spacing w:before="164" w:beforeAutospacing="0" w:after="74" w:afterAutospacing="0" w:line="240" w:lineRule="auto"/>
        <w:ind w:left="0" w:right="0" w:firstLine="644"/>
        <w:outlineLvl w:val="1"/>
        <w:rPr>
          <w:rFonts w:ascii="Sans-serif" w:hAnsi="Sans-serif"/>
          <w:b/>
          <w:i w:val="0"/>
          <w:iCs w:val="0"/>
          <w:caps w:val="0"/>
          <w:smallCaps w:val="0"/>
          <w:vanish w:val="0"/>
          <w:color w:val="000000"/>
          <w:spacing w:val="0"/>
          <w:sz w:val="36"/>
        </w:rPr>
      </w:pPr>
      <w:bookmarkStart w:id="104" w:name="_Toc209510482"/>
      <w:bookmarkEnd w:id="104"/>
      <w:r>
        <w:rPr>
          <w:rStyle w:val="96"/>
          <w:rFonts w:ascii="仿宋" w:eastAsia="仿宋" w:hint="eastAsia"/>
          <w:b/>
          <w:i w:val="0"/>
          <w:iCs w:val="0"/>
          <w:caps w:val="0"/>
          <w:smallCaps w:val="0"/>
          <w:vanish w:val="0"/>
          <w:color w:val="000000"/>
          <w:spacing w:val="0"/>
          <w:sz w:val="32"/>
          <w:szCs w:val="32"/>
          <w:vertAlign w:val="baseline"/>
        </w:rPr>
        <w:t>附录</w:t>
      </w:r>
      <w:r>
        <w:rPr>
          <w:rStyle w:val="96"/>
          <w:rFonts w:ascii="Calibri Light" w:hAnsi="Calibri Light"/>
          <w:b/>
          <w:i w:val="0"/>
          <w:iCs w:val="0"/>
          <w:caps w:val="0"/>
          <w:smallCaps w:val="0"/>
          <w:vanish w:val="0"/>
          <w:color w:val="000000"/>
          <w:spacing w:val="0"/>
          <w:sz w:val="32"/>
          <w:szCs w:val="32"/>
          <w:vertAlign w:val="baseline"/>
        </w:rPr>
        <w:t>3 </w:t>
      </w:r>
      <w:r>
        <w:rPr>
          <w:rStyle w:val="96"/>
          <w:rFonts w:ascii="仿宋" w:eastAsia="仿宋" w:hint="eastAsia"/>
          <w:b/>
          <w:i w:val="0"/>
          <w:iCs w:val="0"/>
          <w:caps w:val="0"/>
          <w:smallCaps w:val="0"/>
          <w:vanish w:val="0"/>
          <w:color w:val="000000"/>
          <w:spacing w:val="0"/>
          <w:sz w:val="32"/>
          <w:szCs w:val="32"/>
          <w:vertAlign w:val="baseline"/>
        </w:rPr>
        <w:t>引用法律法规、政策文件和标准规范名录</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Style w:val="96"/>
          <w:rFonts w:ascii="仿宋" w:eastAsia="仿宋" w:hint="eastAsia"/>
          <w:b w:val="0"/>
          <w:bCs w:val="0"/>
          <w:i w:val="0"/>
          <w:iCs w:val="0"/>
          <w:caps w:val="0"/>
          <w:smallCaps w:val="0"/>
          <w:vanish w:val="0"/>
          <w:color w:val="auto"/>
          <w:spacing w:val="0"/>
          <w:sz w:val="32"/>
          <w:szCs w:val="32"/>
          <w:vertAlign w:val="baseline"/>
        </w:rPr>
        <w:t>（一）法律法规</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《中华人民共和国土地管理法》（</w:t>
      </w:r>
      <w:r>
        <w:rPr>
          <w:rFonts w:ascii="Times New Roman" w:hAnsi="Times New Roman"/>
          <w:b w:val="0"/>
          <w:bCs w:val="0"/>
          <w:i w:val="0"/>
          <w:iCs w:val="0"/>
          <w:caps w:val="0"/>
          <w:smallCaps w:val="0"/>
          <w:vanish w:val="0"/>
          <w:color w:val="auto"/>
          <w:spacing w:val="0"/>
          <w:sz w:val="32"/>
          <w:szCs w:val="32"/>
          <w:vertAlign w:val="baseline"/>
        </w:rPr>
        <w:t>2019</w:t>
      </w:r>
      <w:r>
        <w:rPr>
          <w:rFonts w:ascii="仿宋" w:eastAsia="仿宋" w:hint="eastAsia"/>
          <w:b w:val="0"/>
          <w:bCs w:val="0"/>
          <w:i w:val="0"/>
          <w:iCs w:val="0"/>
          <w:caps w:val="0"/>
          <w:smallCaps w:val="0"/>
          <w:vanish w:val="0"/>
          <w:color w:val="auto"/>
          <w:spacing w:val="0"/>
          <w:sz w:val="32"/>
          <w:szCs w:val="32"/>
          <w:vertAlign w:val="baseline"/>
        </w:rPr>
        <w:t>年修订）；</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2.</w:t>
      </w:r>
      <w:r>
        <w:rPr>
          <w:rFonts w:ascii="仿宋" w:eastAsia="仿宋" w:hint="eastAsia"/>
          <w:b w:val="0"/>
          <w:bCs w:val="0"/>
          <w:i w:val="0"/>
          <w:iCs w:val="0"/>
          <w:caps w:val="0"/>
          <w:smallCaps w:val="0"/>
          <w:vanish w:val="0"/>
          <w:color w:val="auto"/>
          <w:spacing w:val="0"/>
          <w:sz w:val="32"/>
          <w:szCs w:val="32"/>
          <w:vertAlign w:val="baseline"/>
        </w:rPr>
        <w:t>《中华人民共和国城乡规划法（2019年修正）》</w:t>
      </w:r>
      <w:bookmarkStart w:id="105" w:name="OLE_LINK1"/>
      <w:bookmarkStart w:id="106" w:name="OLE_LINK2"/>
      <w:bookmarkEnd w:id="105"/>
      <w:bookmarkEnd w:id="106"/>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3.</w:t>
      </w:r>
      <w:r>
        <w:rPr>
          <w:rFonts w:ascii="仿宋" w:eastAsia="仿宋" w:hint="eastAsia"/>
          <w:b w:val="0"/>
          <w:bCs w:val="0"/>
          <w:i w:val="0"/>
          <w:iCs w:val="0"/>
          <w:caps w:val="0"/>
          <w:smallCaps w:val="0"/>
          <w:vanish w:val="0"/>
          <w:color w:val="auto"/>
          <w:spacing w:val="0"/>
          <w:sz w:val="32"/>
          <w:szCs w:val="32"/>
          <w:vertAlign w:val="baseline"/>
        </w:rPr>
        <w:t>《中华人民共和国土地管理法实施条例》（</w:t>
      </w:r>
      <w:r>
        <w:rPr>
          <w:rFonts w:ascii="Times New Roman" w:hAnsi="Times New Roman"/>
          <w:b w:val="0"/>
          <w:bCs w:val="0"/>
          <w:i w:val="0"/>
          <w:iCs w:val="0"/>
          <w:caps w:val="0"/>
          <w:smallCaps w:val="0"/>
          <w:vanish w:val="0"/>
          <w:color w:val="auto"/>
          <w:spacing w:val="0"/>
          <w:sz w:val="32"/>
          <w:szCs w:val="32"/>
          <w:vertAlign w:val="baseline"/>
        </w:rPr>
        <w:t>2021</w:t>
      </w:r>
      <w:r>
        <w:rPr>
          <w:rFonts w:ascii="仿宋" w:eastAsia="仿宋" w:hint="eastAsia"/>
          <w:b w:val="0"/>
          <w:bCs w:val="0"/>
          <w:i w:val="0"/>
          <w:iCs w:val="0"/>
          <w:caps w:val="0"/>
          <w:smallCaps w:val="0"/>
          <w:vanish w:val="0"/>
          <w:color w:val="auto"/>
          <w:spacing w:val="0"/>
          <w:sz w:val="32"/>
          <w:szCs w:val="32"/>
          <w:vertAlign w:val="baseline"/>
        </w:rPr>
        <w:t>年修订）；</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4.</w:t>
      </w:r>
      <w:r>
        <w:rPr>
          <w:rFonts w:ascii="仿宋" w:eastAsia="仿宋" w:hint="eastAsia"/>
          <w:b w:val="0"/>
          <w:bCs w:val="0"/>
          <w:i w:val="0"/>
          <w:iCs w:val="0"/>
          <w:caps w:val="0"/>
          <w:smallCaps w:val="0"/>
          <w:vanish w:val="0"/>
          <w:color w:val="auto"/>
          <w:spacing w:val="0"/>
          <w:sz w:val="32"/>
          <w:szCs w:val="32"/>
          <w:vertAlign w:val="baseline"/>
        </w:rPr>
        <w:t>《基本农田保护条例（2011修订）》；</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5.</w:t>
      </w:r>
      <w:r>
        <w:rPr>
          <w:rFonts w:ascii="仿宋" w:eastAsia="仿宋" w:hint="eastAsia"/>
          <w:b w:val="0"/>
          <w:bCs w:val="0"/>
          <w:i w:val="0"/>
          <w:iCs w:val="0"/>
          <w:caps w:val="0"/>
          <w:smallCaps w:val="0"/>
          <w:vanish w:val="0"/>
          <w:color w:val="auto"/>
          <w:spacing w:val="0"/>
          <w:sz w:val="32"/>
          <w:szCs w:val="32"/>
          <w:vertAlign w:val="baseline"/>
        </w:rPr>
        <w:t>《中华人民共和国自然保护区条例》（</w:t>
      </w:r>
      <w:r>
        <w:rPr>
          <w:rFonts w:ascii="Times New Roman" w:hAnsi="Times New Roman"/>
          <w:b w:val="0"/>
          <w:bCs w:val="0"/>
          <w:i w:val="0"/>
          <w:iCs w:val="0"/>
          <w:caps w:val="0"/>
          <w:smallCaps w:val="0"/>
          <w:vanish w:val="0"/>
          <w:color w:val="auto"/>
          <w:spacing w:val="0"/>
          <w:sz w:val="32"/>
          <w:szCs w:val="32"/>
          <w:vertAlign w:val="baseline"/>
        </w:rPr>
        <w:t>2017</w:t>
      </w:r>
      <w:r>
        <w:rPr>
          <w:rFonts w:ascii="仿宋" w:eastAsia="仿宋" w:hint="eastAsia"/>
          <w:b w:val="0"/>
          <w:bCs w:val="0"/>
          <w:i w:val="0"/>
          <w:iCs w:val="0"/>
          <w:caps w:val="0"/>
          <w:smallCaps w:val="0"/>
          <w:vanish w:val="0"/>
          <w:color w:val="auto"/>
          <w:spacing w:val="0"/>
          <w:sz w:val="32"/>
          <w:szCs w:val="32"/>
          <w:vertAlign w:val="baseline"/>
        </w:rPr>
        <w:t>年修订）；</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6.</w:t>
      </w:r>
      <w:r>
        <w:rPr>
          <w:rFonts w:ascii="仿宋" w:eastAsia="仿宋" w:hint="eastAsia"/>
          <w:b w:val="0"/>
          <w:bCs w:val="0"/>
          <w:i w:val="0"/>
          <w:iCs w:val="0"/>
          <w:caps w:val="0"/>
          <w:smallCaps w:val="0"/>
          <w:vanish w:val="0"/>
          <w:color w:val="auto"/>
          <w:spacing w:val="0"/>
          <w:sz w:val="32"/>
          <w:szCs w:val="32"/>
          <w:vertAlign w:val="baseline"/>
        </w:rPr>
        <w:t>《中华人民共和国文物保护法》（</w:t>
      </w:r>
      <w:r>
        <w:rPr>
          <w:rFonts w:ascii="Times New Roman" w:hAnsi="Times New Roman"/>
          <w:b w:val="0"/>
          <w:bCs w:val="0"/>
          <w:i w:val="0"/>
          <w:iCs w:val="0"/>
          <w:caps w:val="0"/>
          <w:smallCaps w:val="0"/>
          <w:vanish w:val="0"/>
          <w:color w:val="auto"/>
          <w:spacing w:val="0"/>
          <w:sz w:val="32"/>
          <w:szCs w:val="32"/>
          <w:vertAlign w:val="baseline"/>
        </w:rPr>
        <w:t>2024</w:t>
      </w:r>
      <w:r>
        <w:rPr>
          <w:rFonts w:ascii="仿宋" w:eastAsia="仿宋" w:hint="eastAsia"/>
          <w:b w:val="0"/>
          <w:bCs w:val="0"/>
          <w:i w:val="0"/>
          <w:iCs w:val="0"/>
          <w:caps w:val="0"/>
          <w:smallCaps w:val="0"/>
          <w:vanish w:val="0"/>
          <w:color w:val="auto"/>
          <w:spacing w:val="0"/>
          <w:sz w:val="32"/>
          <w:szCs w:val="32"/>
          <w:vertAlign w:val="baseline"/>
        </w:rPr>
        <w:t>年修订）；</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7.</w:t>
      </w:r>
      <w:r>
        <w:rPr>
          <w:rFonts w:ascii="仿宋" w:eastAsia="仿宋" w:hint="eastAsia"/>
          <w:b w:val="0"/>
          <w:bCs w:val="0"/>
          <w:i w:val="0"/>
          <w:iCs w:val="0"/>
          <w:caps w:val="0"/>
          <w:smallCaps w:val="0"/>
          <w:vanish w:val="0"/>
          <w:color w:val="auto"/>
          <w:spacing w:val="0"/>
          <w:sz w:val="32"/>
          <w:szCs w:val="32"/>
          <w:vertAlign w:val="baseline"/>
        </w:rPr>
        <w:t>《历史文化名城名镇名村保护条例》（</w:t>
      </w:r>
      <w:r>
        <w:rPr>
          <w:rFonts w:ascii="Times New Roman" w:hAnsi="Times New Roman"/>
          <w:b w:val="0"/>
          <w:bCs w:val="0"/>
          <w:i w:val="0"/>
          <w:iCs w:val="0"/>
          <w:caps w:val="0"/>
          <w:smallCaps w:val="0"/>
          <w:vanish w:val="0"/>
          <w:color w:val="auto"/>
          <w:spacing w:val="0"/>
          <w:sz w:val="32"/>
          <w:szCs w:val="32"/>
          <w:vertAlign w:val="baseline"/>
        </w:rPr>
        <w:t>2008</w:t>
      </w:r>
      <w:r>
        <w:rPr>
          <w:rFonts w:ascii="仿宋" w:eastAsia="仿宋" w:hint="eastAsia"/>
          <w:b w:val="0"/>
          <w:bCs w:val="0"/>
          <w:i w:val="0"/>
          <w:iCs w:val="0"/>
          <w:caps w:val="0"/>
          <w:smallCaps w:val="0"/>
          <w:vanish w:val="0"/>
          <w:color w:val="auto"/>
          <w:spacing w:val="0"/>
          <w:sz w:val="32"/>
          <w:szCs w:val="32"/>
          <w:vertAlign w:val="baseline"/>
        </w:rPr>
        <w:t>年</w:t>
      </w:r>
      <w:r>
        <w:rPr>
          <w:rFonts w:ascii="Times New Roman" w:hAnsi="Times New Roman"/>
          <w:b w:val="0"/>
          <w:bCs w:val="0"/>
          <w:i w:val="0"/>
          <w:iCs w:val="0"/>
          <w:caps w:val="0"/>
          <w:smallCaps w:val="0"/>
          <w:vanish w:val="0"/>
          <w:color w:val="auto"/>
          <w:spacing w:val="0"/>
          <w:sz w:val="32"/>
          <w:szCs w:val="32"/>
          <w:vertAlign w:val="baseline"/>
        </w:rPr>
        <w:t>7</w:t>
      </w:r>
      <w:r>
        <w:rPr>
          <w:rFonts w:ascii="仿宋" w:eastAsia="仿宋" w:hint="eastAsia"/>
          <w:b w:val="0"/>
          <w:bCs w:val="0"/>
          <w:i w:val="0"/>
          <w:iCs w:val="0"/>
          <w:caps w:val="0"/>
          <w:smallCaps w:val="0"/>
          <w:vanish w:val="0"/>
          <w:color w:val="auto"/>
          <w:spacing w:val="0"/>
          <w:sz w:val="32"/>
          <w:szCs w:val="32"/>
          <w:vertAlign w:val="baseline"/>
        </w:rPr>
        <w:t>月</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日起施行）；</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8.</w:t>
      </w:r>
      <w:r>
        <w:rPr>
          <w:rFonts w:ascii="仿宋" w:eastAsia="仿宋" w:hint="eastAsia"/>
          <w:b w:val="0"/>
          <w:bCs w:val="0"/>
          <w:i w:val="0"/>
          <w:iCs w:val="0"/>
          <w:caps w:val="0"/>
          <w:smallCaps w:val="0"/>
          <w:vanish w:val="0"/>
          <w:color w:val="auto"/>
          <w:spacing w:val="0"/>
          <w:sz w:val="32"/>
          <w:szCs w:val="32"/>
          <w:vertAlign w:val="baseline"/>
        </w:rPr>
        <w:t>《饮用水水源保护区污染防治管理规定》（</w:t>
      </w:r>
      <w:r>
        <w:rPr>
          <w:rFonts w:ascii="Times New Roman" w:hAnsi="Times New Roman"/>
          <w:b w:val="0"/>
          <w:bCs w:val="0"/>
          <w:i w:val="0"/>
          <w:iCs w:val="0"/>
          <w:caps w:val="0"/>
          <w:smallCaps w:val="0"/>
          <w:vanish w:val="0"/>
          <w:color w:val="auto"/>
          <w:spacing w:val="0"/>
          <w:sz w:val="32"/>
          <w:szCs w:val="32"/>
          <w:vertAlign w:val="baseline"/>
        </w:rPr>
        <w:t>2010</w:t>
      </w:r>
      <w:r>
        <w:rPr>
          <w:rFonts w:ascii="仿宋" w:eastAsia="仿宋" w:hint="eastAsia"/>
          <w:b w:val="0"/>
          <w:bCs w:val="0"/>
          <w:i w:val="0"/>
          <w:iCs w:val="0"/>
          <w:caps w:val="0"/>
          <w:smallCaps w:val="0"/>
          <w:vanish w:val="0"/>
          <w:color w:val="auto"/>
          <w:spacing w:val="0"/>
          <w:sz w:val="32"/>
          <w:szCs w:val="32"/>
          <w:vertAlign w:val="baseline"/>
        </w:rPr>
        <w:t>年修正）；</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9.</w:t>
      </w:r>
      <w:r>
        <w:rPr>
          <w:rFonts w:ascii="仿宋" w:eastAsia="仿宋" w:hint="eastAsia"/>
          <w:b w:val="0"/>
          <w:bCs w:val="0"/>
          <w:i w:val="0"/>
          <w:iCs w:val="0"/>
          <w:caps w:val="0"/>
          <w:smallCaps w:val="0"/>
          <w:vanish w:val="0"/>
          <w:color w:val="auto"/>
          <w:spacing w:val="0"/>
          <w:sz w:val="32"/>
          <w:szCs w:val="32"/>
          <w:vertAlign w:val="baseline"/>
        </w:rPr>
        <w:t>《风景名胜区条例》（</w:t>
      </w:r>
      <w:r>
        <w:rPr>
          <w:rFonts w:ascii="Times New Roman" w:hAnsi="Times New Roman"/>
          <w:b w:val="0"/>
          <w:bCs w:val="0"/>
          <w:i w:val="0"/>
          <w:iCs w:val="0"/>
          <w:caps w:val="0"/>
          <w:smallCaps w:val="0"/>
          <w:vanish w:val="0"/>
          <w:color w:val="auto"/>
          <w:spacing w:val="0"/>
          <w:sz w:val="32"/>
          <w:szCs w:val="32"/>
          <w:vertAlign w:val="baseline"/>
        </w:rPr>
        <w:t>2006</w:t>
      </w:r>
      <w:r>
        <w:rPr>
          <w:rFonts w:ascii="仿宋" w:eastAsia="仿宋" w:hint="eastAsia"/>
          <w:b w:val="0"/>
          <w:bCs w:val="0"/>
          <w:i w:val="0"/>
          <w:iCs w:val="0"/>
          <w:caps w:val="0"/>
          <w:smallCaps w:val="0"/>
          <w:vanish w:val="0"/>
          <w:color w:val="auto"/>
          <w:spacing w:val="0"/>
          <w:sz w:val="32"/>
          <w:szCs w:val="32"/>
          <w:vertAlign w:val="baseline"/>
        </w:rPr>
        <w:t>年</w:t>
      </w:r>
      <w:r>
        <w:rPr>
          <w:rFonts w:ascii="Times New Roman" w:hAnsi="Times New Roman"/>
          <w:b w:val="0"/>
          <w:bCs w:val="0"/>
          <w:i w:val="0"/>
          <w:iCs w:val="0"/>
          <w:caps w:val="0"/>
          <w:smallCaps w:val="0"/>
          <w:vanish w:val="0"/>
          <w:color w:val="auto"/>
          <w:spacing w:val="0"/>
          <w:sz w:val="32"/>
          <w:szCs w:val="32"/>
          <w:vertAlign w:val="baseline"/>
        </w:rPr>
        <w:t>12</w:t>
      </w:r>
      <w:r>
        <w:rPr>
          <w:rFonts w:ascii="仿宋" w:eastAsia="仿宋" w:hint="eastAsia"/>
          <w:b w:val="0"/>
          <w:bCs w:val="0"/>
          <w:i w:val="0"/>
          <w:iCs w:val="0"/>
          <w:caps w:val="0"/>
          <w:smallCaps w:val="0"/>
          <w:vanish w:val="0"/>
          <w:color w:val="auto"/>
          <w:spacing w:val="0"/>
          <w:sz w:val="32"/>
          <w:szCs w:val="32"/>
          <w:vertAlign w:val="baseline"/>
        </w:rPr>
        <w:t>月</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日起施行）；</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10.</w:t>
      </w:r>
      <w:r>
        <w:rPr>
          <w:rFonts w:ascii="仿宋" w:eastAsia="仿宋" w:hint="eastAsia"/>
          <w:b w:val="0"/>
          <w:bCs w:val="0"/>
          <w:i w:val="0"/>
          <w:iCs w:val="0"/>
          <w:caps w:val="0"/>
          <w:smallCaps w:val="0"/>
          <w:vanish w:val="0"/>
          <w:color w:val="auto"/>
          <w:spacing w:val="0"/>
          <w:sz w:val="32"/>
          <w:szCs w:val="32"/>
          <w:vertAlign w:val="baseline"/>
        </w:rPr>
        <w:t>《公路安全保护条例》（</w:t>
      </w:r>
      <w:r>
        <w:rPr>
          <w:rFonts w:ascii="Times New Roman" w:hAnsi="Times New Roman"/>
          <w:b w:val="0"/>
          <w:bCs w:val="0"/>
          <w:i w:val="0"/>
          <w:iCs w:val="0"/>
          <w:caps w:val="0"/>
          <w:smallCaps w:val="0"/>
          <w:vanish w:val="0"/>
          <w:color w:val="auto"/>
          <w:spacing w:val="0"/>
          <w:sz w:val="32"/>
          <w:szCs w:val="32"/>
          <w:vertAlign w:val="baseline"/>
        </w:rPr>
        <w:t>2011</w:t>
      </w:r>
      <w:r>
        <w:rPr>
          <w:rFonts w:ascii="仿宋" w:eastAsia="仿宋" w:hint="eastAsia"/>
          <w:b w:val="0"/>
          <w:bCs w:val="0"/>
          <w:i w:val="0"/>
          <w:iCs w:val="0"/>
          <w:caps w:val="0"/>
          <w:smallCaps w:val="0"/>
          <w:vanish w:val="0"/>
          <w:color w:val="auto"/>
          <w:spacing w:val="0"/>
          <w:sz w:val="32"/>
          <w:szCs w:val="32"/>
          <w:vertAlign w:val="baseline"/>
        </w:rPr>
        <w:t>年</w:t>
      </w:r>
      <w:r>
        <w:rPr>
          <w:rFonts w:ascii="Times New Roman" w:hAnsi="Times New Roman"/>
          <w:b w:val="0"/>
          <w:bCs w:val="0"/>
          <w:i w:val="0"/>
          <w:iCs w:val="0"/>
          <w:caps w:val="0"/>
          <w:smallCaps w:val="0"/>
          <w:vanish w:val="0"/>
          <w:color w:val="auto"/>
          <w:spacing w:val="0"/>
          <w:sz w:val="32"/>
          <w:szCs w:val="32"/>
          <w:vertAlign w:val="baseline"/>
        </w:rPr>
        <w:t>7</w:t>
      </w:r>
      <w:r>
        <w:rPr>
          <w:rFonts w:ascii="仿宋" w:eastAsia="仿宋" w:hint="eastAsia"/>
          <w:b w:val="0"/>
          <w:bCs w:val="0"/>
          <w:i w:val="0"/>
          <w:iCs w:val="0"/>
          <w:caps w:val="0"/>
          <w:smallCaps w:val="0"/>
          <w:vanish w:val="0"/>
          <w:color w:val="auto"/>
          <w:spacing w:val="0"/>
          <w:sz w:val="32"/>
          <w:szCs w:val="32"/>
          <w:vertAlign w:val="baseline"/>
        </w:rPr>
        <w:t>月</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日起施行）；</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11.</w:t>
      </w:r>
      <w:r>
        <w:rPr>
          <w:rFonts w:ascii="仿宋" w:eastAsia="仿宋" w:hint="eastAsia"/>
          <w:b w:val="0"/>
          <w:bCs w:val="0"/>
          <w:i w:val="0"/>
          <w:iCs w:val="0"/>
          <w:caps w:val="0"/>
          <w:smallCaps w:val="0"/>
          <w:vanish w:val="0"/>
          <w:color w:val="auto"/>
          <w:spacing w:val="0"/>
          <w:sz w:val="32"/>
          <w:szCs w:val="32"/>
          <w:vertAlign w:val="baseline"/>
        </w:rPr>
        <w:t>《铁路安全管理条例》（</w:t>
      </w:r>
      <w:r>
        <w:rPr>
          <w:rFonts w:ascii="Times New Roman" w:hAnsi="Times New Roman"/>
          <w:b w:val="0"/>
          <w:bCs w:val="0"/>
          <w:i w:val="0"/>
          <w:iCs w:val="0"/>
          <w:caps w:val="0"/>
          <w:smallCaps w:val="0"/>
          <w:vanish w:val="0"/>
          <w:color w:val="auto"/>
          <w:spacing w:val="0"/>
          <w:sz w:val="32"/>
          <w:szCs w:val="32"/>
          <w:vertAlign w:val="baseline"/>
        </w:rPr>
        <w:t>2014</w:t>
      </w:r>
      <w:r>
        <w:rPr>
          <w:rFonts w:ascii="仿宋" w:eastAsia="仿宋" w:hint="eastAsia"/>
          <w:b w:val="0"/>
          <w:bCs w:val="0"/>
          <w:i w:val="0"/>
          <w:iCs w:val="0"/>
          <w:caps w:val="0"/>
          <w:smallCaps w:val="0"/>
          <w:vanish w:val="0"/>
          <w:color w:val="auto"/>
          <w:spacing w:val="0"/>
          <w:sz w:val="32"/>
          <w:szCs w:val="32"/>
          <w:vertAlign w:val="baseline"/>
        </w:rPr>
        <w:t>年</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月</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日起施行）；</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12.</w:t>
      </w:r>
      <w:r>
        <w:rPr>
          <w:rFonts w:ascii="仿宋" w:eastAsia="仿宋" w:hint="eastAsia"/>
          <w:b w:val="0"/>
          <w:bCs w:val="0"/>
          <w:i w:val="0"/>
          <w:iCs w:val="0"/>
          <w:caps w:val="0"/>
          <w:smallCaps w:val="0"/>
          <w:vanish w:val="0"/>
          <w:color w:val="auto"/>
          <w:spacing w:val="0"/>
          <w:sz w:val="32"/>
          <w:szCs w:val="32"/>
          <w:vertAlign w:val="baseline"/>
        </w:rPr>
        <w:t>《广西壮族自治区农村公路条例》（</w:t>
      </w:r>
      <w:r>
        <w:rPr>
          <w:rFonts w:ascii="Times New Roman" w:hAnsi="Times New Roman"/>
          <w:b w:val="0"/>
          <w:bCs w:val="0"/>
          <w:i w:val="0"/>
          <w:iCs w:val="0"/>
          <w:caps w:val="0"/>
          <w:smallCaps w:val="0"/>
          <w:vanish w:val="0"/>
          <w:color w:val="auto"/>
          <w:spacing w:val="0"/>
          <w:sz w:val="32"/>
          <w:szCs w:val="32"/>
          <w:vertAlign w:val="baseline"/>
        </w:rPr>
        <w:t>2022</w:t>
      </w:r>
      <w:r>
        <w:rPr>
          <w:rFonts w:ascii="仿宋" w:eastAsia="仿宋" w:hint="eastAsia"/>
          <w:b w:val="0"/>
          <w:bCs w:val="0"/>
          <w:i w:val="0"/>
          <w:iCs w:val="0"/>
          <w:caps w:val="0"/>
          <w:smallCaps w:val="0"/>
          <w:vanish w:val="0"/>
          <w:color w:val="auto"/>
          <w:spacing w:val="0"/>
          <w:sz w:val="32"/>
          <w:szCs w:val="32"/>
          <w:vertAlign w:val="baseline"/>
        </w:rPr>
        <w:t>年</w:t>
      </w:r>
      <w:r>
        <w:rPr>
          <w:rFonts w:ascii="Times New Roman" w:hAnsi="Times New Roman"/>
          <w:b w:val="0"/>
          <w:bCs w:val="0"/>
          <w:i w:val="0"/>
          <w:iCs w:val="0"/>
          <w:caps w:val="0"/>
          <w:smallCaps w:val="0"/>
          <w:vanish w:val="0"/>
          <w:color w:val="auto"/>
          <w:spacing w:val="0"/>
          <w:sz w:val="32"/>
          <w:szCs w:val="32"/>
          <w:vertAlign w:val="baseline"/>
        </w:rPr>
        <w:t>10</w:t>
      </w:r>
      <w:r>
        <w:rPr>
          <w:rFonts w:ascii="仿宋" w:eastAsia="仿宋" w:hint="eastAsia"/>
          <w:b w:val="0"/>
          <w:bCs w:val="0"/>
          <w:i w:val="0"/>
          <w:iCs w:val="0"/>
          <w:caps w:val="0"/>
          <w:smallCaps w:val="0"/>
          <w:vanish w:val="0"/>
          <w:color w:val="auto"/>
          <w:spacing w:val="0"/>
          <w:sz w:val="32"/>
          <w:szCs w:val="32"/>
          <w:vertAlign w:val="baseline"/>
        </w:rPr>
        <w:t>月</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日起施行）；</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13.</w:t>
      </w:r>
      <w:r>
        <w:rPr>
          <w:rFonts w:ascii="仿宋" w:eastAsia="仿宋" w:hint="eastAsia"/>
          <w:b w:val="0"/>
          <w:bCs w:val="0"/>
          <w:i w:val="0"/>
          <w:iCs w:val="0"/>
          <w:caps w:val="0"/>
          <w:smallCaps w:val="0"/>
          <w:vanish w:val="0"/>
          <w:color w:val="auto"/>
          <w:spacing w:val="0"/>
          <w:sz w:val="32"/>
          <w:szCs w:val="32"/>
          <w:vertAlign w:val="baseline"/>
        </w:rPr>
        <w:t>《广西壮族自治区铁路安全管理条例》（</w:t>
      </w:r>
      <w:r>
        <w:rPr>
          <w:rFonts w:ascii="Times New Roman" w:hAnsi="Times New Roman"/>
          <w:b w:val="0"/>
          <w:bCs w:val="0"/>
          <w:i w:val="0"/>
          <w:iCs w:val="0"/>
          <w:caps w:val="0"/>
          <w:smallCaps w:val="0"/>
          <w:vanish w:val="0"/>
          <w:color w:val="auto"/>
          <w:spacing w:val="0"/>
          <w:sz w:val="32"/>
          <w:szCs w:val="32"/>
          <w:vertAlign w:val="baseline"/>
        </w:rPr>
        <w:t>2019</w:t>
      </w:r>
      <w:r>
        <w:rPr>
          <w:rFonts w:ascii="仿宋" w:eastAsia="仿宋" w:hint="eastAsia"/>
          <w:b w:val="0"/>
          <w:bCs w:val="0"/>
          <w:i w:val="0"/>
          <w:iCs w:val="0"/>
          <w:caps w:val="0"/>
          <w:smallCaps w:val="0"/>
          <w:vanish w:val="0"/>
          <w:color w:val="auto"/>
          <w:spacing w:val="0"/>
          <w:sz w:val="32"/>
          <w:szCs w:val="32"/>
          <w:vertAlign w:val="baseline"/>
        </w:rPr>
        <w:t>年</w:t>
      </w:r>
      <w:r>
        <w:rPr>
          <w:rFonts w:ascii="Times New Roman" w:hAnsi="Times New Roman"/>
          <w:b w:val="0"/>
          <w:bCs w:val="0"/>
          <w:i w:val="0"/>
          <w:iCs w:val="0"/>
          <w:caps w:val="0"/>
          <w:smallCaps w:val="0"/>
          <w:vanish w:val="0"/>
          <w:color w:val="auto"/>
          <w:spacing w:val="0"/>
          <w:sz w:val="32"/>
          <w:szCs w:val="32"/>
          <w:vertAlign w:val="baseline"/>
        </w:rPr>
        <w:t>10</w:t>
      </w:r>
      <w:r>
        <w:rPr>
          <w:rFonts w:ascii="仿宋" w:eastAsia="仿宋" w:hint="eastAsia"/>
          <w:b w:val="0"/>
          <w:bCs w:val="0"/>
          <w:i w:val="0"/>
          <w:iCs w:val="0"/>
          <w:caps w:val="0"/>
          <w:smallCaps w:val="0"/>
          <w:vanish w:val="0"/>
          <w:color w:val="auto"/>
          <w:spacing w:val="0"/>
          <w:sz w:val="32"/>
          <w:szCs w:val="32"/>
          <w:vertAlign w:val="baseline"/>
        </w:rPr>
        <w:t>月</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日起施行）；</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14.</w:t>
      </w:r>
      <w:r>
        <w:rPr>
          <w:rFonts w:ascii="仿宋" w:eastAsia="仿宋" w:hint="eastAsia"/>
          <w:b w:val="0"/>
          <w:bCs w:val="0"/>
          <w:i w:val="0"/>
          <w:iCs w:val="0"/>
          <w:caps w:val="0"/>
          <w:smallCaps w:val="0"/>
          <w:vanish w:val="0"/>
          <w:color w:val="auto"/>
          <w:spacing w:val="0"/>
          <w:sz w:val="32"/>
          <w:szCs w:val="32"/>
          <w:vertAlign w:val="baseline"/>
        </w:rPr>
        <w:t>《广西壮族自治区农村公路管理办法》（</w:t>
      </w:r>
      <w:r>
        <w:rPr>
          <w:rFonts w:ascii="Times New Roman" w:hAnsi="Times New Roman"/>
          <w:b w:val="0"/>
          <w:bCs w:val="0"/>
          <w:i w:val="0"/>
          <w:iCs w:val="0"/>
          <w:caps w:val="0"/>
          <w:smallCaps w:val="0"/>
          <w:vanish w:val="0"/>
          <w:color w:val="auto"/>
          <w:spacing w:val="0"/>
          <w:sz w:val="32"/>
          <w:szCs w:val="32"/>
          <w:vertAlign w:val="baseline"/>
        </w:rPr>
        <w:t>2017</w:t>
      </w:r>
      <w:r>
        <w:rPr>
          <w:rFonts w:ascii="仿宋" w:eastAsia="仿宋" w:hint="eastAsia"/>
          <w:b w:val="0"/>
          <w:bCs w:val="0"/>
          <w:i w:val="0"/>
          <w:iCs w:val="0"/>
          <w:caps w:val="0"/>
          <w:smallCaps w:val="0"/>
          <w:vanish w:val="0"/>
          <w:color w:val="auto"/>
          <w:spacing w:val="0"/>
          <w:sz w:val="32"/>
          <w:szCs w:val="32"/>
          <w:vertAlign w:val="baseline"/>
        </w:rPr>
        <w:t>年</w:t>
      </w:r>
      <w:r>
        <w:rPr>
          <w:rFonts w:ascii="Times New Roman" w:hAnsi="Times New Roman"/>
          <w:b w:val="0"/>
          <w:bCs w:val="0"/>
          <w:i w:val="0"/>
          <w:iCs w:val="0"/>
          <w:caps w:val="0"/>
          <w:smallCaps w:val="0"/>
          <w:vanish w:val="0"/>
          <w:color w:val="auto"/>
          <w:spacing w:val="0"/>
          <w:sz w:val="32"/>
          <w:szCs w:val="32"/>
          <w:vertAlign w:val="baseline"/>
        </w:rPr>
        <w:t>3</w:t>
      </w:r>
      <w:r>
        <w:rPr>
          <w:rFonts w:ascii="仿宋" w:eastAsia="仿宋" w:hint="eastAsia"/>
          <w:b w:val="0"/>
          <w:bCs w:val="0"/>
          <w:i w:val="0"/>
          <w:iCs w:val="0"/>
          <w:caps w:val="0"/>
          <w:smallCaps w:val="0"/>
          <w:vanish w:val="0"/>
          <w:color w:val="auto"/>
          <w:spacing w:val="0"/>
          <w:sz w:val="32"/>
          <w:szCs w:val="32"/>
          <w:vertAlign w:val="baseline"/>
        </w:rPr>
        <w:t>月</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日起施行）。</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 xml:space="preserve"> </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Style w:val="96"/>
          <w:rFonts w:ascii="仿宋" w:eastAsia="仿宋" w:hint="eastAsia"/>
          <w:b w:val="0"/>
          <w:bCs w:val="0"/>
          <w:i w:val="0"/>
          <w:iCs w:val="0"/>
          <w:caps w:val="0"/>
          <w:smallCaps w:val="0"/>
          <w:vanish w:val="0"/>
          <w:color w:val="auto"/>
          <w:spacing w:val="0"/>
          <w:sz w:val="32"/>
          <w:szCs w:val="32"/>
          <w:vertAlign w:val="baseline"/>
        </w:rPr>
        <w:t>（二）标准规范</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《社区生活圈规划技术指南》（</w:t>
      </w:r>
      <w:r>
        <w:rPr>
          <w:rFonts w:ascii="Times New Roman" w:hAnsi="Times New Roman"/>
          <w:b w:val="0"/>
          <w:bCs w:val="0"/>
          <w:i w:val="0"/>
          <w:iCs w:val="0"/>
          <w:caps w:val="0"/>
          <w:smallCaps w:val="0"/>
          <w:vanish w:val="0"/>
          <w:color w:val="auto"/>
          <w:spacing w:val="0"/>
          <w:sz w:val="32"/>
          <w:szCs w:val="32"/>
          <w:vertAlign w:val="baseline"/>
        </w:rPr>
        <w:t>TD/T1062-2021</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2.</w:t>
      </w:r>
      <w:r>
        <w:rPr>
          <w:rFonts w:ascii="仿宋" w:eastAsia="仿宋" w:hint="eastAsia"/>
          <w:b w:val="0"/>
          <w:bCs w:val="0"/>
          <w:i w:val="0"/>
          <w:iCs w:val="0"/>
          <w:caps w:val="0"/>
          <w:smallCaps w:val="0"/>
          <w:vanish w:val="0"/>
          <w:color w:val="auto"/>
          <w:spacing w:val="0"/>
          <w:sz w:val="32"/>
          <w:szCs w:val="32"/>
          <w:vertAlign w:val="baseline"/>
        </w:rPr>
        <w:t>《幼儿园建设标准》（建标</w:t>
      </w:r>
      <w:r>
        <w:rPr>
          <w:rFonts w:ascii="Times New Roman" w:hAnsi="Times New Roman"/>
          <w:b w:val="0"/>
          <w:bCs w:val="0"/>
          <w:i w:val="0"/>
          <w:iCs w:val="0"/>
          <w:caps w:val="0"/>
          <w:smallCaps w:val="0"/>
          <w:vanish w:val="0"/>
          <w:color w:val="auto"/>
          <w:spacing w:val="0"/>
          <w:sz w:val="32"/>
          <w:szCs w:val="32"/>
          <w:vertAlign w:val="baseline"/>
        </w:rPr>
        <w:t> 175-2016</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3.</w:t>
      </w:r>
      <w:r>
        <w:rPr>
          <w:rFonts w:ascii="仿宋" w:eastAsia="仿宋" w:hint="eastAsia"/>
          <w:b w:val="0"/>
          <w:bCs w:val="0"/>
          <w:i w:val="0"/>
          <w:iCs w:val="0"/>
          <w:caps w:val="0"/>
          <w:smallCaps w:val="0"/>
          <w:vanish w:val="0"/>
          <w:color w:val="auto"/>
          <w:spacing w:val="0"/>
          <w:sz w:val="32"/>
          <w:szCs w:val="32"/>
          <w:vertAlign w:val="baseline"/>
        </w:rPr>
        <w:t>《中小学校建筑设计规范》（</w:t>
      </w:r>
      <w:r>
        <w:rPr>
          <w:rFonts w:ascii="Times New Roman" w:hAnsi="Times New Roman"/>
          <w:b w:val="0"/>
          <w:bCs w:val="0"/>
          <w:i w:val="0"/>
          <w:iCs w:val="0"/>
          <w:caps w:val="0"/>
          <w:smallCaps w:val="0"/>
          <w:vanish w:val="0"/>
          <w:color w:val="auto"/>
          <w:spacing w:val="0"/>
          <w:sz w:val="32"/>
          <w:szCs w:val="32"/>
          <w:vertAlign w:val="baseline"/>
        </w:rPr>
        <w:t>GB 50099-2011</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4.</w:t>
      </w:r>
      <w:r>
        <w:rPr>
          <w:rFonts w:ascii="仿宋" w:eastAsia="仿宋" w:hint="eastAsia"/>
          <w:b w:val="0"/>
          <w:bCs w:val="0"/>
          <w:i w:val="0"/>
          <w:iCs w:val="0"/>
          <w:caps w:val="0"/>
          <w:smallCaps w:val="0"/>
          <w:vanish w:val="0"/>
          <w:color w:val="auto"/>
          <w:spacing w:val="0"/>
          <w:sz w:val="32"/>
          <w:szCs w:val="32"/>
          <w:vertAlign w:val="baseline"/>
        </w:rPr>
        <w:t>《中小学校设计规范》（</w:t>
      </w:r>
      <w:r>
        <w:rPr>
          <w:rFonts w:ascii="Times New Roman" w:hAnsi="Times New Roman"/>
          <w:b w:val="0"/>
          <w:bCs w:val="0"/>
          <w:i w:val="0"/>
          <w:iCs w:val="0"/>
          <w:caps w:val="0"/>
          <w:smallCaps w:val="0"/>
          <w:vanish w:val="0"/>
          <w:color w:val="auto"/>
          <w:spacing w:val="0"/>
          <w:sz w:val="32"/>
          <w:szCs w:val="32"/>
          <w:vertAlign w:val="baseline"/>
        </w:rPr>
        <w:t>GB 50099-2011</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5.</w:t>
      </w:r>
      <w:r>
        <w:rPr>
          <w:rFonts w:ascii="仿宋" w:eastAsia="仿宋" w:hint="eastAsia"/>
          <w:b w:val="0"/>
          <w:bCs w:val="0"/>
          <w:i w:val="0"/>
          <w:iCs w:val="0"/>
          <w:caps w:val="0"/>
          <w:smallCaps w:val="0"/>
          <w:vanish w:val="0"/>
          <w:color w:val="auto"/>
          <w:spacing w:val="0"/>
          <w:sz w:val="32"/>
          <w:szCs w:val="32"/>
          <w:vertAlign w:val="baseline"/>
        </w:rPr>
        <w:t>《农村普通中小学校建设标准》（建标</w:t>
      </w:r>
      <w:r>
        <w:rPr>
          <w:rFonts w:ascii="Times New Roman" w:hAnsi="Times New Roman"/>
          <w:b w:val="0"/>
          <w:bCs w:val="0"/>
          <w:i w:val="0"/>
          <w:iCs w:val="0"/>
          <w:caps w:val="0"/>
          <w:smallCaps w:val="0"/>
          <w:vanish w:val="0"/>
          <w:color w:val="auto"/>
          <w:spacing w:val="0"/>
          <w:sz w:val="32"/>
          <w:szCs w:val="32"/>
          <w:vertAlign w:val="baseline"/>
        </w:rPr>
        <w:t>109-2008</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6.</w:t>
      </w:r>
      <w:r>
        <w:rPr>
          <w:rFonts w:ascii="仿宋" w:eastAsia="仿宋" w:hint="eastAsia"/>
          <w:b w:val="0"/>
          <w:bCs w:val="0"/>
          <w:i w:val="0"/>
          <w:iCs w:val="0"/>
          <w:caps w:val="0"/>
          <w:smallCaps w:val="0"/>
          <w:vanish w:val="0"/>
          <w:color w:val="auto"/>
          <w:spacing w:val="0"/>
          <w:sz w:val="32"/>
          <w:szCs w:val="32"/>
          <w:vertAlign w:val="baseline"/>
        </w:rPr>
        <w:t>《托儿所、幼儿园建筑设计规范（</w:t>
      </w:r>
      <w:r>
        <w:rPr>
          <w:rFonts w:ascii="Times New Roman" w:hAnsi="Times New Roman"/>
          <w:b w:val="0"/>
          <w:bCs w:val="0"/>
          <w:i w:val="0"/>
          <w:iCs w:val="0"/>
          <w:caps w:val="0"/>
          <w:smallCaps w:val="0"/>
          <w:vanish w:val="0"/>
          <w:color w:val="auto"/>
          <w:spacing w:val="0"/>
          <w:sz w:val="32"/>
          <w:szCs w:val="32"/>
          <w:vertAlign w:val="baseline"/>
        </w:rPr>
        <w:t>2019</w:t>
      </w:r>
      <w:r>
        <w:rPr>
          <w:rFonts w:ascii="仿宋" w:eastAsia="仿宋" w:hint="eastAsia"/>
          <w:b w:val="0"/>
          <w:bCs w:val="0"/>
          <w:i w:val="0"/>
          <w:iCs w:val="0"/>
          <w:caps w:val="0"/>
          <w:smallCaps w:val="0"/>
          <w:vanish w:val="0"/>
          <w:color w:val="auto"/>
          <w:spacing w:val="0"/>
          <w:sz w:val="32"/>
          <w:szCs w:val="32"/>
          <w:vertAlign w:val="baseline"/>
        </w:rPr>
        <w:t>年版）》（</w:t>
      </w:r>
      <w:r>
        <w:rPr>
          <w:rFonts w:ascii="Times New Roman" w:hAnsi="Times New Roman"/>
          <w:b w:val="0"/>
          <w:bCs w:val="0"/>
          <w:i w:val="0"/>
          <w:iCs w:val="0"/>
          <w:caps w:val="0"/>
          <w:smallCaps w:val="0"/>
          <w:vanish w:val="0"/>
          <w:color w:val="auto"/>
          <w:spacing w:val="0"/>
          <w:sz w:val="32"/>
          <w:szCs w:val="32"/>
          <w:vertAlign w:val="baseline"/>
        </w:rPr>
        <w:t>JGJ39-2016</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7.</w:t>
      </w:r>
      <w:r>
        <w:rPr>
          <w:rFonts w:ascii="仿宋" w:eastAsia="仿宋" w:hint="eastAsia"/>
          <w:b w:val="0"/>
          <w:bCs w:val="0"/>
          <w:i w:val="0"/>
          <w:iCs w:val="0"/>
          <w:caps w:val="0"/>
          <w:smallCaps w:val="0"/>
          <w:vanish w:val="0"/>
          <w:color w:val="auto"/>
          <w:spacing w:val="0"/>
          <w:sz w:val="32"/>
          <w:szCs w:val="32"/>
          <w:vertAlign w:val="baseline"/>
        </w:rPr>
        <w:t>《民用建筑统一标准》（</w:t>
      </w:r>
      <w:r>
        <w:rPr>
          <w:rFonts w:ascii="Times New Roman" w:hAnsi="Times New Roman"/>
          <w:b w:val="0"/>
          <w:bCs w:val="0"/>
          <w:i w:val="0"/>
          <w:iCs w:val="0"/>
          <w:caps w:val="0"/>
          <w:smallCaps w:val="0"/>
          <w:vanish w:val="0"/>
          <w:color w:val="auto"/>
          <w:spacing w:val="0"/>
          <w:sz w:val="32"/>
          <w:szCs w:val="32"/>
          <w:vertAlign w:val="baseline"/>
        </w:rPr>
        <w:t>GB 50352-2019</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8.</w:t>
      </w:r>
      <w:r>
        <w:rPr>
          <w:rFonts w:ascii="仿宋" w:eastAsia="仿宋" w:hint="eastAsia"/>
          <w:b w:val="0"/>
          <w:bCs w:val="0"/>
          <w:i w:val="0"/>
          <w:iCs w:val="0"/>
          <w:caps w:val="0"/>
          <w:smallCaps w:val="0"/>
          <w:vanish w:val="0"/>
          <w:color w:val="auto"/>
          <w:spacing w:val="0"/>
          <w:sz w:val="32"/>
          <w:szCs w:val="32"/>
          <w:vertAlign w:val="baseline"/>
        </w:rPr>
        <w:t>《城乡排水工程项目规范》（</w:t>
      </w:r>
      <w:r>
        <w:rPr>
          <w:rFonts w:ascii="Times New Roman" w:hAnsi="Times New Roman"/>
          <w:b w:val="0"/>
          <w:bCs w:val="0"/>
          <w:i w:val="0"/>
          <w:iCs w:val="0"/>
          <w:caps w:val="0"/>
          <w:smallCaps w:val="0"/>
          <w:vanish w:val="0"/>
          <w:color w:val="auto"/>
          <w:spacing w:val="0"/>
          <w:sz w:val="32"/>
          <w:szCs w:val="32"/>
          <w:vertAlign w:val="baseline"/>
        </w:rPr>
        <w:t>GB 55027-2022</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9.</w:t>
      </w:r>
      <w:r>
        <w:rPr>
          <w:rFonts w:ascii="仿宋" w:eastAsia="仿宋" w:hint="eastAsia"/>
          <w:b w:val="0"/>
          <w:bCs w:val="0"/>
          <w:i w:val="0"/>
          <w:iCs w:val="0"/>
          <w:caps w:val="0"/>
          <w:smallCaps w:val="0"/>
          <w:vanish w:val="0"/>
          <w:color w:val="auto"/>
          <w:spacing w:val="0"/>
          <w:sz w:val="32"/>
          <w:szCs w:val="32"/>
          <w:vertAlign w:val="baseline"/>
        </w:rPr>
        <w:t>《城市排水工程规划规范》（</w:t>
      </w:r>
      <w:r>
        <w:rPr>
          <w:rFonts w:ascii="Times New Roman" w:hAnsi="Times New Roman"/>
          <w:b w:val="0"/>
          <w:bCs w:val="0"/>
          <w:i w:val="0"/>
          <w:iCs w:val="0"/>
          <w:caps w:val="0"/>
          <w:smallCaps w:val="0"/>
          <w:vanish w:val="0"/>
          <w:color w:val="auto"/>
          <w:spacing w:val="0"/>
          <w:sz w:val="32"/>
          <w:szCs w:val="32"/>
          <w:vertAlign w:val="baseline"/>
        </w:rPr>
        <w:t>GB 50318-2017</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10.</w:t>
      </w:r>
      <w:r>
        <w:rPr>
          <w:rFonts w:ascii="仿宋" w:eastAsia="仿宋" w:hint="eastAsia"/>
          <w:b w:val="0"/>
          <w:bCs w:val="0"/>
          <w:i w:val="0"/>
          <w:iCs w:val="0"/>
          <w:caps w:val="0"/>
          <w:smallCaps w:val="0"/>
          <w:vanish w:val="0"/>
          <w:color w:val="auto"/>
          <w:spacing w:val="0"/>
          <w:sz w:val="32"/>
          <w:szCs w:val="32"/>
          <w:vertAlign w:val="baseline"/>
        </w:rPr>
        <w:t>《生活饮用水卫生标准》（</w:t>
      </w:r>
      <w:r>
        <w:rPr>
          <w:rFonts w:ascii="Times New Roman" w:hAnsi="Times New Roman"/>
          <w:b w:val="0"/>
          <w:bCs w:val="0"/>
          <w:i w:val="0"/>
          <w:iCs w:val="0"/>
          <w:caps w:val="0"/>
          <w:smallCaps w:val="0"/>
          <w:vanish w:val="0"/>
          <w:color w:val="auto"/>
          <w:spacing w:val="0"/>
          <w:sz w:val="32"/>
          <w:szCs w:val="32"/>
          <w:vertAlign w:val="baseline"/>
        </w:rPr>
        <w:t>GB5749-2022</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11.</w:t>
      </w:r>
      <w:r>
        <w:rPr>
          <w:rFonts w:ascii="仿宋" w:eastAsia="仿宋" w:hint="eastAsia"/>
          <w:b w:val="0"/>
          <w:bCs w:val="0"/>
          <w:i w:val="0"/>
          <w:iCs w:val="0"/>
          <w:caps w:val="0"/>
          <w:smallCaps w:val="0"/>
          <w:vanish w:val="0"/>
          <w:color w:val="auto"/>
          <w:spacing w:val="0"/>
          <w:sz w:val="32"/>
          <w:szCs w:val="32"/>
          <w:vertAlign w:val="baseline"/>
        </w:rPr>
        <w:t>《农村集中式供水卫生规范》（</w:t>
      </w:r>
      <w:r>
        <w:rPr>
          <w:rFonts w:ascii="Times New Roman" w:hAnsi="Times New Roman"/>
          <w:b w:val="0"/>
          <w:bCs w:val="0"/>
          <w:i w:val="0"/>
          <w:iCs w:val="0"/>
          <w:caps w:val="0"/>
          <w:smallCaps w:val="0"/>
          <w:vanish w:val="0"/>
          <w:color w:val="auto"/>
          <w:spacing w:val="0"/>
          <w:sz w:val="32"/>
          <w:szCs w:val="32"/>
          <w:vertAlign w:val="baseline"/>
        </w:rPr>
        <w:t>DB45/T2252-2021</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12.</w:t>
      </w:r>
      <w:r>
        <w:rPr>
          <w:rFonts w:ascii="仿宋" w:eastAsia="仿宋" w:hint="eastAsia"/>
          <w:b w:val="0"/>
          <w:bCs w:val="0"/>
          <w:i w:val="0"/>
          <w:iCs w:val="0"/>
          <w:caps w:val="0"/>
          <w:smallCaps w:val="0"/>
          <w:vanish w:val="0"/>
          <w:color w:val="auto"/>
          <w:spacing w:val="0"/>
          <w:sz w:val="32"/>
          <w:szCs w:val="32"/>
          <w:vertAlign w:val="baseline"/>
        </w:rPr>
        <w:t>《地下水质量标准》（</w:t>
      </w:r>
      <w:r>
        <w:rPr>
          <w:rFonts w:ascii="Times New Roman" w:hAnsi="Times New Roman"/>
          <w:b w:val="0"/>
          <w:bCs w:val="0"/>
          <w:i w:val="0"/>
          <w:iCs w:val="0"/>
          <w:caps w:val="0"/>
          <w:smallCaps w:val="0"/>
          <w:vanish w:val="0"/>
          <w:color w:val="auto"/>
          <w:spacing w:val="0"/>
          <w:sz w:val="32"/>
          <w:szCs w:val="32"/>
          <w:vertAlign w:val="baseline"/>
        </w:rPr>
        <w:t>GB/T14848-2017</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13.</w:t>
      </w:r>
      <w:r>
        <w:rPr>
          <w:rFonts w:ascii="仿宋" w:eastAsia="仿宋" w:hint="eastAsia"/>
          <w:b w:val="0"/>
          <w:bCs w:val="0"/>
          <w:i w:val="0"/>
          <w:iCs w:val="0"/>
          <w:caps w:val="0"/>
          <w:smallCaps w:val="0"/>
          <w:vanish w:val="0"/>
          <w:color w:val="auto"/>
          <w:spacing w:val="0"/>
          <w:sz w:val="32"/>
          <w:szCs w:val="32"/>
          <w:vertAlign w:val="baseline"/>
        </w:rPr>
        <w:t>《农村生活污水处理设施水污染物排放标准》（</w:t>
      </w:r>
      <w:r>
        <w:rPr>
          <w:rFonts w:ascii="Times New Roman" w:hAnsi="Times New Roman"/>
          <w:b w:val="0"/>
          <w:bCs w:val="0"/>
          <w:i w:val="0"/>
          <w:iCs w:val="0"/>
          <w:caps w:val="0"/>
          <w:smallCaps w:val="0"/>
          <w:vanish w:val="0"/>
          <w:color w:val="auto"/>
          <w:spacing w:val="0"/>
          <w:sz w:val="32"/>
          <w:szCs w:val="32"/>
          <w:vertAlign w:val="baseline"/>
        </w:rPr>
        <w:t>DB45/2413-2021</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14.</w:t>
      </w:r>
      <w:r>
        <w:rPr>
          <w:rFonts w:ascii="仿宋" w:eastAsia="仿宋" w:hint="eastAsia"/>
          <w:b w:val="0"/>
          <w:bCs w:val="0"/>
          <w:i w:val="0"/>
          <w:iCs w:val="0"/>
          <w:caps w:val="0"/>
          <w:smallCaps w:val="0"/>
          <w:vanish w:val="0"/>
          <w:color w:val="auto"/>
          <w:spacing w:val="0"/>
          <w:sz w:val="32"/>
          <w:szCs w:val="32"/>
          <w:vertAlign w:val="baseline"/>
        </w:rPr>
        <w:t>《城镇污水处理厂污染物排放标准》（</w:t>
      </w:r>
      <w:r>
        <w:rPr>
          <w:rFonts w:ascii="Times New Roman" w:hAnsi="Times New Roman"/>
          <w:b w:val="0"/>
          <w:bCs w:val="0"/>
          <w:i w:val="0"/>
          <w:iCs w:val="0"/>
          <w:caps w:val="0"/>
          <w:smallCaps w:val="0"/>
          <w:vanish w:val="0"/>
          <w:color w:val="auto"/>
          <w:spacing w:val="0"/>
          <w:sz w:val="32"/>
          <w:szCs w:val="32"/>
          <w:vertAlign w:val="baseline"/>
        </w:rPr>
        <w:t>GB 18918-2002</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15.</w:t>
      </w:r>
      <w:r>
        <w:rPr>
          <w:rFonts w:ascii="仿宋" w:eastAsia="仿宋" w:hint="eastAsia"/>
          <w:b w:val="0"/>
          <w:bCs w:val="0"/>
          <w:i w:val="0"/>
          <w:iCs w:val="0"/>
          <w:caps w:val="0"/>
          <w:smallCaps w:val="0"/>
          <w:vanish w:val="0"/>
          <w:color w:val="auto"/>
          <w:spacing w:val="0"/>
          <w:sz w:val="32"/>
          <w:szCs w:val="32"/>
          <w:vertAlign w:val="baseline"/>
        </w:rPr>
        <w:t>《乡村绿化技术规程》（</w:t>
      </w:r>
      <w:r>
        <w:rPr>
          <w:rFonts w:ascii="Times New Roman" w:hAnsi="Times New Roman"/>
          <w:b w:val="0"/>
          <w:bCs w:val="0"/>
          <w:i w:val="0"/>
          <w:iCs w:val="0"/>
          <w:caps w:val="0"/>
          <w:smallCaps w:val="0"/>
          <w:vanish w:val="0"/>
          <w:color w:val="auto"/>
          <w:spacing w:val="0"/>
          <w:sz w:val="32"/>
          <w:szCs w:val="32"/>
          <w:vertAlign w:val="baseline"/>
        </w:rPr>
        <w:t>LY/T 2645-2016</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16.</w:t>
      </w:r>
      <w:r>
        <w:rPr>
          <w:rFonts w:ascii="仿宋" w:eastAsia="仿宋" w:hint="eastAsia"/>
          <w:b w:val="0"/>
          <w:bCs w:val="0"/>
          <w:i w:val="0"/>
          <w:iCs w:val="0"/>
          <w:caps w:val="0"/>
          <w:smallCaps w:val="0"/>
          <w:vanish w:val="0"/>
          <w:color w:val="auto"/>
          <w:spacing w:val="0"/>
          <w:sz w:val="32"/>
          <w:szCs w:val="32"/>
          <w:vertAlign w:val="baseline"/>
        </w:rPr>
        <w:t>《社区生活圈规划技术指南》（</w:t>
      </w:r>
      <w:r>
        <w:rPr>
          <w:rFonts w:ascii="Times New Roman" w:hAnsi="Times New Roman"/>
          <w:b w:val="0"/>
          <w:bCs w:val="0"/>
          <w:i w:val="0"/>
          <w:iCs w:val="0"/>
          <w:caps w:val="0"/>
          <w:smallCaps w:val="0"/>
          <w:vanish w:val="0"/>
          <w:color w:val="auto"/>
          <w:spacing w:val="0"/>
          <w:sz w:val="32"/>
          <w:szCs w:val="32"/>
          <w:vertAlign w:val="baseline"/>
        </w:rPr>
        <w:t>TD/T 1062-2021</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17.</w:t>
      </w:r>
      <w:r>
        <w:rPr>
          <w:rFonts w:ascii="仿宋" w:eastAsia="仿宋" w:hint="eastAsia"/>
          <w:b w:val="0"/>
          <w:bCs w:val="0"/>
          <w:i w:val="0"/>
          <w:iCs w:val="0"/>
          <w:caps w:val="0"/>
          <w:smallCaps w:val="0"/>
          <w:vanish w:val="0"/>
          <w:color w:val="auto"/>
          <w:spacing w:val="0"/>
          <w:sz w:val="32"/>
          <w:szCs w:val="32"/>
          <w:vertAlign w:val="baseline"/>
        </w:rPr>
        <w:t>《农村防火规范》（</w:t>
      </w:r>
      <w:r>
        <w:rPr>
          <w:rFonts w:ascii="Times New Roman" w:hAnsi="Times New Roman"/>
          <w:b w:val="0"/>
          <w:bCs w:val="0"/>
          <w:i w:val="0"/>
          <w:iCs w:val="0"/>
          <w:caps w:val="0"/>
          <w:smallCaps w:val="0"/>
          <w:vanish w:val="0"/>
          <w:color w:val="auto"/>
          <w:spacing w:val="0"/>
          <w:sz w:val="32"/>
          <w:szCs w:val="32"/>
          <w:vertAlign w:val="baseline"/>
        </w:rPr>
        <w:t>GB 50039-2010</w:t>
      </w:r>
      <w:r>
        <w:rPr>
          <w:rFonts w:ascii="仿宋" w:eastAsia="仿宋" w:hint="eastAsia"/>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18.</w:t>
      </w:r>
      <w:r>
        <w:rPr>
          <w:rFonts w:ascii="仿宋" w:eastAsia="仿宋" w:hint="eastAsia"/>
          <w:b w:val="0"/>
          <w:bCs w:val="0"/>
          <w:i w:val="0"/>
          <w:iCs w:val="0"/>
          <w:caps w:val="0"/>
          <w:smallCaps w:val="0"/>
          <w:vanish w:val="0"/>
          <w:color w:val="auto"/>
          <w:spacing w:val="0"/>
          <w:sz w:val="32"/>
          <w:szCs w:val="32"/>
          <w:vertAlign w:val="baseline"/>
        </w:rPr>
        <w:t>《建筑设计防火规范》（</w:t>
      </w:r>
      <w:r>
        <w:rPr>
          <w:rFonts w:ascii="Times New Roman" w:hAnsi="Times New Roman"/>
          <w:b w:val="0"/>
          <w:bCs w:val="0"/>
          <w:i w:val="0"/>
          <w:iCs w:val="0"/>
          <w:caps w:val="0"/>
          <w:smallCaps w:val="0"/>
          <w:vanish w:val="0"/>
          <w:color w:val="auto"/>
          <w:spacing w:val="0"/>
          <w:sz w:val="32"/>
          <w:szCs w:val="32"/>
          <w:vertAlign w:val="baseline"/>
        </w:rPr>
        <w:t>GB 50016-2014</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2018</w:t>
      </w:r>
      <w:r>
        <w:rPr>
          <w:rFonts w:ascii="仿宋" w:eastAsia="仿宋" w:hint="eastAsia"/>
          <w:b w:val="0"/>
          <w:bCs w:val="0"/>
          <w:i w:val="0"/>
          <w:iCs w:val="0"/>
          <w:caps w:val="0"/>
          <w:smallCaps w:val="0"/>
          <w:vanish w:val="0"/>
          <w:color w:val="auto"/>
          <w:spacing w:val="0"/>
          <w:sz w:val="32"/>
          <w:szCs w:val="32"/>
          <w:vertAlign w:val="baseline"/>
        </w:rPr>
        <w:t>年版）；</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19.</w:t>
      </w:r>
      <w:r>
        <w:rPr>
          <w:rFonts w:ascii="仿宋" w:eastAsia="仿宋" w:hint="eastAsia"/>
          <w:b w:val="0"/>
          <w:bCs w:val="0"/>
          <w:i w:val="0"/>
          <w:iCs w:val="0"/>
          <w:caps w:val="0"/>
          <w:smallCaps w:val="0"/>
          <w:vanish w:val="0"/>
          <w:color w:val="auto"/>
          <w:spacing w:val="0"/>
          <w:sz w:val="32"/>
          <w:szCs w:val="32"/>
          <w:vertAlign w:val="baseline"/>
        </w:rPr>
        <w:t>《广西壮族自治区农村房屋特色风貌管控导则》（</w:t>
      </w:r>
      <w:r>
        <w:rPr>
          <w:rFonts w:ascii="Times New Roman" w:hAnsi="Times New Roman"/>
          <w:b w:val="0"/>
          <w:bCs w:val="0"/>
          <w:i w:val="0"/>
          <w:iCs w:val="0"/>
          <w:caps w:val="0"/>
          <w:smallCaps w:val="0"/>
          <w:vanish w:val="0"/>
          <w:color w:val="auto"/>
          <w:spacing w:val="0"/>
          <w:sz w:val="32"/>
          <w:szCs w:val="32"/>
          <w:vertAlign w:val="baseline"/>
        </w:rPr>
        <w:t>2020</w:t>
      </w:r>
      <w:r>
        <w:rPr>
          <w:rFonts w:ascii="仿宋" w:eastAsia="仿宋" w:hint="eastAsia"/>
          <w:b w:val="0"/>
          <w:bCs w:val="0"/>
          <w:i w:val="0"/>
          <w:iCs w:val="0"/>
          <w:caps w:val="0"/>
          <w:smallCaps w:val="0"/>
          <w:vanish w:val="0"/>
          <w:color w:val="auto"/>
          <w:spacing w:val="0"/>
          <w:sz w:val="32"/>
          <w:szCs w:val="32"/>
          <w:vertAlign w:val="baseline"/>
        </w:rPr>
        <w:t>年版）；</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20.</w:t>
      </w:r>
      <w:r>
        <w:rPr>
          <w:rFonts w:ascii="仿宋" w:eastAsia="仿宋" w:hint="eastAsia"/>
          <w:b w:val="0"/>
          <w:bCs w:val="0"/>
          <w:i w:val="0"/>
          <w:iCs w:val="0"/>
          <w:caps w:val="0"/>
          <w:smallCaps w:val="0"/>
          <w:vanish w:val="0"/>
          <w:color w:val="auto"/>
          <w:spacing w:val="0"/>
          <w:sz w:val="32"/>
          <w:szCs w:val="32"/>
          <w:vertAlign w:val="baseline"/>
        </w:rPr>
        <w:t>《广西壮族自治区建设用地控制指标》（</w:t>
      </w:r>
      <w:r>
        <w:rPr>
          <w:rFonts w:ascii="Times New Roman" w:hAnsi="Times New Roman"/>
          <w:b w:val="0"/>
          <w:bCs w:val="0"/>
          <w:i w:val="0"/>
          <w:iCs w:val="0"/>
          <w:caps w:val="0"/>
          <w:smallCaps w:val="0"/>
          <w:vanish w:val="0"/>
          <w:color w:val="auto"/>
          <w:spacing w:val="0"/>
          <w:sz w:val="32"/>
          <w:szCs w:val="32"/>
          <w:vertAlign w:val="baseline"/>
        </w:rPr>
        <w:t>2021</w:t>
      </w:r>
      <w:r>
        <w:rPr>
          <w:rFonts w:ascii="仿宋" w:eastAsia="仿宋" w:hint="eastAsia"/>
          <w:b w:val="0"/>
          <w:bCs w:val="0"/>
          <w:i w:val="0"/>
          <w:iCs w:val="0"/>
          <w:caps w:val="0"/>
          <w:smallCaps w:val="0"/>
          <w:vanish w:val="0"/>
          <w:color w:val="auto"/>
          <w:spacing w:val="0"/>
          <w:sz w:val="32"/>
          <w:szCs w:val="32"/>
          <w:vertAlign w:val="baseline"/>
        </w:rPr>
        <w:t>年修订）；</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21.</w:t>
      </w:r>
      <w:r>
        <w:rPr>
          <w:rFonts w:ascii="仿宋" w:eastAsia="仿宋" w:hint="eastAsia"/>
          <w:b w:val="0"/>
          <w:bCs w:val="0"/>
          <w:i w:val="0"/>
          <w:iCs w:val="0"/>
          <w:caps w:val="0"/>
          <w:smallCaps w:val="0"/>
          <w:vanish w:val="0"/>
          <w:color w:val="auto"/>
          <w:spacing w:val="0"/>
          <w:sz w:val="32"/>
          <w:szCs w:val="32"/>
          <w:vertAlign w:val="baseline"/>
        </w:rPr>
        <w:t>《广西壮族自治区义务教育学校办学基本标准（试行）》（</w:t>
      </w:r>
      <w:r>
        <w:rPr>
          <w:rFonts w:ascii="Times New Roman" w:hAnsi="Times New Roman"/>
          <w:b w:val="0"/>
          <w:bCs w:val="0"/>
          <w:i w:val="0"/>
          <w:iCs w:val="0"/>
          <w:caps w:val="0"/>
          <w:smallCaps w:val="0"/>
          <w:vanish w:val="0"/>
          <w:color w:val="auto"/>
          <w:spacing w:val="0"/>
          <w:sz w:val="32"/>
          <w:szCs w:val="32"/>
          <w:vertAlign w:val="baseline"/>
        </w:rPr>
        <w:t>2011</w:t>
      </w:r>
      <w:r>
        <w:rPr>
          <w:rFonts w:ascii="仿宋" w:eastAsia="仿宋" w:hint="eastAsia"/>
          <w:b w:val="0"/>
          <w:bCs w:val="0"/>
          <w:i w:val="0"/>
          <w:iCs w:val="0"/>
          <w:caps w:val="0"/>
          <w:smallCaps w:val="0"/>
          <w:vanish w:val="0"/>
          <w:color w:val="auto"/>
          <w:spacing w:val="0"/>
          <w:sz w:val="32"/>
          <w:szCs w:val="32"/>
          <w:vertAlign w:val="baseline"/>
        </w:rPr>
        <w:t>年</w:t>
      </w:r>
      <w:r>
        <w:rPr>
          <w:rFonts w:ascii="Times New Roman" w:hAnsi="Times New Roman"/>
          <w:b w:val="0"/>
          <w:bCs w:val="0"/>
          <w:i w:val="0"/>
          <w:iCs w:val="0"/>
          <w:caps w:val="0"/>
          <w:smallCaps w:val="0"/>
          <w:vanish w:val="0"/>
          <w:color w:val="auto"/>
          <w:spacing w:val="0"/>
          <w:sz w:val="32"/>
          <w:szCs w:val="32"/>
          <w:vertAlign w:val="baseline"/>
        </w:rPr>
        <w:t>8</w:t>
      </w:r>
      <w:r>
        <w:rPr>
          <w:rFonts w:ascii="仿宋" w:eastAsia="仿宋" w:hint="eastAsia"/>
          <w:b w:val="0"/>
          <w:bCs w:val="0"/>
          <w:i w:val="0"/>
          <w:iCs w:val="0"/>
          <w:caps w:val="0"/>
          <w:smallCaps w:val="0"/>
          <w:vanish w:val="0"/>
          <w:color w:val="auto"/>
          <w:spacing w:val="0"/>
          <w:sz w:val="32"/>
          <w:szCs w:val="32"/>
          <w:vertAlign w:val="baseline"/>
        </w:rPr>
        <w:t>月</w:t>
      </w:r>
      <w:r>
        <w:rPr>
          <w:rFonts w:ascii="Times New Roman" w:hAnsi="Times New Roman"/>
          <w:b w:val="0"/>
          <w:bCs w:val="0"/>
          <w:i w:val="0"/>
          <w:iCs w:val="0"/>
          <w:caps w:val="0"/>
          <w:smallCaps w:val="0"/>
          <w:vanish w:val="0"/>
          <w:color w:val="auto"/>
          <w:spacing w:val="0"/>
          <w:sz w:val="32"/>
          <w:szCs w:val="32"/>
          <w:vertAlign w:val="baseline"/>
        </w:rPr>
        <w:t>30</w:t>
      </w:r>
      <w:r>
        <w:rPr>
          <w:rFonts w:ascii="仿宋" w:eastAsia="仿宋" w:hint="eastAsia"/>
          <w:b w:val="0"/>
          <w:bCs w:val="0"/>
          <w:i w:val="0"/>
          <w:iCs w:val="0"/>
          <w:caps w:val="0"/>
          <w:smallCaps w:val="0"/>
          <w:vanish w:val="0"/>
          <w:color w:val="auto"/>
          <w:spacing w:val="0"/>
          <w:sz w:val="32"/>
          <w:szCs w:val="32"/>
          <w:vertAlign w:val="baseline"/>
        </w:rPr>
        <w:t>日起施行）；</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22.</w:t>
      </w:r>
      <w:r>
        <w:rPr>
          <w:rFonts w:ascii="仿宋" w:eastAsia="仿宋" w:hint="eastAsia"/>
          <w:b w:val="0"/>
          <w:bCs w:val="0"/>
          <w:i w:val="0"/>
          <w:iCs w:val="0"/>
          <w:caps w:val="0"/>
          <w:smallCaps w:val="0"/>
          <w:vanish w:val="0"/>
          <w:color w:val="auto"/>
          <w:spacing w:val="0"/>
          <w:sz w:val="32"/>
          <w:szCs w:val="32"/>
          <w:vertAlign w:val="baseline"/>
        </w:rPr>
        <w:t>《钦州城市规划技术标准与准则》（</w:t>
      </w:r>
      <w:r>
        <w:rPr>
          <w:rFonts w:ascii="Times New Roman" w:hAnsi="Times New Roman"/>
          <w:b w:val="0"/>
          <w:bCs w:val="0"/>
          <w:i w:val="0"/>
          <w:iCs w:val="0"/>
          <w:caps w:val="0"/>
          <w:smallCaps w:val="0"/>
          <w:vanish w:val="0"/>
          <w:color w:val="auto"/>
          <w:spacing w:val="0"/>
          <w:sz w:val="32"/>
          <w:szCs w:val="32"/>
          <w:vertAlign w:val="baseline"/>
        </w:rPr>
        <w:t>2015</w:t>
      </w:r>
      <w:r>
        <w:rPr>
          <w:rFonts w:ascii="仿宋" w:eastAsia="仿宋" w:hint="eastAsia"/>
          <w:b w:val="0"/>
          <w:bCs w:val="0"/>
          <w:i w:val="0"/>
          <w:iCs w:val="0"/>
          <w:caps w:val="0"/>
          <w:smallCaps w:val="0"/>
          <w:vanish w:val="0"/>
          <w:color w:val="auto"/>
          <w:spacing w:val="0"/>
          <w:sz w:val="32"/>
          <w:szCs w:val="32"/>
          <w:vertAlign w:val="baseline"/>
        </w:rPr>
        <w:t>年版）。</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Style w:val="96"/>
          <w:rFonts w:ascii="仿宋" w:eastAsia="仿宋" w:hint="eastAsia"/>
          <w:b w:val="0"/>
          <w:bCs w:val="0"/>
          <w:i w:val="0"/>
          <w:iCs w:val="0"/>
          <w:caps w:val="0"/>
          <w:smallCaps w:val="0"/>
          <w:vanish w:val="0"/>
          <w:color w:val="auto"/>
          <w:spacing w:val="0"/>
          <w:sz w:val="32"/>
          <w:szCs w:val="32"/>
          <w:vertAlign w:val="baseline"/>
        </w:rPr>
        <w:t>（三）政策文件</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99"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《中共中央 国务院关于进一步深化农村改革 扎实推进乡村全面振兴的意见》</w:t>
      </w:r>
      <w:r>
        <w:rPr>
          <w:rFonts w:ascii="Sans-serif" w:hAnsi="Sans-serif"/>
          <w:b w:val="0"/>
          <w:bCs w:val="0"/>
          <w:i w:val="0"/>
          <w:iCs w:val="0"/>
          <w:caps w:val="0"/>
          <w:smallCaps w:val="0"/>
          <w:vanish w:val="0"/>
          <w:color w:val="000000"/>
          <w:spacing w:val="0"/>
          <w:sz w:val="20"/>
          <w:szCs w:val="20"/>
        </w:rPr>
        <w:t> </w:t>
      </w:r>
      <w:r>
        <w:rPr>
          <w:rFonts w:ascii="仿宋" w:eastAsia="仿宋" w:hint="eastAsia"/>
          <w:b w:val="0"/>
          <w:bCs w:val="0"/>
          <w:i w:val="0"/>
          <w:iCs w:val="0"/>
          <w:caps w:val="0"/>
          <w:smallCaps w:val="0"/>
          <w:vanish w:val="0"/>
          <w:color w:val="auto"/>
          <w:spacing w:val="0"/>
          <w:sz w:val="32"/>
          <w:szCs w:val="32"/>
          <w:vertAlign w:val="baseline"/>
        </w:rPr>
        <w:t>（中发〔</w:t>
      </w:r>
      <w:r>
        <w:rPr>
          <w:rFonts w:ascii="Times New Roman" w:hAnsi="Times New Roman"/>
          <w:b w:val="0"/>
          <w:bCs w:val="0"/>
          <w:i w:val="0"/>
          <w:iCs w:val="0"/>
          <w:caps w:val="0"/>
          <w:smallCaps w:val="0"/>
          <w:vanish w:val="0"/>
          <w:color w:val="auto"/>
          <w:spacing w:val="0"/>
          <w:sz w:val="32"/>
          <w:szCs w:val="32"/>
          <w:vertAlign w:val="baseline"/>
        </w:rPr>
        <w:t>2025</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2.</w:t>
      </w:r>
      <w:r>
        <w:rPr>
          <w:rFonts w:ascii="仿宋" w:eastAsia="仿宋" w:hint="eastAsia"/>
          <w:b w:val="0"/>
          <w:bCs w:val="0"/>
          <w:i w:val="0"/>
          <w:iCs w:val="0"/>
          <w:caps w:val="0"/>
          <w:smallCaps w:val="0"/>
          <w:vanish w:val="0"/>
          <w:color w:val="auto"/>
          <w:spacing w:val="0"/>
          <w:sz w:val="32"/>
          <w:szCs w:val="32"/>
          <w:vertAlign w:val="baseline"/>
        </w:rPr>
        <w:t>《中共中央</w:t>
      </w:r>
      <w:r>
        <w:rPr>
          <w:rFonts w:ascii="Sans-serif" w:hAnsi="Sans-serif"/>
          <w:b w:val="0"/>
          <w:bCs w:val="0"/>
          <w:i w:val="0"/>
          <w:iCs w:val="0"/>
          <w:caps w:val="0"/>
          <w:smallCaps w:val="0"/>
          <w:vanish w:val="0"/>
          <w:color w:val="000000"/>
          <w:spacing w:val="0"/>
          <w:sz w:val="20"/>
          <w:szCs w:val="20"/>
        </w:rPr>
        <w:t> </w:t>
      </w:r>
      <w:r>
        <w:rPr>
          <w:rFonts w:ascii="仿宋" w:eastAsia="仿宋" w:hint="eastAsia"/>
          <w:b w:val="0"/>
          <w:bCs w:val="0"/>
          <w:i w:val="0"/>
          <w:iCs w:val="0"/>
          <w:caps w:val="0"/>
          <w:smallCaps w:val="0"/>
          <w:vanish w:val="0"/>
          <w:color w:val="auto"/>
          <w:spacing w:val="0"/>
          <w:sz w:val="32"/>
          <w:szCs w:val="32"/>
          <w:vertAlign w:val="baseline"/>
        </w:rPr>
        <w:t>国务院关于建立国土空间规划体系并监督实施的若干意见》（中发〔</w:t>
      </w:r>
      <w:r>
        <w:rPr>
          <w:rFonts w:ascii="Times New Roman" w:hAnsi="Times New Roman"/>
          <w:b w:val="0"/>
          <w:bCs w:val="0"/>
          <w:i w:val="0"/>
          <w:iCs w:val="0"/>
          <w:caps w:val="0"/>
          <w:smallCaps w:val="0"/>
          <w:vanish w:val="0"/>
          <w:color w:val="auto"/>
          <w:spacing w:val="0"/>
          <w:sz w:val="32"/>
          <w:szCs w:val="32"/>
          <w:vertAlign w:val="baseline"/>
        </w:rPr>
        <w:t>2019</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18</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3.</w:t>
      </w:r>
      <w:r>
        <w:rPr>
          <w:rFonts w:ascii="仿宋" w:eastAsia="仿宋" w:hint="eastAsia"/>
          <w:b w:val="0"/>
          <w:bCs w:val="0"/>
          <w:i w:val="0"/>
          <w:iCs w:val="0"/>
          <w:caps w:val="0"/>
          <w:smallCaps w:val="0"/>
          <w:vanish w:val="0"/>
          <w:color w:val="auto"/>
          <w:spacing w:val="0"/>
          <w:sz w:val="32"/>
          <w:szCs w:val="32"/>
          <w:vertAlign w:val="baseline"/>
        </w:rPr>
        <w:t>《自然资源部</w:t>
      </w:r>
      <w:r>
        <w:rPr>
          <w:rFonts w:ascii="Sans-serif" w:hAnsi="Sans-serif"/>
          <w:b w:val="0"/>
          <w:bCs w:val="0"/>
          <w:i w:val="0"/>
          <w:iCs w:val="0"/>
          <w:caps w:val="0"/>
          <w:smallCaps w:val="0"/>
          <w:vanish w:val="0"/>
          <w:color w:val="000000"/>
          <w:spacing w:val="0"/>
          <w:sz w:val="20"/>
          <w:szCs w:val="20"/>
        </w:rPr>
        <w:t> </w:t>
      </w:r>
      <w:r>
        <w:rPr>
          <w:rFonts w:ascii="仿宋" w:eastAsia="仿宋" w:hint="eastAsia"/>
          <w:b w:val="0"/>
          <w:bCs w:val="0"/>
          <w:i w:val="0"/>
          <w:iCs w:val="0"/>
          <w:caps w:val="0"/>
          <w:smallCaps w:val="0"/>
          <w:vanish w:val="0"/>
          <w:color w:val="auto"/>
          <w:spacing w:val="0"/>
          <w:sz w:val="32"/>
          <w:szCs w:val="32"/>
          <w:vertAlign w:val="baseline"/>
        </w:rPr>
        <w:t>中央农村工作领导小组办公室关于学习运用“千万工程”经验提高村庄规划编制质量和实效的通知》（自然资发〔</w:t>
      </w:r>
      <w:r>
        <w:rPr>
          <w:rFonts w:ascii="Times New Roman" w:hAnsi="Times New Roman"/>
          <w:b w:val="0"/>
          <w:bCs w:val="0"/>
          <w:i w:val="0"/>
          <w:iCs w:val="0"/>
          <w:caps w:val="0"/>
          <w:smallCaps w:val="0"/>
          <w:vanish w:val="0"/>
          <w:color w:val="auto"/>
          <w:spacing w:val="0"/>
          <w:sz w:val="32"/>
          <w:szCs w:val="32"/>
          <w:vertAlign w:val="baseline"/>
        </w:rPr>
        <w:t>2024</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4.</w:t>
      </w:r>
      <w:r>
        <w:rPr>
          <w:rFonts w:ascii="仿宋" w:eastAsia="仿宋" w:hint="eastAsia"/>
          <w:b w:val="0"/>
          <w:bCs w:val="0"/>
          <w:i w:val="0"/>
          <w:iCs w:val="0"/>
          <w:caps w:val="0"/>
          <w:smallCaps w:val="0"/>
          <w:vanish w:val="0"/>
          <w:color w:val="auto"/>
          <w:spacing w:val="0"/>
          <w:sz w:val="32"/>
          <w:szCs w:val="32"/>
          <w:vertAlign w:val="baseline"/>
        </w:rPr>
        <w:t>《自然资源部办公厅关于加强村庄规划促进乡村振兴的通知》（自然资办发〔</w:t>
      </w:r>
      <w:r>
        <w:rPr>
          <w:rFonts w:ascii="Times New Roman" w:hAnsi="Times New Roman"/>
          <w:b w:val="0"/>
          <w:bCs w:val="0"/>
          <w:i w:val="0"/>
          <w:iCs w:val="0"/>
          <w:caps w:val="0"/>
          <w:smallCaps w:val="0"/>
          <w:vanish w:val="0"/>
          <w:color w:val="auto"/>
          <w:spacing w:val="0"/>
          <w:sz w:val="32"/>
          <w:szCs w:val="32"/>
          <w:vertAlign w:val="baseline"/>
        </w:rPr>
        <w:t>2019</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35</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5.</w:t>
      </w:r>
      <w:r>
        <w:rPr>
          <w:rFonts w:ascii="仿宋" w:eastAsia="仿宋" w:hint="eastAsia"/>
          <w:b w:val="0"/>
          <w:bCs w:val="0"/>
          <w:i w:val="0"/>
          <w:iCs w:val="0"/>
          <w:caps w:val="0"/>
          <w:smallCaps w:val="0"/>
          <w:vanish w:val="0"/>
          <w:color w:val="auto"/>
          <w:spacing w:val="0"/>
          <w:sz w:val="32"/>
          <w:szCs w:val="32"/>
          <w:vertAlign w:val="baseline"/>
        </w:rPr>
        <w:t>《自然资源部关于深化规划用地“多审合一、多证合一”改革的通知》（自然资发〔</w:t>
      </w:r>
      <w:r>
        <w:rPr>
          <w:rFonts w:ascii="Times New Roman" w:hAnsi="Times New Roman"/>
          <w:b w:val="0"/>
          <w:bCs w:val="0"/>
          <w:i w:val="0"/>
          <w:iCs w:val="0"/>
          <w:caps w:val="0"/>
          <w:smallCaps w:val="0"/>
          <w:vanish w:val="0"/>
          <w:color w:val="auto"/>
          <w:spacing w:val="0"/>
          <w:sz w:val="32"/>
          <w:szCs w:val="32"/>
          <w:vertAlign w:val="baseline"/>
        </w:rPr>
        <w:t>2023</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69</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6.</w:t>
      </w:r>
      <w:r>
        <w:rPr>
          <w:rFonts w:ascii="仿宋" w:eastAsia="仿宋" w:hint="eastAsia"/>
          <w:b w:val="0"/>
          <w:bCs w:val="0"/>
          <w:i w:val="0"/>
          <w:iCs w:val="0"/>
          <w:caps w:val="0"/>
          <w:smallCaps w:val="0"/>
          <w:vanish w:val="0"/>
          <w:color w:val="auto"/>
          <w:spacing w:val="0"/>
          <w:sz w:val="32"/>
          <w:szCs w:val="32"/>
          <w:vertAlign w:val="baseline"/>
        </w:rPr>
        <w:t>《自然资源部办公厅关于印发</w:t>
      </w:r>
      <w:r>
        <w:rPr>
          <w:rFonts w:ascii="Times New Roman" w:hAnsi="Times New Roman"/>
          <w:b w:val="0"/>
          <w:bCs w:val="0"/>
          <w:i w:val="0"/>
          <w:iCs w:val="0"/>
          <w:caps w:val="0"/>
          <w:smallCaps w:val="0"/>
          <w:vanish w:val="0"/>
          <w:color w:val="auto"/>
          <w:spacing w:val="0"/>
          <w:sz w:val="32"/>
          <w:szCs w:val="32"/>
          <w:vertAlign w:val="baseline"/>
        </w:rPr>
        <w:t>&lt;</w:t>
      </w:r>
      <w:r>
        <w:rPr>
          <w:rFonts w:ascii="仿宋" w:eastAsia="仿宋" w:hint="eastAsia"/>
          <w:b w:val="0"/>
          <w:bCs w:val="0"/>
          <w:i w:val="0"/>
          <w:iCs w:val="0"/>
          <w:caps w:val="0"/>
          <w:smallCaps w:val="0"/>
          <w:vanish w:val="0"/>
          <w:color w:val="auto"/>
          <w:spacing w:val="0"/>
          <w:sz w:val="32"/>
          <w:szCs w:val="32"/>
          <w:vertAlign w:val="baseline"/>
        </w:rPr>
        <w:t>乡村振兴用地政策指南（</w:t>
      </w:r>
      <w:r>
        <w:rPr>
          <w:rFonts w:ascii="Times New Roman" w:hAnsi="Times New Roman"/>
          <w:b w:val="0"/>
          <w:bCs w:val="0"/>
          <w:i w:val="0"/>
          <w:iCs w:val="0"/>
          <w:caps w:val="0"/>
          <w:smallCaps w:val="0"/>
          <w:vanish w:val="0"/>
          <w:color w:val="auto"/>
          <w:spacing w:val="0"/>
          <w:sz w:val="32"/>
          <w:szCs w:val="32"/>
          <w:vertAlign w:val="baseline"/>
        </w:rPr>
        <w:t>2023</w:t>
      </w:r>
      <w:r>
        <w:rPr>
          <w:rFonts w:ascii="仿宋" w:eastAsia="仿宋" w:hint="eastAsia"/>
          <w:b w:val="0"/>
          <w:bCs w:val="0"/>
          <w:i w:val="0"/>
          <w:iCs w:val="0"/>
          <w:caps w:val="0"/>
          <w:smallCaps w:val="0"/>
          <w:vanish w:val="0"/>
          <w:color w:val="auto"/>
          <w:spacing w:val="0"/>
          <w:sz w:val="32"/>
          <w:szCs w:val="32"/>
          <w:vertAlign w:val="baseline"/>
        </w:rPr>
        <w:t>年）</w:t>
      </w:r>
      <w:r>
        <w:rPr>
          <w:rFonts w:ascii="Times New Roman" w:hAnsi="Times New Roman"/>
          <w:b w:val="0"/>
          <w:bCs w:val="0"/>
          <w:i w:val="0"/>
          <w:iCs w:val="0"/>
          <w:caps w:val="0"/>
          <w:smallCaps w:val="0"/>
          <w:vanish w:val="0"/>
          <w:color w:val="auto"/>
          <w:spacing w:val="0"/>
          <w:sz w:val="32"/>
          <w:szCs w:val="32"/>
          <w:vertAlign w:val="baseline"/>
        </w:rPr>
        <w:t>&gt;</w:t>
      </w:r>
      <w:r>
        <w:rPr>
          <w:rFonts w:ascii="仿宋" w:eastAsia="仿宋" w:hint="eastAsia"/>
          <w:b w:val="0"/>
          <w:bCs w:val="0"/>
          <w:i w:val="0"/>
          <w:iCs w:val="0"/>
          <w:caps w:val="0"/>
          <w:smallCaps w:val="0"/>
          <w:vanish w:val="0"/>
          <w:color w:val="auto"/>
          <w:spacing w:val="0"/>
          <w:sz w:val="32"/>
          <w:szCs w:val="32"/>
          <w:vertAlign w:val="baseline"/>
        </w:rPr>
        <w:t>的通知》（自然资办发〔</w:t>
      </w:r>
      <w:r>
        <w:rPr>
          <w:rFonts w:ascii="Times New Roman" w:hAnsi="Times New Roman"/>
          <w:b w:val="0"/>
          <w:bCs w:val="0"/>
          <w:i w:val="0"/>
          <w:iCs w:val="0"/>
          <w:caps w:val="0"/>
          <w:smallCaps w:val="0"/>
          <w:vanish w:val="0"/>
          <w:color w:val="auto"/>
          <w:spacing w:val="0"/>
          <w:sz w:val="32"/>
          <w:szCs w:val="32"/>
          <w:vertAlign w:val="baseline"/>
        </w:rPr>
        <w:t>2023</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48</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7.</w:t>
      </w:r>
      <w:r>
        <w:rPr>
          <w:rFonts w:ascii="仿宋" w:eastAsia="仿宋" w:hint="eastAsia"/>
          <w:b w:val="0"/>
          <w:bCs w:val="0"/>
          <w:i w:val="0"/>
          <w:iCs w:val="0"/>
          <w:caps w:val="0"/>
          <w:smallCaps w:val="0"/>
          <w:vanish w:val="0"/>
          <w:color w:val="auto"/>
          <w:spacing w:val="0"/>
          <w:sz w:val="32"/>
          <w:szCs w:val="32"/>
          <w:vertAlign w:val="baseline"/>
        </w:rPr>
        <w:t>《自治区党委</w:t>
      </w:r>
      <w:r>
        <w:rPr>
          <w:rFonts w:ascii="Sans-serif" w:hAnsi="Sans-serif"/>
          <w:b w:val="0"/>
          <w:bCs w:val="0"/>
          <w:i w:val="0"/>
          <w:iCs w:val="0"/>
          <w:caps w:val="0"/>
          <w:smallCaps w:val="0"/>
          <w:vanish w:val="0"/>
          <w:color w:val="000000"/>
          <w:spacing w:val="0"/>
          <w:sz w:val="20"/>
          <w:szCs w:val="20"/>
        </w:rPr>
        <w:t> </w:t>
      </w:r>
      <w:r>
        <w:rPr>
          <w:rFonts w:ascii="仿宋" w:eastAsia="仿宋" w:hint="eastAsia"/>
          <w:b w:val="0"/>
          <w:bCs w:val="0"/>
          <w:i w:val="0"/>
          <w:iCs w:val="0"/>
          <w:caps w:val="0"/>
          <w:smallCaps w:val="0"/>
          <w:vanish w:val="0"/>
          <w:color w:val="auto"/>
          <w:spacing w:val="0"/>
          <w:sz w:val="32"/>
          <w:szCs w:val="32"/>
          <w:vertAlign w:val="baseline"/>
        </w:rPr>
        <w:t>自治区人民政府关于印发</w:t>
      </w:r>
      <w:r>
        <w:rPr>
          <w:rFonts w:ascii="Times New Roman" w:hAnsi="Times New Roman"/>
          <w:b w:val="0"/>
          <w:bCs w:val="0"/>
          <w:i w:val="0"/>
          <w:iCs w:val="0"/>
          <w:caps w:val="0"/>
          <w:smallCaps w:val="0"/>
          <w:vanish w:val="0"/>
          <w:color w:val="auto"/>
          <w:spacing w:val="0"/>
          <w:sz w:val="32"/>
          <w:szCs w:val="32"/>
          <w:vertAlign w:val="baseline"/>
        </w:rPr>
        <w:t>&lt;</w:t>
      </w:r>
      <w:r>
        <w:rPr>
          <w:rFonts w:ascii="仿宋" w:eastAsia="仿宋" w:hint="eastAsia"/>
          <w:b w:val="0"/>
          <w:bCs w:val="0"/>
          <w:i w:val="0"/>
          <w:iCs w:val="0"/>
          <w:caps w:val="0"/>
          <w:smallCaps w:val="0"/>
          <w:vanish w:val="0"/>
          <w:color w:val="auto"/>
          <w:spacing w:val="0"/>
          <w:sz w:val="32"/>
          <w:szCs w:val="32"/>
          <w:vertAlign w:val="baseline"/>
        </w:rPr>
        <w:t>广西建立国土空间规划体系并监督实施的实施方案</w:t>
      </w:r>
      <w:r>
        <w:rPr>
          <w:rFonts w:ascii="Times New Roman" w:hAnsi="Times New Roman"/>
          <w:b w:val="0"/>
          <w:bCs w:val="0"/>
          <w:i w:val="0"/>
          <w:iCs w:val="0"/>
          <w:caps w:val="0"/>
          <w:smallCaps w:val="0"/>
          <w:vanish w:val="0"/>
          <w:color w:val="auto"/>
          <w:spacing w:val="0"/>
          <w:sz w:val="32"/>
          <w:szCs w:val="32"/>
          <w:vertAlign w:val="baseline"/>
        </w:rPr>
        <w:t>&gt;</w:t>
      </w:r>
      <w:r>
        <w:rPr>
          <w:rFonts w:ascii="仿宋" w:eastAsia="仿宋" w:hint="eastAsia"/>
          <w:b w:val="0"/>
          <w:bCs w:val="0"/>
          <w:i w:val="0"/>
          <w:iCs w:val="0"/>
          <w:caps w:val="0"/>
          <w:smallCaps w:val="0"/>
          <w:vanish w:val="0"/>
          <w:color w:val="auto"/>
          <w:spacing w:val="0"/>
          <w:sz w:val="32"/>
          <w:szCs w:val="32"/>
          <w:vertAlign w:val="baseline"/>
        </w:rPr>
        <w:t>的通知》（桂发〔</w:t>
      </w:r>
      <w:r>
        <w:rPr>
          <w:rFonts w:ascii="Times New Roman" w:hAnsi="Times New Roman"/>
          <w:b w:val="0"/>
          <w:bCs w:val="0"/>
          <w:i w:val="0"/>
          <w:iCs w:val="0"/>
          <w:caps w:val="0"/>
          <w:smallCaps w:val="0"/>
          <w:vanish w:val="0"/>
          <w:color w:val="auto"/>
          <w:spacing w:val="0"/>
          <w:sz w:val="32"/>
          <w:szCs w:val="32"/>
          <w:vertAlign w:val="baseline"/>
        </w:rPr>
        <w:t>2019</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23</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8.</w:t>
      </w:r>
      <w:r>
        <w:rPr>
          <w:rFonts w:ascii="仿宋" w:eastAsia="仿宋" w:hint="eastAsia"/>
          <w:b w:val="0"/>
          <w:bCs w:val="0"/>
          <w:i w:val="0"/>
          <w:iCs w:val="0"/>
          <w:caps w:val="0"/>
          <w:smallCaps w:val="0"/>
          <w:vanish w:val="0"/>
          <w:color w:val="auto"/>
          <w:spacing w:val="0"/>
          <w:sz w:val="32"/>
          <w:szCs w:val="32"/>
          <w:vertAlign w:val="baseline"/>
        </w:rPr>
        <w:t>《自治区住房城乡建设厅</w:t>
      </w:r>
      <w:r>
        <w:rPr>
          <w:rFonts w:ascii="Sans-serif" w:hAnsi="Sans-serif"/>
          <w:b w:val="0"/>
          <w:bCs w:val="0"/>
          <w:i w:val="0"/>
          <w:iCs w:val="0"/>
          <w:caps w:val="0"/>
          <w:smallCaps w:val="0"/>
          <w:vanish w:val="0"/>
          <w:color w:val="000000"/>
          <w:spacing w:val="0"/>
          <w:sz w:val="20"/>
          <w:szCs w:val="20"/>
        </w:rPr>
        <w:t> </w:t>
      </w:r>
      <w:r>
        <w:rPr>
          <w:rFonts w:ascii="仿宋" w:eastAsia="仿宋" w:hint="eastAsia"/>
          <w:b w:val="0"/>
          <w:bCs w:val="0"/>
          <w:i w:val="0"/>
          <w:iCs w:val="0"/>
          <w:caps w:val="0"/>
          <w:smallCaps w:val="0"/>
          <w:vanish w:val="0"/>
          <w:color w:val="auto"/>
          <w:spacing w:val="0"/>
          <w:sz w:val="32"/>
          <w:szCs w:val="32"/>
          <w:vertAlign w:val="baseline"/>
        </w:rPr>
        <w:t>自治区自然资源厅</w:t>
      </w:r>
      <w:r>
        <w:rPr>
          <w:rFonts w:ascii="Sans-serif" w:hAnsi="Sans-serif"/>
          <w:b w:val="0"/>
          <w:bCs w:val="0"/>
          <w:i w:val="0"/>
          <w:iCs w:val="0"/>
          <w:caps w:val="0"/>
          <w:smallCaps w:val="0"/>
          <w:vanish w:val="0"/>
          <w:color w:val="000000"/>
          <w:spacing w:val="0"/>
          <w:sz w:val="20"/>
          <w:szCs w:val="20"/>
        </w:rPr>
        <w:t> </w:t>
      </w:r>
      <w:r>
        <w:rPr>
          <w:rFonts w:ascii="仿宋" w:eastAsia="仿宋" w:hint="eastAsia"/>
          <w:b w:val="0"/>
          <w:bCs w:val="0"/>
          <w:i w:val="0"/>
          <w:iCs w:val="0"/>
          <w:caps w:val="0"/>
          <w:smallCaps w:val="0"/>
          <w:vanish w:val="0"/>
          <w:color w:val="auto"/>
          <w:spacing w:val="0"/>
          <w:sz w:val="32"/>
          <w:szCs w:val="32"/>
          <w:vertAlign w:val="baseline"/>
        </w:rPr>
        <w:t>自治区农业农村厅关于印发加强我区农房管控的实施意见的通知》（桂建发〔</w:t>
      </w:r>
      <w:r>
        <w:rPr>
          <w:rFonts w:ascii="Times New Roman" w:hAnsi="Times New Roman"/>
          <w:b w:val="0"/>
          <w:bCs w:val="0"/>
          <w:i w:val="0"/>
          <w:iCs w:val="0"/>
          <w:caps w:val="0"/>
          <w:smallCaps w:val="0"/>
          <w:vanish w:val="0"/>
          <w:color w:val="auto"/>
          <w:spacing w:val="0"/>
          <w:sz w:val="32"/>
          <w:szCs w:val="32"/>
          <w:vertAlign w:val="baseline"/>
        </w:rPr>
        <w:t>2020</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3</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9.</w:t>
      </w:r>
      <w:r>
        <w:rPr>
          <w:rFonts w:ascii="仿宋" w:eastAsia="仿宋" w:hint="eastAsia"/>
          <w:b w:val="0"/>
          <w:bCs w:val="0"/>
          <w:i w:val="0"/>
          <w:iCs w:val="0"/>
          <w:caps w:val="0"/>
          <w:smallCaps w:val="0"/>
          <w:vanish w:val="0"/>
          <w:color w:val="auto"/>
          <w:spacing w:val="0"/>
          <w:sz w:val="32"/>
          <w:szCs w:val="32"/>
          <w:vertAlign w:val="baseline"/>
        </w:rPr>
        <w:t>《广西壮族自治区自然资源厅</w:t>
      </w:r>
      <w:r>
        <w:rPr>
          <w:rFonts w:ascii="Sans-serif" w:hAnsi="Sans-serif"/>
          <w:b w:val="0"/>
          <w:bCs w:val="0"/>
          <w:i w:val="0"/>
          <w:iCs w:val="0"/>
          <w:caps w:val="0"/>
          <w:smallCaps w:val="0"/>
          <w:vanish w:val="0"/>
          <w:color w:val="000000"/>
          <w:spacing w:val="0"/>
          <w:sz w:val="20"/>
          <w:szCs w:val="20"/>
        </w:rPr>
        <w:t> </w:t>
      </w:r>
      <w:r>
        <w:rPr>
          <w:rFonts w:ascii="仿宋" w:eastAsia="仿宋" w:hint="eastAsia"/>
          <w:b w:val="0"/>
          <w:bCs w:val="0"/>
          <w:i w:val="0"/>
          <w:iCs w:val="0"/>
          <w:caps w:val="0"/>
          <w:smallCaps w:val="0"/>
          <w:vanish w:val="0"/>
          <w:color w:val="auto"/>
          <w:spacing w:val="0"/>
          <w:sz w:val="32"/>
          <w:szCs w:val="32"/>
          <w:vertAlign w:val="baseline"/>
        </w:rPr>
        <w:t>中共广西壮族自治区委员会农村工作领导小组办公室关于学习运用“千万工程”经验做好</w:t>
      </w:r>
      <w:r>
        <w:rPr>
          <w:rFonts w:ascii="Times New Roman" w:hAnsi="Times New Roman"/>
          <w:b w:val="0"/>
          <w:bCs w:val="0"/>
          <w:i w:val="0"/>
          <w:iCs w:val="0"/>
          <w:caps w:val="0"/>
          <w:smallCaps w:val="0"/>
          <w:vanish w:val="0"/>
          <w:color w:val="auto"/>
          <w:spacing w:val="0"/>
          <w:sz w:val="32"/>
          <w:szCs w:val="32"/>
          <w:vertAlign w:val="baseline"/>
        </w:rPr>
        <w:t>2024</w:t>
      </w:r>
      <w:r>
        <w:rPr>
          <w:rFonts w:ascii="仿宋" w:eastAsia="仿宋" w:hint="eastAsia"/>
          <w:b w:val="0"/>
          <w:bCs w:val="0"/>
          <w:i w:val="0"/>
          <w:iCs w:val="0"/>
          <w:caps w:val="0"/>
          <w:smallCaps w:val="0"/>
          <w:vanish w:val="0"/>
          <w:color w:val="auto"/>
          <w:spacing w:val="0"/>
          <w:sz w:val="32"/>
          <w:szCs w:val="32"/>
          <w:vertAlign w:val="baseline"/>
        </w:rPr>
        <w:t>年村庄规划编制实施工作的通知》（桂自然资发〔</w:t>
      </w:r>
      <w:r>
        <w:rPr>
          <w:rFonts w:ascii="Times New Roman" w:hAnsi="Times New Roman"/>
          <w:b w:val="0"/>
          <w:bCs w:val="0"/>
          <w:i w:val="0"/>
          <w:iCs w:val="0"/>
          <w:caps w:val="0"/>
          <w:smallCaps w:val="0"/>
          <w:vanish w:val="0"/>
          <w:color w:val="auto"/>
          <w:spacing w:val="0"/>
          <w:sz w:val="32"/>
          <w:szCs w:val="32"/>
          <w:vertAlign w:val="baseline"/>
        </w:rPr>
        <w:t>2024</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16</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10.</w:t>
      </w:r>
      <w:r>
        <w:rPr>
          <w:rFonts w:ascii="仿宋" w:eastAsia="仿宋" w:hint="eastAsia"/>
          <w:b w:val="0"/>
          <w:bCs w:val="0"/>
          <w:i w:val="0"/>
          <w:iCs w:val="0"/>
          <w:caps w:val="0"/>
          <w:smallCaps w:val="0"/>
          <w:vanish w:val="0"/>
          <w:color w:val="auto"/>
          <w:spacing w:val="0"/>
          <w:sz w:val="32"/>
          <w:szCs w:val="32"/>
          <w:vertAlign w:val="baseline"/>
        </w:rPr>
        <w:t>《广西壮族自治区自然资源厅关于强化村庄规划编制实施助力乡村振兴的通知》（桂自然资发〔</w:t>
      </w:r>
      <w:r>
        <w:rPr>
          <w:rFonts w:ascii="Times New Roman" w:hAnsi="Times New Roman"/>
          <w:b w:val="0"/>
          <w:bCs w:val="0"/>
          <w:i w:val="0"/>
          <w:iCs w:val="0"/>
          <w:caps w:val="0"/>
          <w:smallCaps w:val="0"/>
          <w:vanish w:val="0"/>
          <w:color w:val="auto"/>
          <w:spacing w:val="0"/>
          <w:sz w:val="32"/>
          <w:szCs w:val="32"/>
          <w:vertAlign w:val="baseline"/>
        </w:rPr>
        <w:t>2023</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39</w:t>
      </w:r>
      <w:r>
        <w:rPr>
          <w:rFonts w:ascii="仿宋" w:eastAsia="仿宋" w:hint="eastAsia"/>
          <w:b w:val="0"/>
          <w:bCs w:val="0"/>
          <w:i w:val="0"/>
          <w:iCs w:val="0"/>
          <w:caps w:val="0"/>
          <w:smallCaps w:val="0"/>
          <w:vanish w:val="0"/>
          <w:color w:val="auto"/>
          <w:spacing w:val="0"/>
          <w:sz w:val="32"/>
          <w:szCs w:val="32"/>
          <w:vertAlign w:val="baseline"/>
        </w:rPr>
        <w:t>号）</w:t>
      </w:r>
      <w:r>
        <w:rPr>
          <w:rFonts w:ascii="Times New Roman" w:hAnsi="Times New Roman"/>
          <w:b w:val="0"/>
          <w:bCs w:val="0"/>
          <w:i w:val="0"/>
          <w:iCs w:val="0"/>
          <w:caps w:val="0"/>
          <w:smallCaps w:val="0"/>
          <w:vanish w:val="0"/>
          <w:color w:val="auto"/>
          <w:spacing w:val="0"/>
          <w:sz w:val="32"/>
          <w:szCs w:val="32"/>
          <w:vertAlign w:val="baseline"/>
        </w:rPr>
        <w:t>;</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11.</w:t>
      </w:r>
      <w:r>
        <w:rPr>
          <w:rFonts w:ascii="仿宋" w:eastAsia="仿宋" w:hint="eastAsia"/>
          <w:b w:val="0"/>
          <w:bCs w:val="0"/>
          <w:i w:val="0"/>
          <w:iCs w:val="0"/>
          <w:caps w:val="0"/>
          <w:smallCaps w:val="0"/>
          <w:vanish w:val="0"/>
          <w:color w:val="auto"/>
          <w:spacing w:val="0"/>
          <w:sz w:val="32"/>
          <w:szCs w:val="32"/>
          <w:vertAlign w:val="baseline"/>
        </w:rPr>
        <w:t>《广西壮族自治区自然资源厅办公室关于印发</w:t>
      </w:r>
      <w:r>
        <w:rPr>
          <w:rFonts w:ascii="Times New Roman" w:hAnsi="Times New Roman"/>
          <w:b w:val="0"/>
          <w:bCs w:val="0"/>
          <w:i w:val="0"/>
          <w:iCs w:val="0"/>
          <w:caps w:val="0"/>
          <w:smallCaps w:val="0"/>
          <w:vanish w:val="0"/>
          <w:color w:val="auto"/>
          <w:spacing w:val="0"/>
          <w:sz w:val="32"/>
          <w:szCs w:val="32"/>
          <w:vertAlign w:val="baseline"/>
        </w:rPr>
        <w:t>&lt;</w:t>
      </w:r>
      <w:r>
        <w:rPr>
          <w:rFonts w:ascii="仿宋" w:eastAsia="仿宋" w:hint="eastAsia"/>
          <w:b w:val="0"/>
          <w:bCs w:val="0"/>
          <w:i w:val="0"/>
          <w:iCs w:val="0"/>
          <w:caps w:val="0"/>
          <w:smallCaps w:val="0"/>
          <w:vanish w:val="0"/>
          <w:color w:val="auto"/>
          <w:spacing w:val="0"/>
          <w:sz w:val="32"/>
          <w:szCs w:val="32"/>
          <w:vertAlign w:val="baseline"/>
        </w:rPr>
        <w:t>广西壮族自治区乡村地区“通则式”规划管理规定编制指引（试行）</w:t>
      </w:r>
      <w:r>
        <w:rPr>
          <w:rFonts w:ascii="Times New Roman" w:hAnsi="Times New Roman"/>
          <w:b w:val="0"/>
          <w:bCs w:val="0"/>
          <w:i w:val="0"/>
          <w:iCs w:val="0"/>
          <w:caps w:val="0"/>
          <w:smallCaps w:val="0"/>
          <w:vanish w:val="0"/>
          <w:color w:val="auto"/>
          <w:spacing w:val="0"/>
          <w:sz w:val="32"/>
          <w:szCs w:val="32"/>
          <w:vertAlign w:val="baseline"/>
        </w:rPr>
        <w:t>&gt;</w:t>
      </w:r>
      <w:r>
        <w:rPr>
          <w:rFonts w:ascii="仿宋" w:eastAsia="仿宋" w:hint="eastAsia"/>
          <w:b w:val="0"/>
          <w:bCs w:val="0"/>
          <w:i w:val="0"/>
          <w:iCs w:val="0"/>
          <w:caps w:val="0"/>
          <w:smallCaps w:val="0"/>
          <w:vanish w:val="0"/>
          <w:color w:val="auto"/>
          <w:spacing w:val="0"/>
          <w:sz w:val="32"/>
          <w:szCs w:val="32"/>
          <w:vertAlign w:val="baseline"/>
        </w:rPr>
        <w:t>的通知》（桂自然资办〔</w:t>
      </w:r>
      <w:r>
        <w:rPr>
          <w:rFonts w:ascii="Times New Roman" w:hAnsi="Times New Roman"/>
          <w:b w:val="0"/>
          <w:bCs w:val="0"/>
          <w:i w:val="0"/>
          <w:iCs w:val="0"/>
          <w:caps w:val="0"/>
          <w:smallCaps w:val="0"/>
          <w:vanish w:val="0"/>
          <w:color w:val="auto"/>
          <w:spacing w:val="0"/>
          <w:sz w:val="32"/>
          <w:szCs w:val="32"/>
          <w:vertAlign w:val="baseline"/>
        </w:rPr>
        <w:t>2024</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196</w:t>
      </w:r>
      <w:r>
        <w:rPr>
          <w:rFonts w:ascii="仿宋" w:eastAsia="仿宋" w:hint="eastAsia"/>
          <w:b w:val="0"/>
          <w:bCs w:val="0"/>
          <w:i w:val="0"/>
          <w:iCs w:val="0"/>
          <w:caps w:val="0"/>
          <w:smallCaps w:val="0"/>
          <w:vanish w:val="0"/>
          <w:color w:val="auto"/>
          <w:spacing w:val="0"/>
          <w:sz w:val="32"/>
          <w:szCs w:val="32"/>
          <w:vertAlign w:val="baseline"/>
        </w:rPr>
        <w:t>号）。</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Style w:val="96"/>
          <w:rFonts w:ascii="仿宋" w:eastAsia="仿宋" w:hint="eastAsia"/>
          <w:b w:val="0"/>
          <w:bCs w:val="0"/>
          <w:i w:val="0"/>
          <w:iCs w:val="0"/>
          <w:caps w:val="0"/>
          <w:smallCaps w:val="0"/>
          <w:vanish w:val="0"/>
          <w:color w:val="auto"/>
          <w:spacing w:val="0"/>
          <w:sz w:val="32"/>
          <w:szCs w:val="32"/>
          <w:vertAlign w:val="baseline"/>
        </w:rPr>
        <w:t>（四）相关规划</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1.</w:t>
      </w:r>
      <w:r>
        <w:rPr>
          <w:rFonts w:ascii="仿宋" w:eastAsia="仿宋" w:hint="eastAsia"/>
          <w:b w:val="0"/>
          <w:bCs w:val="0"/>
          <w:i w:val="0"/>
          <w:iCs w:val="0"/>
          <w:caps w:val="0"/>
          <w:smallCaps w:val="0"/>
          <w:vanish w:val="0"/>
          <w:color w:val="auto"/>
          <w:spacing w:val="0"/>
          <w:sz w:val="32"/>
          <w:szCs w:val="32"/>
          <w:vertAlign w:val="baseline"/>
        </w:rPr>
        <w:t>《钦州市国土空间总体规划（</w:t>
      </w:r>
      <w:r>
        <w:rPr>
          <w:rFonts w:ascii="Times New Roman" w:hAnsi="Times New Roman"/>
          <w:b w:val="0"/>
          <w:bCs w:val="0"/>
          <w:i w:val="0"/>
          <w:iCs w:val="0"/>
          <w:caps w:val="0"/>
          <w:smallCaps w:val="0"/>
          <w:vanish w:val="0"/>
          <w:color w:val="auto"/>
          <w:spacing w:val="0"/>
          <w:sz w:val="32"/>
          <w:szCs w:val="32"/>
          <w:vertAlign w:val="baseline"/>
        </w:rPr>
        <w:t>2021</w:t>
      </w:r>
      <w:r>
        <w:rPr>
          <w:rFonts w:ascii="仿宋" w:eastAsia="仿宋" w:hint="eastAsia"/>
          <w:b w:val="0"/>
          <w:bCs w:val="0"/>
          <w:i w:val="0"/>
          <w:iCs w:val="0"/>
          <w:caps w:val="0"/>
          <w:smallCaps w:val="0"/>
          <w:vanish w:val="0"/>
          <w:color w:val="auto"/>
          <w:spacing w:val="0"/>
          <w:sz w:val="32"/>
          <w:szCs w:val="32"/>
          <w:vertAlign w:val="baseline"/>
        </w:rPr>
        <w:t>—</w:t>
      </w:r>
      <w:r>
        <w:rPr>
          <w:rFonts w:ascii="Times New Roman" w:hAnsi="Times New Roman"/>
          <w:b w:val="0"/>
          <w:bCs w:val="0"/>
          <w:i w:val="0"/>
          <w:iCs w:val="0"/>
          <w:caps w:val="0"/>
          <w:smallCaps w:val="0"/>
          <w:vanish w:val="0"/>
          <w:color w:val="auto"/>
          <w:spacing w:val="0"/>
          <w:sz w:val="32"/>
          <w:szCs w:val="32"/>
          <w:vertAlign w:val="baseline"/>
        </w:rPr>
        <w:t>2035</w:t>
      </w:r>
      <w:r>
        <w:rPr>
          <w:rFonts w:ascii="仿宋" w:eastAsia="仿宋" w:hint="eastAsia"/>
          <w:b w:val="0"/>
          <w:bCs w:val="0"/>
          <w:i w:val="0"/>
          <w:iCs w:val="0"/>
          <w:caps w:val="0"/>
          <w:smallCaps w:val="0"/>
          <w:vanish w:val="0"/>
          <w:color w:val="auto"/>
          <w:spacing w:val="0"/>
          <w:sz w:val="32"/>
          <w:szCs w:val="32"/>
          <w:vertAlign w:val="baseline"/>
        </w:rPr>
        <w:t>年）》；</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2.</w:t>
      </w:r>
      <w:r>
        <w:rPr>
          <w:rFonts w:ascii="仿宋" w:eastAsia="仿宋" w:hint="eastAsia"/>
          <w:b w:val="0"/>
          <w:bCs w:val="0"/>
          <w:i w:val="0"/>
          <w:iCs w:val="0"/>
          <w:caps w:val="0"/>
          <w:smallCaps w:val="0"/>
          <w:vanish w:val="0"/>
          <w:color w:val="auto"/>
          <w:spacing w:val="0"/>
          <w:sz w:val="32"/>
          <w:szCs w:val="32"/>
          <w:vertAlign w:val="baseline"/>
        </w:rPr>
        <w:t>《钦州市农房特色风貌管控导则》；</w:t>
      </w:r>
    </w:p>
    <w:p>
      <w:pPr>
        <w:pStyle w:val="101"/>
        <w:pBdr>
          <w:top w:val="none" w:sz="0" w:space="0" w:color="auto"/>
          <w:left w:val="none" w:sz="0" w:space="0" w:color="auto"/>
          <w:bottom w:val="none" w:sz="0" w:space="0" w:color="auto"/>
          <w:right w:val="none" w:sz="0" w:space="0" w:color="auto"/>
        </w:pBdr>
        <w:bidi w:val="0"/>
        <w:spacing w:before="0" w:beforeAutospacing="0" w:after="0" w:afterAutospacing="0" w:line="554" w:lineRule="atLeast"/>
        <w:ind w:left="0" w:right="0" w:firstLine="644"/>
        <w:rPr>
          <w:rFonts w:ascii="Sans-serif" w:hAnsi="Sans-serif"/>
          <w:b w:val="0"/>
          <w:bCs w:val="0"/>
          <w:i w:val="0"/>
          <w:iCs w:val="0"/>
          <w:caps w:val="0"/>
          <w:smallCaps w:val="0"/>
          <w:vanish w:val="0"/>
          <w:color w:val="000000"/>
          <w:spacing w:val="0"/>
          <w:sz w:val="20"/>
          <w:szCs w:val="20"/>
        </w:rPr>
      </w:pPr>
      <w:r>
        <w:rPr>
          <w:rFonts w:ascii="Times New Roman" w:hAnsi="Times New Roman"/>
          <w:b w:val="0"/>
          <w:bCs w:val="0"/>
          <w:i w:val="0"/>
          <w:iCs w:val="0"/>
          <w:caps w:val="0"/>
          <w:smallCaps w:val="0"/>
          <w:vanish w:val="0"/>
          <w:color w:val="auto"/>
          <w:spacing w:val="0"/>
          <w:sz w:val="32"/>
          <w:szCs w:val="32"/>
          <w:vertAlign w:val="baseline"/>
        </w:rPr>
        <w:t>3.</w:t>
      </w:r>
      <w:r>
        <w:rPr>
          <w:rFonts w:ascii="仿宋" w:eastAsia="仿宋" w:hint="eastAsia"/>
          <w:b w:val="0"/>
          <w:bCs w:val="0"/>
          <w:i w:val="0"/>
          <w:iCs w:val="0"/>
          <w:caps w:val="0"/>
          <w:smallCaps w:val="0"/>
          <w:vanish w:val="0"/>
          <w:color w:val="auto"/>
          <w:spacing w:val="0"/>
          <w:sz w:val="32"/>
          <w:szCs w:val="32"/>
          <w:vertAlign w:val="baseline"/>
        </w:rPr>
        <w:t>《钦州市钦北区农村房屋特色风貌管控导则》。</w:t>
      </w:r>
    </w:p>
    <w:p>
      <w:pPr>
        <w:pStyle w:val="1"/>
        <w:numPr>
          <w:ilvl w:val="0"/>
          <w:numId w:val="0"/>
        </w:numPr>
        <w:jc w:val="both"/>
      </w:pPr>
      <w:r>
        <w:rPr>
          <w:rFonts w:hint="eastAsia"/>
        </w:rPr>
        <w:t>附表</w:t>
      </w:r>
      <w:bookmarkEnd w:id="103"/>
    </w:p>
    <w:p>
      <w:pPr>
        <w:pStyle w:val="2"/>
        <w:numPr>
          <w:ilvl w:val="0"/>
          <w:numId w:val="0"/>
        </w:numPr>
        <w:ind w:left="0" w:firstLine="643"/>
        <w:jc w:val="center"/>
      </w:pPr>
      <w:bookmarkStart w:id="107" w:name="_Toc209510484"/>
      <w:r>
        <w:rPr>
          <w:rFonts w:hint="eastAsia"/>
        </w:rPr>
        <w:t>附表</w:t>
      </w:r>
      <w:r>
        <w:t xml:space="preserve">1 </w:t>
      </w:r>
      <w:r>
        <w:rPr>
          <w:rFonts w:hint="eastAsia"/>
        </w:rPr>
        <w:t>钦北区村庄分类一览表</w:t>
      </w:r>
      <w:bookmarkEnd w:id="107"/>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00"/>
        <w:gridCol w:w="6396"/>
      </w:tblGrid>
      <w:tr>
        <w:tc>
          <w:tcPr>
            <w:tcW w:w="1145" w:type="pct"/>
            <w:vAlign w:val="center"/>
          </w:tcPr>
          <w:p>
            <w:pPr>
              <w:widowControl/>
              <w:spacing w:line="440" w:lineRule="exact"/>
              <w:jc w:val="center"/>
              <w:rPr>
                <w:rFonts w:ascii="仿宋" w:eastAsia="仿宋" w:cs="宋体" w:hAnsi="仿宋"/>
                <w:b/>
                <w:color w:val="000000"/>
                <w:kern w:val="0"/>
                <w:sz w:val="28"/>
                <w:szCs w:val="28"/>
              </w:rPr>
            </w:pPr>
            <w:r>
              <w:rPr>
                <w:rFonts w:ascii="仿宋" w:eastAsia="仿宋" w:cs="宋体" w:hAnsi="仿宋" w:hint="eastAsia"/>
                <w:b/>
                <w:color w:val="000000"/>
                <w:kern w:val="0"/>
                <w:sz w:val="28"/>
                <w:szCs w:val="28"/>
              </w:rPr>
              <w:t>类型</w:t>
            </w:r>
          </w:p>
        </w:tc>
        <w:tc>
          <w:tcPr>
            <w:tcW w:w="3855" w:type="pct"/>
          </w:tcPr>
          <w:p>
            <w:pPr>
              <w:widowControl/>
              <w:spacing w:line="440" w:lineRule="exact"/>
              <w:jc w:val="center"/>
              <w:rPr>
                <w:rFonts w:ascii="仿宋" w:eastAsia="仿宋" w:cs="宋体" w:hAnsi="仿宋"/>
                <w:b/>
                <w:color w:val="000000"/>
                <w:kern w:val="0"/>
                <w:sz w:val="28"/>
                <w:szCs w:val="28"/>
              </w:rPr>
            </w:pPr>
            <w:r>
              <w:rPr>
                <w:rFonts w:ascii="仿宋" w:eastAsia="仿宋" w:cs="宋体" w:hAnsi="仿宋" w:hint="eastAsia"/>
                <w:b/>
                <w:color w:val="000000"/>
                <w:kern w:val="0"/>
                <w:sz w:val="28"/>
                <w:szCs w:val="28"/>
              </w:rPr>
              <w:t>涉及行政村</w:t>
            </w:r>
          </w:p>
        </w:tc>
      </w:tr>
      <w:tr>
        <w:tc>
          <w:tcPr>
            <w:tcW w:w="1145" w:type="pct"/>
            <w:vMerge w:val="restart"/>
            <w:vAlign w:val="center"/>
          </w:tcPr>
          <w:p>
            <w:pPr>
              <w:widowControl/>
              <w:spacing w:line="440" w:lineRule="exact"/>
              <w:jc w:val="center"/>
              <w:rPr>
                <w:rFonts w:ascii="仿宋" w:eastAsia="仿宋" w:cs="宋体" w:hAnsi="仿宋"/>
                <w:b/>
                <w:color w:val="000000"/>
                <w:kern w:val="0"/>
                <w:sz w:val="28"/>
                <w:szCs w:val="28"/>
              </w:rPr>
            </w:pPr>
            <w:r>
              <w:rPr>
                <w:rFonts w:ascii="仿宋" w:eastAsia="仿宋" w:cs="宋体" w:hAnsi="仿宋" w:hint="eastAsia"/>
                <w:b/>
                <w:color w:val="000000"/>
                <w:kern w:val="0"/>
                <w:sz w:val="28"/>
                <w:szCs w:val="28"/>
              </w:rPr>
              <w:t>集聚提升类</w:t>
            </w:r>
          </w:p>
        </w:tc>
        <w:tc>
          <w:tcPr>
            <w:tcW w:w="3855" w:type="pct"/>
          </w:tcPr>
          <w:p>
            <w:pPr>
              <w:widowControl/>
              <w:spacing w:line="440" w:lineRule="exact"/>
              <w:jc w:val="left"/>
              <w:rPr>
                <w:rFonts w:ascii="仿宋" w:eastAsia="仿宋" w:cs="宋体" w:hAnsi="仿宋"/>
                <w:b/>
                <w:color w:val="000000"/>
                <w:kern w:val="0"/>
                <w:sz w:val="28"/>
                <w:szCs w:val="28"/>
              </w:rPr>
            </w:pPr>
            <w:r>
              <w:rPr>
                <w:rFonts w:ascii="仿宋" w:eastAsia="仿宋" w:cs="宋体" w:hAnsi="仿宋" w:hint="eastAsia"/>
                <w:color w:val="000000"/>
                <w:kern w:val="0"/>
                <w:sz w:val="28"/>
                <w:szCs w:val="28"/>
              </w:rPr>
              <w:t>大垌镇大塘村、横岭村</w:t>
            </w:r>
          </w:p>
        </w:tc>
      </w:tr>
      <w:tr>
        <w:tc>
          <w:tcPr>
            <w:tcW w:w="1145" w:type="pct"/>
            <w:vMerge/>
            <w:vAlign w:val="center"/>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平吉镇彭良村、湴塘村、平里村、三冬村、榃标村</w:t>
            </w:r>
          </w:p>
        </w:tc>
      </w:tr>
      <w:tr>
        <w:tc>
          <w:tcPr>
            <w:tcW w:w="1145" w:type="pct"/>
            <w:vMerge/>
            <w:vAlign w:val="center"/>
          </w:tcPr>
          <w:p/>
        </w:tc>
        <w:tc>
          <w:tcPr>
            <w:tcW w:w="3855" w:type="pct"/>
          </w:tcPr>
          <w:p>
            <w:pPr>
              <w:widowControl/>
              <w:spacing w:line="440" w:lineRule="exact"/>
              <w:jc w:val="left"/>
              <w:rPr>
                <w:rFonts w:ascii="仿宋" w:eastAsia="仿宋" w:cs="宋体" w:hAnsi="仿宋"/>
                <w:b/>
                <w:color w:val="000000"/>
                <w:kern w:val="0"/>
                <w:sz w:val="28"/>
                <w:szCs w:val="28"/>
              </w:rPr>
            </w:pPr>
            <w:r>
              <w:rPr>
                <w:rFonts w:ascii="仿宋" w:eastAsia="仿宋" w:cs="宋体" w:hAnsi="仿宋" w:hint="eastAsia"/>
                <w:color w:val="000000"/>
                <w:kern w:val="0"/>
                <w:sz w:val="28"/>
                <w:szCs w:val="28"/>
              </w:rPr>
              <w:t>青塘镇大岐村、高峰村、决竹村、青苏村、新村村</w:t>
            </w:r>
          </w:p>
        </w:tc>
      </w:tr>
      <w:tr>
        <w:tc>
          <w:tcPr>
            <w:tcW w:w="1145" w:type="pct"/>
            <w:vMerge/>
            <w:vAlign w:val="center"/>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小董镇多隆村、那道村</w:t>
            </w:r>
          </w:p>
        </w:tc>
      </w:tr>
      <w:tr>
        <w:tc>
          <w:tcPr>
            <w:tcW w:w="1145" w:type="pct"/>
            <w:vMerge/>
            <w:vAlign w:val="center"/>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板城镇飞跃村、高龙村、牛寮村、屯车村、新城村</w:t>
            </w:r>
          </w:p>
        </w:tc>
      </w:tr>
      <w:tr>
        <w:tc>
          <w:tcPr>
            <w:tcW w:w="1145" w:type="pct"/>
            <w:vMerge/>
            <w:vAlign w:val="center"/>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那蒙镇湴山村、陂角村、平福村、四维村、屯里村</w:t>
            </w:r>
          </w:p>
        </w:tc>
      </w:tr>
      <w:tr>
        <w:tc>
          <w:tcPr>
            <w:tcW w:w="1145" w:type="pct"/>
            <w:vMerge/>
            <w:vAlign w:val="center"/>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长滩镇荣庆村、上汶村、榃袅村、屯六村</w:t>
            </w:r>
          </w:p>
        </w:tc>
      </w:tr>
      <w:tr>
        <w:tc>
          <w:tcPr>
            <w:tcW w:w="1145" w:type="pct"/>
            <w:vMerge/>
            <w:vAlign w:val="center"/>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新棠镇南局村、南忠村、屯王村</w:t>
            </w:r>
          </w:p>
        </w:tc>
      </w:tr>
      <w:tr>
        <w:tc>
          <w:tcPr>
            <w:tcW w:w="1145" w:type="pct"/>
            <w:vMerge/>
            <w:vAlign w:val="center"/>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大直镇富雄村、那么村</w:t>
            </w:r>
          </w:p>
        </w:tc>
      </w:tr>
      <w:tr>
        <w:tc>
          <w:tcPr>
            <w:tcW w:w="1145" w:type="pct"/>
            <w:vMerge/>
            <w:vAlign w:val="center"/>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大寺镇敦民村、广琅村、那河村、南间村</w:t>
            </w:r>
          </w:p>
        </w:tc>
      </w:tr>
      <w:tr>
        <w:tc>
          <w:tcPr>
            <w:tcW w:w="1145" w:type="pct"/>
            <w:vMerge w:val="restart"/>
            <w:vAlign w:val="center"/>
          </w:tcPr>
          <w:p>
            <w:pPr>
              <w:widowControl/>
              <w:spacing w:line="440" w:lineRule="exact"/>
              <w:jc w:val="center"/>
              <w:rPr>
                <w:rFonts w:ascii="仿宋" w:eastAsia="仿宋" w:cs="宋体" w:hAnsi="仿宋"/>
                <w:b/>
                <w:color w:val="000000"/>
                <w:kern w:val="0"/>
                <w:sz w:val="28"/>
                <w:szCs w:val="28"/>
              </w:rPr>
            </w:pPr>
            <w:r>
              <w:rPr>
                <w:rFonts w:ascii="仿宋" w:eastAsia="仿宋" w:cs="宋体" w:hAnsi="仿宋" w:hint="eastAsia"/>
                <w:b/>
                <w:color w:val="000000"/>
                <w:kern w:val="0"/>
                <w:sz w:val="28"/>
                <w:szCs w:val="28"/>
              </w:rPr>
              <w:t>特色保护类</w:t>
            </w: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长滩镇屯巷村</w:t>
            </w:r>
          </w:p>
        </w:tc>
      </w:tr>
      <w:tr>
        <w:tc>
          <w:tcPr>
            <w:tcW w:w="1145" w:type="pct"/>
            <w:vMerge/>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那蒙镇竹山村</w:t>
            </w:r>
          </w:p>
        </w:tc>
      </w:tr>
      <w:tr>
        <w:tc>
          <w:tcPr>
            <w:tcW w:w="1145" w:type="pct"/>
            <w:vMerge w:val="restart"/>
            <w:vAlign w:val="center"/>
          </w:tcPr>
          <w:p>
            <w:pPr>
              <w:widowControl/>
              <w:spacing w:line="440" w:lineRule="exact"/>
              <w:jc w:val="center"/>
              <w:rPr>
                <w:rFonts w:ascii="仿宋" w:eastAsia="仿宋" w:cs="宋体" w:hAnsi="仿宋"/>
                <w:b/>
                <w:color w:val="000000"/>
                <w:kern w:val="0"/>
                <w:sz w:val="28"/>
                <w:szCs w:val="28"/>
              </w:rPr>
            </w:pPr>
            <w:r>
              <w:rPr>
                <w:rFonts w:ascii="仿宋" w:eastAsia="仿宋" w:cs="宋体" w:hAnsi="仿宋" w:hint="eastAsia"/>
                <w:b/>
                <w:color w:val="000000"/>
                <w:kern w:val="0"/>
                <w:sz w:val="28"/>
                <w:szCs w:val="28"/>
              </w:rPr>
              <w:t>城郊融合类</w:t>
            </w: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大垌镇歌标村</w:t>
            </w:r>
          </w:p>
        </w:tc>
      </w:tr>
      <w:tr>
        <w:tc>
          <w:tcPr>
            <w:tcW w:w="1145" w:type="pct"/>
            <w:vMerge/>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平吉镇八仙村、古隆村</w:t>
            </w:r>
          </w:p>
        </w:tc>
      </w:tr>
      <w:tr>
        <w:tc>
          <w:tcPr>
            <w:tcW w:w="1145" w:type="pct"/>
            <w:vMerge/>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青塘镇华岭村</w:t>
            </w:r>
          </w:p>
        </w:tc>
      </w:tr>
      <w:tr>
        <w:tc>
          <w:tcPr>
            <w:tcW w:w="1145" w:type="pct"/>
            <w:vMerge/>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小董镇东联村、榃头村</w:t>
            </w:r>
          </w:p>
        </w:tc>
      </w:tr>
      <w:tr>
        <w:tc>
          <w:tcPr>
            <w:tcW w:w="1145" w:type="pct"/>
            <w:vMerge/>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板城镇竹山村</w:t>
            </w:r>
          </w:p>
        </w:tc>
      </w:tr>
      <w:tr>
        <w:tc>
          <w:tcPr>
            <w:tcW w:w="1145" w:type="pct"/>
            <w:vMerge/>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那蒙镇那桂村</w:t>
            </w:r>
          </w:p>
        </w:tc>
      </w:tr>
      <w:tr>
        <w:tc>
          <w:tcPr>
            <w:tcW w:w="1145" w:type="pct"/>
            <w:vMerge/>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大寺镇屯强村</w:t>
            </w:r>
          </w:p>
        </w:tc>
      </w:tr>
      <w:tr>
        <w:tc>
          <w:tcPr>
            <w:tcW w:w="1145" w:type="pct"/>
            <w:vMerge/>
          </w:tcP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贵台镇洞利村、那逻村</w:t>
            </w:r>
          </w:p>
        </w:tc>
      </w:tr>
      <w:tr>
        <w:tc>
          <w:tcPr>
            <w:tcW w:w="1145" w:type="pct"/>
          </w:tcPr>
          <w:p>
            <w:pPr>
              <w:widowControl/>
              <w:spacing w:line="440" w:lineRule="exact"/>
              <w:jc w:val="center"/>
              <w:rPr>
                <w:rFonts w:ascii="仿宋" w:eastAsia="仿宋" w:cs="宋体" w:hAnsi="仿宋"/>
                <w:b/>
                <w:color w:val="000000"/>
                <w:kern w:val="0"/>
                <w:sz w:val="28"/>
                <w:szCs w:val="28"/>
              </w:rPr>
            </w:pPr>
            <w:r>
              <w:rPr>
                <w:rFonts w:ascii="仿宋" w:eastAsia="仿宋" w:cs="宋体" w:hAnsi="仿宋" w:hint="eastAsia"/>
                <w:b/>
                <w:color w:val="000000"/>
                <w:kern w:val="0"/>
                <w:sz w:val="28"/>
                <w:szCs w:val="28"/>
              </w:rPr>
              <w:t>暂不分类</w:t>
            </w:r>
          </w:p>
        </w:tc>
        <w:tc>
          <w:tcPr>
            <w:tcW w:w="3855" w:type="pct"/>
          </w:tcPr>
          <w:p>
            <w:pPr>
              <w:widowControl/>
              <w:spacing w:line="440" w:lineRule="exact"/>
              <w:jc w:val="left"/>
              <w:rPr>
                <w:rFonts w:ascii="仿宋" w:eastAsia="仿宋" w:cs="宋体" w:hAnsi="仿宋"/>
                <w:color w:val="000000"/>
                <w:kern w:val="0"/>
                <w:sz w:val="28"/>
                <w:szCs w:val="28"/>
              </w:rPr>
            </w:pPr>
            <w:r>
              <w:rPr>
                <w:rFonts w:ascii="仿宋" w:eastAsia="仿宋" w:cs="宋体" w:hAnsi="仿宋" w:hint="eastAsia"/>
                <w:color w:val="000000"/>
                <w:kern w:val="0"/>
                <w:sz w:val="28"/>
                <w:szCs w:val="28"/>
              </w:rPr>
              <w:t>余下村庄为暂不分类村庄</w:t>
            </w:r>
          </w:p>
        </w:tc>
      </w:tr>
    </w:tbl>
    <w:p/>
    <w:p>
      <w:pPr>
        <w:widowControl/>
        <w:jc w:val="left"/>
      </w:pPr>
      <w:r>
        <w:br w:type="page"/>
      </w:r>
    </w:p>
    <w:p>
      <w:pPr>
        <w:pStyle w:val="2"/>
        <w:numPr>
          <w:ilvl w:val="0"/>
          <w:numId w:val="0"/>
        </w:numPr>
        <w:ind w:left="0" w:firstLine="643"/>
        <w:jc w:val="center"/>
      </w:pPr>
      <w:bookmarkStart w:id="108" w:name="_Toc209510485"/>
      <w:r>
        <w:rPr>
          <w:rFonts w:hint="eastAsia"/>
        </w:rPr>
        <w:t>附表2</w:t>
      </w:r>
      <w:r>
        <w:t xml:space="preserve"> </w:t>
      </w:r>
      <w:r>
        <w:rPr>
          <w:rFonts w:hint="eastAsia"/>
        </w:rPr>
        <w:t>钦北区村庄建设用地指标分解表</w:t>
      </w:r>
      <w:bookmarkEnd w:id="108"/>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8"/>
        <w:gridCol w:w="1412"/>
        <w:gridCol w:w="2552"/>
        <w:gridCol w:w="1926"/>
        <w:gridCol w:w="1697"/>
      </w:tblGrid>
      <w:tr>
        <w:trPr>
          <w:trHeight w:val="285"/>
          <w:tblHeader/>
        </w:trPr>
        <w:tc>
          <w:tcPr>
            <w:tcW w:w="427"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序号</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乡镇</w:t>
            </w:r>
          </w:p>
        </w:tc>
        <w:tc>
          <w:tcPr>
            <w:tcW w:w="1538"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行政村</w:t>
            </w:r>
          </w:p>
        </w:tc>
        <w:tc>
          <w:tcPr>
            <w:tcW w:w="2184" w:type="pct"/>
            <w:gridSpan w:val="2"/>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村庄建设用地总面积（公顷）</w:t>
            </w:r>
          </w:p>
        </w:tc>
      </w:tr>
      <w:tr>
        <w:trPr>
          <w:trHeight w:val="285"/>
          <w:tblHeader/>
        </w:trPr>
        <w:tc>
          <w:tcPr>
            <w:tcW w:w="427" w:type="pct"/>
            <w:vMerge/>
            <w:tcBorders>
              <w:top w:val="single" w:sz="4" w:space="0" w:color="auto"/>
              <w:left w:val="single" w:sz="4" w:space="0" w:color="auto"/>
              <w:bottom w:val="single" w:sz="4" w:space="0" w:color="auto"/>
              <w:right w:val="single" w:sz="4" w:space="0" w:color="auto"/>
            </w:tcBorders>
            <w:vAlign w:val="center"/>
          </w:tcP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vMerge/>
            <w:tcBorders>
              <w:top w:val="single" w:sz="4" w:space="0" w:color="auto"/>
              <w:left w:val="single" w:sz="4" w:space="0" w:color="auto"/>
              <w:bottom w:val="single" w:sz="4" w:space="0" w:color="auto"/>
              <w:right w:val="single" w:sz="4" w:space="0" w:color="auto"/>
            </w:tcBorders>
            <w:vAlign w:val="center"/>
          </w:tcP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规划基期年</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规划目标年</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长田街道办事处</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城北社区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39.2632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19.3106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皇马社区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103.6422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79.1335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大井社区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3.1734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0.3878</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长田街道办事处合计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146.0788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98.8319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鸿亭街道办事处</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小江社区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0.6982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2.0915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山塘社区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0.5829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3.6814</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鸿亭街道办事处合计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1.2811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5.7729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子材街道办事处</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永福社区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0.0510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0.0000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沙坡社区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0.0000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0.0000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白水塘社区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3.2803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0.8260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北营社区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14.0434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4.5413</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子材街道办事处合计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17.3747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5.3673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大垌镇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平山村委会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66.3055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54.2494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良田村委会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60.7280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46.6694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米家村委会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66.8371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57.5400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大塘村委会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40.4511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47.7300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歌标村委会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39.0452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41.3695</w:t>
            </w:r>
          </w:p>
        </w:tc>
      </w:tr>
      <w:tr>
        <w:trPr>
          <w:trHeight w:val="90"/>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大片村委会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26.6668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19.9277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平辽村委会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35.0591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24.3795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大垌村委会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79.7786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73.4535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横岭村委会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87.2985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85.8662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三十六曲林场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3.6162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1.9507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大垌林场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0.0000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0.0461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大垌镇经济站</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0.4617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0.3907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江表村委会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99.7511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107.9900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大垌镇直属</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12.7656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5.7746</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大垌镇合计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618.7647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567.3374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24</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平吉镇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平吉村委会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21.4435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20.5366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古秀村委会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91.6961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67.7200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八仙村委会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82.1856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100.9407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榃兰村委会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62.8917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56.5664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平沙村委会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46.8117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43.5443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新胜村委会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124.7144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122.8376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古隆村委会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100.9183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131.5259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榃标村委会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80.0180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65.3542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牛江村委会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98.5700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101.1419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白鹤垌村委会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46.7155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46.5835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贤架村委会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81.0290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93.0907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广平村委会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72.8460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65.2235</w:t>
            </w:r>
          </w:p>
        </w:tc>
      </w:tr>
      <w:tr>
        <w:trPr>
          <w:trHeight w:val="220"/>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平里村委会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73.6382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65.8027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大田坪村委会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47.6088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40.8981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永隆村委会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75.4912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79.4493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湴塘村委会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44.6752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44.2438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彭良村委会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81.9180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79.4766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朱林村委会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86.3538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83.1514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三冬村委会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36.2901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34.4378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那拉紫胶林场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10.2457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9.3806</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平吉镇合计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1366.0609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1351.9056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青塘镇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红村村委会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64.0712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58.9327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高峰村委会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26.7299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26.6868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华岭村委会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39.8112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37.5232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青塘村委会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38.3276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32.9294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青全村委会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67.3499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60.9093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榃山村委会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42.1398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39.2397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青华村委会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36.6647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34.6007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新村村委会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47.7211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45.0275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榃甫村委会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107.5443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92.4854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大岐村委会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39.3444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36.3950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决竹村委会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38.5433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36.7943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青苏村委会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63.5822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52.3569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那路村委会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30.1283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23.7664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新光农场十六队</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0.9078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0.9078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新光农场十七队</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0.2611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0.2611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新光农场二十队</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0.0827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0.0827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新光农场十一队</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2.7014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1.2174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新光农场十队</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1.0034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0.4669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新光农场二十七队</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0.2309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0.2309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新光农场十三队</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0.0000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0.0000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新光农场十九队</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3.6474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3.2422</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青塘镇合计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650.7926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584.0562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小董镇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那兰村委会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55.6375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52.5300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多隆村委会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83.8057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75.0100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中花村委会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85.3743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85.1383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那料村委会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78.3601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78.3393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那道村委会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70.0344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61.0607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那学村委会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84.3027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81.9777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榃头村委会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63.3284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53.6400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东联村委会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92.4419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83.0000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吉水村委会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51.9673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46.6100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逍遥村委会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81.4456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77.1932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板董村委会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41.9150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39.8897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奇陵村委会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77.4705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75.1455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榃楼村委会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49.1733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47.1255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龙眼村委会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40.0380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37.9792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西陵村委会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99.9549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95.3499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那陵村委会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77.5587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76.3808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紫胶林场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1.2826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1.2826</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小董镇合计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1134.0911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1067.6523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82</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板城镇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那香社区居委会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37.7891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20.7854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众仁村委会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18.4709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16.9846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厚孟村委会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28.8170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23.3388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中心村委会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34.2559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30.3033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新城村委会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92.8147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88.7469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朝阳村委会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45.0757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44.7105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板中村委会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65.2793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60.4205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牛寮村委会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44.7781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44.6985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屯车村委会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65.2520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60.6068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板城村委会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50.3268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42.7381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竹山村委会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46.9650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46.1054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三联村委会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32.3978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29.7398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屯茂村委会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41.0812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40.9745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六虾村委会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49.4460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48.4899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宁家村委会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22.3840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20.8935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飞跃村委会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43.6532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43.5762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红华村委会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36.5011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36.2900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那觅村委会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62.8523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57.2929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那芳村委会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60.3538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52.0452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高龙村委会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52.1377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47.3158</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板城镇合计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930.6316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856.0566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102</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那蒙镇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四维村委会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45.1280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42.0314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平福村委会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57.5337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57.5154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六马村委会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39.8986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39.8822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湴山村委会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85.2893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79.4643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那桂村委会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71.1338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63.0904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板选村委会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34.8732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31.7391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屯周村委会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89.3512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80.4090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109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陂角村委会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97.3570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92.2497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竹山村委会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90.8419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86.1908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那蒙村委会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65.1438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55.0785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屯里村委会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77.2802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71.0204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岳马村委会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45.1151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43.2327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硃砂村委会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82.1292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67.7557</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那蒙镇合计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881.0751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809.6597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115</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长滩镇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长滩镇社区居委会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58.7996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54.8740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古勉村委会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59.0361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53.2789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新勤村委会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38.2345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37.3208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榃袅村委会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29.0877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25.1712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119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那袅村委会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26.6191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23.6051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胜利村委会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31.2533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30.4405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新铺村委会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38.1558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37.6477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屯六村委会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76.3082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68.5449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荣庆村委会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45.7055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43.3239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马朝村委会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65.1365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56.5878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屯巷村委会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36.2662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36.2673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谈读村委会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65.5881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61.0657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连丰村委会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59.9355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56.9805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上汶村委会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56.5396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53.5795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129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那谷村委会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48.7872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44.0567</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长滩镇合计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735.4529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682.7445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130</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新棠镇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南局村委会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33.6547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37.6700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屯林村委会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29.5301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25.2173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平况村委会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49.2702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38.9123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那黎村委会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72.7926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65.3926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屯楼村委会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47.9357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50.2104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屯王村委会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57.7012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56.1808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榃忠村委会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74.1285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61.1358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南忠村委会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91.4137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70.4408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新棠村委会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73.8400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82.2600</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新棠镇合计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530.2666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487.4201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139</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大直镇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大直镇政府</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0.0000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0.0121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那天村委会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35.1174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35.0115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屯蒙村委会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49.6781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45.8746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大利村委会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63.6174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60.7649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富雄村委会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70.2910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67.0430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英雄村委会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65.2185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62.7521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那光村委会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38.6857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35.4613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胜利村委会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34.4123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32.5481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充文村委会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22.3327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22.1484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大直村委会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52.7911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45.6318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149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彭久村委会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57.7721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55.9677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那泮村委会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17.8047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17.0851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派亩村委会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49.2949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45.2809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双那村委会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36.1873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31.6940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屯笔村委会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67.1352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65.3265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义和村委会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21.7918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20.6504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那桃村委会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91.3070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85.7797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天岩村委会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45.8006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42.3675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米拱村委会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36.0523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32.8707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屯品村委会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58.5822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56.9173</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159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那么村委会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34.5621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33.9758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屯宽村委会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53.3836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48.3011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王岗村委会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40.4482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37.8772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三十六曲林场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2.2417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2.2417</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大直镇合计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1044.5080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983.5832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163</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大寺镇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屯强村委会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76.7799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76.3939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新晓村委会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59.0918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58.9717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四联村委会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81.4104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74.4300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宿禾村委会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44.3528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44.2416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天安村委会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57.5267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53.5781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屯妙村委会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78.7325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73.6996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169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广琅村委会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46.7721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44.1720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百庆村委会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40.3527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38.5771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屯首村委会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53.3391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52.2930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敦民村委会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39.4396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35.5728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五宁村委会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43.0158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41.9846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南间村委会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82.1199</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92.1400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那桑村委会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88.2841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75.4151</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大寺村委会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95.7194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75.1800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那葛村委会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87.7513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74.2400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那河村委会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53.0736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47.2952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179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三益村委会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46.9507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39.3800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三门滩村委会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38.8506</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36.9235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紫胶林场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0.4863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0.4863</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大寺镇合计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1114.0493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1034.9744</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182</w:t>
            </w:r>
          </w:p>
        </w:tc>
        <w:tc>
          <w:tcPr>
            <w:tcW w:w="851" w:type="pct"/>
            <w:vMerge w:val="restar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贵台镇</w:t>
            </w: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那逻村委会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47.7753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59.2100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爱国村委会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39.0487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29.8768</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184</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屯良村委会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60.7587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49.1650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185</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百美村委会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35.0348</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30.1115</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186</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大路村委会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55.2380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42.5422</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187</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那美村委会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32.0953</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26.5909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188</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那朴村委会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42.7457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41.7386</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189</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洞利村委会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71.9455</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99.8300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190</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那桃村委会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36.5422</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30.2357</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191</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那略村委会</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54.0400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47.7569</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192</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三十六曲林场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5.7567</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6.0470</w:t>
            </w:r>
          </w:p>
        </w:tc>
      </w:tr>
      <w:tr>
        <w:trPr>
          <w:trHeight w:val="285"/>
        </w:trPr>
        <w:tc>
          <w:tcPr>
            <w:tcW w:w="427"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193</w:t>
            </w:r>
          </w:p>
        </w:tc>
        <w:tc>
          <w:tcPr>
            <w:tcW w:w="851" w:type="pct"/>
            <w:vMerge/>
            <w:tcBorders>
              <w:top w:val="single" w:sz="4" w:space="0" w:color="auto"/>
              <w:left w:val="single" w:sz="4" w:space="0" w:color="auto"/>
              <w:bottom w:val="single" w:sz="4" w:space="0" w:color="auto"/>
              <w:right w:val="single" w:sz="4" w:space="0" w:color="auto"/>
            </w:tcBorders>
            <w:vAlign w:val="center"/>
          </w:tcPr>
          <w:p/>
        </w:tc>
        <w:tc>
          <w:tcPr>
            <w:tcW w:w="1538"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hint="eastAsia"/>
                <w:color w:val="000000"/>
                <w:kern w:val="0"/>
                <w:sz w:val="24"/>
                <w:szCs w:val="28"/>
              </w:rPr>
              <w:t>贵台镇政府林场</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0.0000</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4"/>
                <w:szCs w:val="28"/>
              </w:rPr>
            </w:pPr>
            <w:r>
              <w:rPr>
                <w:rFonts w:ascii="仿宋" w:eastAsia="仿宋" w:cs="宋体" w:hAnsi="仿宋"/>
                <w:color w:val="000000"/>
                <w:kern w:val="0"/>
                <w:sz w:val="24"/>
                <w:szCs w:val="28"/>
              </w:rPr>
              <w:t>0.0000</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贵台镇合计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480.9811</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463.1046</w:t>
            </w:r>
          </w:p>
        </w:tc>
      </w:tr>
      <w:tr>
        <w:trPr>
          <w:trHeight w:val="285"/>
        </w:trPr>
        <w:tc>
          <w:tcPr>
            <w:tcW w:w="2816" w:type="pct"/>
            <w:gridSpan w:val="3"/>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hint="eastAsia"/>
                <w:b/>
                <w:color w:val="000000"/>
                <w:kern w:val="0"/>
                <w:sz w:val="24"/>
                <w:szCs w:val="28"/>
              </w:rPr>
              <w:t>钦北区合计</w:t>
            </w:r>
          </w:p>
        </w:tc>
        <w:tc>
          <w:tcPr>
            <w:tcW w:w="1161"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9651.4084</w:t>
            </w:r>
          </w:p>
        </w:tc>
        <w:tc>
          <w:tcPr>
            <w:tcW w:w="1023" w:type="pct"/>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4"/>
                <w:szCs w:val="28"/>
              </w:rPr>
            </w:pPr>
            <w:r>
              <w:rPr>
                <w:rFonts w:ascii="仿宋" w:eastAsia="仿宋" w:cs="宋体" w:hAnsi="仿宋"/>
                <w:b/>
                <w:color w:val="000000"/>
                <w:kern w:val="0"/>
                <w:sz w:val="24"/>
                <w:szCs w:val="28"/>
              </w:rPr>
              <w:t>8998.4666</w:t>
            </w:r>
          </w:p>
        </w:tc>
      </w:tr>
      <w:tr>
        <w:trPr>
          <w:trHeight w:val="285"/>
        </w:trPr>
        <w:tc>
          <w:tcPr>
            <w:tcW w:w="5000" w:type="pct"/>
            <w:gridSpan w:val="5"/>
            <w:tcBorders>
              <w:top w:val="single" w:sz="4" w:space="0" w:color="auto"/>
              <w:left w:val="single" w:sz="4" w:space="0" w:color="auto"/>
              <w:bottom w:val="single" w:sz="4" w:space="0" w:color="auto"/>
              <w:right w:val="single" w:sz="4" w:space="0" w:color="auto"/>
            </w:tcBorders>
            <w:noWrap/>
            <w:vAlign w:val="center"/>
          </w:tcPr>
          <w:p>
            <w:pPr>
              <w:widowControl/>
              <w:spacing w:line="440" w:lineRule="exact"/>
              <w:rPr>
                <w:rFonts w:ascii="仿宋" w:eastAsia="仿宋" w:cs="宋体" w:hAnsi="仿宋"/>
                <w:color w:val="000000"/>
                <w:kern w:val="0"/>
                <w:sz w:val="24"/>
                <w:szCs w:val="28"/>
              </w:rPr>
            </w:pPr>
            <w:r>
              <w:rPr>
                <w:rFonts w:ascii="仿宋" w:eastAsia="仿宋" w:cs="宋体" w:hAnsi="仿宋" w:hint="eastAsia"/>
                <w:color w:val="000000"/>
                <w:kern w:val="0"/>
                <w:sz w:val="24"/>
                <w:szCs w:val="28"/>
              </w:rPr>
              <w:t>注：</w:t>
            </w:r>
          </w:p>
          <w:p>
            <w:pPr>
              <w:widowControl/>
              <w:spacing w:line="440" w:lineRule="exact"/>
              <w:rPr>
                <w:rFonts w:ascii="仿宋" w:eastAsia="仿宋" w:cs="宋体" w:hAnsi="仿宋"/>
                <w:color w:val="000000"/>
                <w:kern w:val="0"/>
                <w:sz w:val="24"/>
                <w:szCs w:val="28"/>
              </w:rPr>
            </w:pPr>
            <w:bookmarkStart w:id="109" w:name="OLE_LINK4"/>
            <w:bookmarkStart w:id="110" w:name="OLE_LINK3"/>
            <w:r>
              <w:rPr>
                <w:rFonts w:ascii="仿宋" w:eastAsia="仿宋" w:cs="宋体" w:hAnsi="仿宋"/>
                <w:color w:val="000000"/>
                <w:kern w:val="0"/>
                <w:sz w:val="24"/>
                <w:szCs w:val="28"/>
              </w:rPr>
              <w:t>1.</w:t>
            </w:r>
            <w:r>
              <w:rPr>
                <w:rFonts w:ascii="仿宋" w:eastAsia="仿宋" w:cs="宋体" w:hAnsi="仿宋" w:hint="eastAsia"/>
                <w:color w:val="000000"/>
                <w:kern w:val="0"/>
                <w:sz w:val="24"/>
                <w:szCs w:val="28"/>
              </w:rPr>
              <w:t>钦北区</w:t>
            </w:r>
            <w:r>
              <w:rPr>
                <w:rFonts w:ascii="仿宋" w:eastAsia="仿宋" w:cs="宋体" w:hAnsi="仿宋"/>
                <w:color w:val="000000"/>
                <w:kern w:val="0"/>
                <w:sz w:val="24"/>
                <w:szCs w:val="28"/>
              </w:rPr>
              <w:t>2020</w:t>
            </w:r>
            <w:r>
              <w:rPr>
                <w:rFonts w:ascii="仿宋" w:eastAsia="仿宋" w:cs="宋体" w:hAnsi="仿宋" w:hint="eastAsia"/>
                <w:color w:val="000000"/>
                <w:kern w:val="0"/>
                <w:sz w:val="24"/>
                <w:szCs w:val="28"/>
              </w:rPr>
              <w:t>年国土变更调查村庄用地（</w:t>
            </w:r>
            <w:r>
              <w:rPr>
                <w:rFonts w:ascii="仿宋" w:eastAsia="仿宋" w:cs="宋体" w:hAnsi="仿宋"/>
                <w:color w:val="000000"/>
                <w:kern w:val="0"/>
                <w:sz w:val="24"/>
                <w:szCs w:val="28"/>
              </w:rPr>
              <w:t>203</w:t>
            </w:r>
            <w:r>
              <w:rPr>
                <w:rFonts w:ascii="仿宋" w:eastAsia="仿宋" w:cs="宋体" w:hAnsi="仿宋" w:hint="eastAsia"/>
                <w:color w:val="000000"/>
                <w:kern w:val="0"/>
                <w:sz w:val="24"/>
                <w:szCs w:val="28"/>
              </w:rPr>
              <w:t>）面积</w:t>
            </w:r>
            <w:r>
              <w:rPr>
                <w:rFonts w:ascii="仿宋" w:eastAsia="仿宋" w:cs="宋体" w:hAnsi="仿宋"/>
                <w:color w:val="000000"/>
                <w:kern w:val="0"/>
                <w:sz w:val="24"/>
                <w:szCs w:val="28"/>
              </w:rPr>
              <w:t>9651.4084</w:t>
            </w:r>
            <w:r>
              <w:rPr>
                <w:rFonts w:ascii="仿宋" w:eastAsia="仿宋" w:cs="宋体" w:hAnsi="仿宋" w:hint="eastAsia"/>
                <w:color w:val="000000"/>
                <w:kern w:val="0"/>
                <w:sz w:val="24"/>
                <w:szCs w:val="28"/>
              </w:rPr>
              <w:t>公顷，扣除位于城镇开发边界内的村庄用地</w:t>
            </w:r>
            <w:r>
              <w:rPr>
                <w:rFonts w:ascii="仿宋" w:eastAsia="仿宋" w:cs="宋体" w:hAnsi="仿宋"/>
                <w:color w:val="000000"/>
                <w:kern w:val="0"/>
                <w:sz w:val="24"/>
                <w:szCs w:val="28"/>
              </w:rPr>
              <w:t>206.6651</w:t>
            </w:r>
            <w:r>
              <w:rPr>
                <w:rFonts w:ascii="仿宋" w:eastAsia="仿宋" w:cs="宋体" w:hAnsi="仿宋" w:hint="eastAsia"/>
                <w:color w:val="000000"/>
                <w:kern w:val="0"/>
                <w:sz w:val="24"/>
                <w:szCs w:val="28"/>
              </w:rPr>
              <w:t>公顷，分解下达村庄建设用地指标</w:t>
            </w:r>
            <w:r>
              <w:rPr>
                <w:rFonts w:ascii="仿宋" w:eastAsia="仿宋" w:cs="宋体" w:hAnsi="仿宋"/>
                <w:color w:val="000000"/>
                <w:kern w:val="0"/>
                <w:sz w:val="24"/>
                <w:szCs w:val="28"/>
              </w:rPr>
              <w:t>8998.4666</w:t>
            </w:r>
            <w:r>
              <w:rPr>
                <w:rFonts w:ascii="仿宋" w:eastAsia="仿宋" w:cs="宋体" w:hAnsi="仿宋" w:hint="eastAsia"/>
                <w:color w:val="000000"/>
                <w:kern w:val="0"/>
                <w:sz w:val="24"/>
                <w:szCs w:val="28"/>
              </w:rPr>
              <w:t>公顷，剩余</w:t>
            </w:r>
            <w:r>
              <w:rPr>
                <w:rFonts w:ascii="仿宋" w:eastAsia="仿宋" w:cs="宋体" w:hAnsi="仿宋"/>
                <w:color w:val="000000"/>
                <w:kern w:val="0"/>
                <w:sz w:val="24"/>
                <w:szCs w:val="28"/>
              </w:rPr>
              <w:t>446.2767</w:t>
            </w:r>
            <w:r>
              <w:rPr>
                <w:rFonts w:ascii="仿宋" w:eastAsia="仿宋" w:cs="宋体" w:hAnsi="仿宋" w:hint="eastAsia"/>
                <w:color w:val="000000"/>
                <w:kern w:val="0"/>
                <w:sz w:val="24"/>
                <w:szCs w:val="28"/>
              </w:rPr>
              <w:t>公顷指标未分解。未分解指标可在编制乡镇级国土空间规划和村庄规划的过程中，作为机动指标预留，机动指标不得超过下达村庄建设用地指标</w:t>
            </w:r>
            <w:r>
              <w:rPr>
                <w:rFonts w:ascii="仿宋" w:eastAsia="仿宋" w:cs="宋体" w:hAnsi="仿宋"/>
                <w:color w:val="000000"/>
                <w:kern w:val="0"/>
                <w:sz w:val="24"/>
                <w:szCs w:val="28"/>
              </w:rPr>
              <w:t>5%</w:t>
            </w:r>
            <w:r>
              <w:rPr>
                <w:rFonts w:ascii="仿宋" w:eastAsia="仿宋" w:cs="宋体" w:hAnsi="仿宋" w:hint="eastAsia"/>
                <w:color w:val="000000"/>
                <w:kern w:val="0"/>
                <w:sz w:val="24"/>
                <w:szCs w:val="28"/>
              </w:rPr>
              <w:t>。</w:t>
            </w:r>
          </w:p>
          <w:p>
            <w:pPr>
              <w:widowControl/>
              <w:spacing w:line="440" w:lineRule="exact"/>
            </w:pPr>
            <w:r>
              <w:rPr>
                <w:rFonts w:ascii="仿宋" w:eastAsia="仿宋" w:cs="宋体" w:hAnsi="仿宋"/>
                <w:color w:val="000000"/>
                <w:kern w:val="0"/>
                <w:sz w:val="24"/>
                <w:szCs w:val="28"/>
              </w:rPr>
              <w:t>2.</w:t>
            </w:r>
            <w:r>
              <w:rPr>
                <w:rFonts w:ascii="仿宋" w:eastAsia="仿宋" w:cs="宋体" w:hAnsi="仿宋" w:hint="eastAsia"/>
                <w:color w:val="000000"/>
                <w:kern w:val="0"/>
                <w:sz w:val="24"/>
                <w:szCs w:val="28"/>
              </w:rPr>
              <w:t>表中规划目标年指标经规划行政主管部门论证后，可在编制乡镇级国土空间规划和村庄规划过程中适当调整。</w:t>
            </w:r>
            <w:bookmarkEnd w:id="109"/>
            <w:bookmarkEnd w:id="110"/>
          </w:p>
        </w:tc>
      </w:tr>
    </w:tbl>
    <w:p/>
    <w:p>
      <w:pPr>
        <w:widowControl/>
        <w:jc w:val="left"/>
      </w:pPr>
      <w:r>
        <w:br w:type="page"/>
      </w:r>
    </w:p>
    <w:p>
      <w:pPr>
        <w:pStyle w:val="2"/>
        <w:numPr>
          <w:ilvl w:val="0"/>
          <w:numId w:val="0"/>
        </w:numPr>
        <w:ind w:left="0" w:firstLine="643"/>
        <w:jc w:val="center"/>
        <w:rPr>
          <w:b w:val="0"/>
        </w:rPr>
      </w:pPr>
      <w:bookmarkStart w:id="111" w:name="_Toc209510486"/>
      <w:r>
        <w:rPr>
          <w:rFonts w:hint="eastAsia"/>
        </w:rPr>
        <w:t>附表</w:t>
      </w:r>
      <w:r>
        <w:t xml:space="preserve">3 </w:t>
      </w:r>
      <w:r>
        <w:rPr>
          <w:rFonts w:hint="eastAsia"/>
        </w:rPr>
        <w:t>钦北区历史文化保护资源一览表</w:t>
      </w:r>
      <w:bookmarkEnd w:id="111"/>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55"/>
        <w:gridCol w:w="4961"/>
        <w:gridCol w:w="1156"/>
      </w:tblGrid>
      <w:tr>
        <w:trPr>
          <w:trHeight w:val="227"/>
        </w:trPr>
        <w:tc>
          <w:tcPr>
            <w:tcW w:w="1555"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b/>
                <w:color w:val="000000"/>
                <w:kern w:val="0"/>
                <w:sz w:val="28"/>
                <w:szCs w:val="28"/>
              </w:rPr>
            </w:pPr>
            <w:r>
              <w:rPr>
                <w:rFonts w:ascii="仿宋" w:eastAsia="仿宋" w:cs="宋体" w:hAnsi="仿宋" w:hint="eastAsia"/>
                <w:b/>
                <w:color w:val="000000"/>
                <w:kern w:val="0"/>
                <w:sz w:val="28"/>
                <w:szCs w:val="28"/>
              </w:rPr>
              <w:t>等级</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8"/>
                <w:szCs w:val="28"/>
              </w:rPr>
            </w:pPr>
            <w:r>
              <w:rPr>
                <w:rFonts w:ascii="仿宋" w:eastAsia="仿宋" w:cs="宋体" w:hAnsi="仿宋" w:hint="eastAsia"/>
                <w:b/>
                <w:color w:val="000000"/>
                <w:kern w:val="0"/>
                <w:sz w:val="28"/>
                <w:szCs w:val="28"/>
              </w:rPr>
              <w:t>名称</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b/>
                <w:color w:val="000000"/>
                <w:kern w:val="0"/>
                <w:sz w:val="28"/>
                <w:szCs w:val="28"/>
              </w:rPr>
            </w:pPr>
            <w:r>
              <w:rPr>
                <w:rFonts w:ascii="仿宋" w:eastAsia="仿宋" w:cs="宋体" w:hAnsi="仿宋" w:hint="eastAsia"/>
                <w:b/>
                <w:color w:val="000000"/>
                <w:kern w:val="0"/>
                <w:sz w:val="28"/>
                <w:szCs w:val="28"/>
              </w:rPr>
              <w:t>位置</w:t>
            </w:r>
          </w:p>
        </w:tc>
      </w:tr>
      <w:tr>
        <w:trPr>
          <w:trHeight w:val="227"/>
        </w:trPr>
        <w:tc>
          <w:tcPr>
            <w:tcW w:w="1555" w:type="dxa"/>
            <w:vMerge w:val="restart"/>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自治区级文物保护单位</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黄明堂墓</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大寺镇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冯敏昌墓</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大寺镇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屯巷村抗战活动旧址（新月堂）</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长滩镇</w:t>
            </w:r>
          </w:p>
        </w:tc>
      </w:tr>
      <w:tr>
        <w:trPr>
          <w:trHeight w:val="71"/>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联保小学堂</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小董镇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六虾村抗战及中共钦县地下党活动旧址（六虾村韦氏祠堂）</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板城镇</w:t>
            </w:r>
          </w:p>
        </w:tc>
      </w:tr>
      <w:tr>
        <w:trPr>
          <w:trHeight w:val="227"/>
        </w:trPr>
        <w:tc>
          <w:tcPr>
            <w:tcW w:w="1555" w:type="dxa"/>
            <w:vMerge w:val="restart"/>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市级文物保护单位</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古城角遗址</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平吉镇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下红泥沟故城址</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平吉镇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小董铜鱼书院</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小董镇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新屋坪苏氏围屋建筑群</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长滩镇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古氏宗祠</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板城镇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小董革命烈士纪念碑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小董镇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贵台镇革命烈士纪念碑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贵台镇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长滩革命烈士纪念碑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长滩镇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中共钦县第一届人民政府办公旧址</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小董镇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小董大桥</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小董镇</w:t>
            </w:r>
          </w:p>
        </w:tc>
      </w:tr>
      <w:tr>
        <w:trPr>
          <w:trHeight w:val="475"/>
        </w:trPr>
        <w:tc>
          <w:tcPr>
            <w:tcW w:w="1555" w:type="dxa"/>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国家级传统村落</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屯巷村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长滩镇</w:t>
            </w:r>
          </w:p>
        </w:tc>
      </w:tr>
      <w:tr>
        <w:trPr>
          <w:trHeight w:val="227"/>
        </w:trPr>
        <w:tc>
          <w:tcPr>
            <w:tcW w:w="1555" w:type="dxa"/>
            <w:vMerge w:val="restart"/>
            <w:tcBorders>
              <w:top w:val="single" w:sz="4" w:space="0" w:color="auto"/>
              <w:left w:val="single" w:sz="4" w:space="0" w:color="auto"/>
              <w:bottom w:val="single" w:sz="4" w:space="0" w:color="auto"/>
              <w:right w:val="single" w:sz="4" w:space="0" w:color="auto"/>
            </w:tcBorders>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省级传统村落</w:t>
            </w: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屯苏村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板城镇</w:t>
            </w:r>
          </w:p>
        </w:tc>
      </w:tr>
      <w:tr>
        <w:trPr>
          <w:trHeight w:val="227"/>
        </w:trPr>
        <w:tc>
          <w:tcPr>
            <w:tcW w:w="1555" w:type="dxa"/>
            <w:vMerge/>
            <w:tcBorders>
              <w:top w:val="single" w:sz="4" w:space="0" w:color="auto"/>
              <w:left w:val="single" w:sz="4" w:space="0" w:color="auto"/>
              <w:bottom w:val="single" w:sz="4" w:space="0" w:color="auto"/>
              <w:right w:val="single" w:sz="4" w:space="0" w:color="auto"/>
            </w:tcBorders>
            <w:vAlign w:val="center"/>
          </w:tcPr>
          <w:p/>
        </w:tc>
        <w:tc>
          <w:tcPr>
            <w:tcW w:w="4961"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新晓村委那练村</w:t>
            </w:r>
          </w:p>
        </w:tc>
        <w:tc>
          <w:tcPr>
            <w:tcW w:w="1156"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仿宋" w:eastAsia="仿宋" w:cs="宋体" w:hAnsi="仿宋"/>
                <w:color w:val="000000"/>
                <w:kern w:val="0"/>
                <w:sz w:val="28"/>
                <w:szCs w:val="28"/>
              </w:rPr>
            </w:pPr>
            <w:r>
              <w:rPr>
                <w:rFonts w:ascii="仿宋" w:eastAsia="仿宋" w:cs="宋体" w:hAnsi="仿宋" w:hint="eastAsia"/>
                <w:color w:val="000000"/>
                <w:kern w:val="0"/>
                <w:sz w:val="28"/>
                <w:szCs w:val="28"/>
              </w:rPr>
              <w:t>大寺镇</w:t>
            </w:r>
          </w:p>
        </w:tc>
      </w:tr>
    </w:tbl>
    <w:p>
      <w:pPr>
        <w:widowControl/>
        <w:jc w:val="left"/>
        <w:rPr>
          <w:rFonts w:ascii="Calibri Light" w:eastAsia="仿宋" w:cs="Times New Roman" w:hAnsi="Calibri Light"/>
          <w:b/>
          <w:color w:val="000000"/>
          <w:sz w:val="32"/>
          <w:szCs w:val="40"/>
        </w:rPr>
      </w:pPr>
      <w:r>
        <w:br w:type="page"/>
      </w:r>
    </w:p>
    <w:p>
      <w:pPr>
        <w:pStyle w:val="2"/>
        <w:numPr>
          <w:ilvl w:val="0"/>
          <w:numId w:val="0"/>
        </w:numPr>
        <w:ind w:left="0" w:firstLine="643"/>
        <w:jc w:val="center"/>
      </w:pPr>
      <w:bookmarkStart w:id="112" w:name="_Toc209510487"/>
      <w:r>
        <w:rPr>
          <w:rFonts w:hint="eastAsia"/>
        </w:rPr>
        <w:t>附表</w:t>
      </w:r>
      <w:r>
        <w:t xml:space="preserve">4 </w:t>
      </w:r>
      <w:r>
        <w:rPr>
          <w:rFonts w:hint="eastAsia"/>
        </w:rPr>
        <w:t>机动指标使用正面清单</w:t>
      </w:r>
      <w:bookmarkEnd w:id="112"/>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296"/>
      </w:tblGrid>
      <w:tr>
        <w:tc>
          <w:tcPr>
            <w:tcW w:w="5000" w:type="pct"/>
            <w:tcBorders>
              <w:top w:val="single" w:sz="4" w:space="0" w:color="auto"/>
              <w:left w:val="single" w:sz="4" w:space="0" w:color="auto"/>
              <w:bottom w:val="single" w:sz="4" w:space="0" w:color="auto"/>
              <w:right w:val="single" w:sz="4" w:space="0" w:color="auto"/>
            </w:tcBorders>
          </w:tcPr>
          <w:p>
            <w:pPr>
              <w:spacing w:line="440" w:lineRule="exact"/>
              <w:ind w:firstLine="562"/>
              <w:jc w:val="center"/>
              <w:rPr>
                <w:rFonts w:ascii="仿宋" w:eastAsia="仿宋" w:hAnsi="仿宋"/>
                <w:b/>
                <w:sz w:val="28"/>
              </w:rPr>
            </w:pPr>
            <w:r>
              <w:rPr>
                <w:rFonts w:ascii="仿宋" w:eastAsia="仿宋" w:hAnsi="仿宋" w:hint="eastAsia"/>
                <w:b/>
                <w:sz w:val="28"/>
              </w:rPr>
              <w:t>机动指标使用正面清单</w:t>
            </w:r>
          </w:p>
        </w:tc>
      </w:tr>
      <w:tr>
        <w:tc>
          <w:tcPr>
            <w:tcW w:w="5000" w:type="pct"/>
            <w:tcBorders>
              <w:top w:val="single" w:sz="4" w:space="0" w:color="auto"/>
              <w:left w:val="single" w:sz="4" w:space="0" w:color="auto"/>
              <w:bottom w:val="single" w:sz="4" w:space="0" w:color="auto"/>
              <w:right w:val="single" w:sz="4" w:space="0" w:color="auto"/>
            </w:tcBorders>
          </w:tcPr>
          <w:p>
            <w:pPr>
              <w:spacing w:line="440" w:lineRule="exact"/>
              <w:ind w:firstLine="560"/>
              <w:rPr>
                <w:rFonts w:ascii="仿宋" w:eastAsia="仿宋" w:hAnsi="仿宋"/>
                <w:sz w:val="28"/>
              </w:rPr>
            </w:pPr>
            <w:r>
              <w:rPr>
                <w:rFonts w:ascii="仿宋" w:eastAsia="仿宋" w:hAnsi="仿宋" w:hint="eastAsia"/>
                <w:sz w:val="28"/>
              </w:rPr>
              <w:t>在符合三区三线和其他底线红线的相关管控要求，以及符合产业项目准入负面清单中明确的管控措施和要求的前提下，应符合如下要求：</w:t>
            </w:r>
          </w:p>
        </w:tc>
      </w:tr>
      <w:tr>
        <w:tc>
          <w:tcPr>
            <w:tcW w:w="5000" w:type="pct"/>
            <w:tcBorders>
              <w:top w:val="single" w:sz="4" w:space="0" w:color="auto"/>
              <w:left w:val="single" w:sz="4" w:space="0" w:color="auto"/>
              <w:bottom w:val="single" w:sz="4" w:space="0" w:color="auto"/>
              <w:right w:val="single" w:sz="4" w:space="0" w:color="auto"/>
            </w:tcBorders>
          </w:tcPr>
          <w:p>
            <w:pPr>
              <w:spacing w:line="440" w:lineRule="exact"/>
              <w:ind w:firstLine="560"/>
              <w:rPr>
                <w:rFonts w:ascii="仿宋" w:eastAsia="仿宋" w:hAnsi="仿宋"/>
                <w:sz w:val="28"/>
              </w:rPr>
            </w:pPr>
            <w:r>
              <w:rPr>
                <w:rFonts w:ascii="仿宋" w:eastAsia="仿宋" w:hAnsi="仿宋"/>
                <w:sz w:val="28"/>
              </w:rPr>
              <w:t>1.</w:t>
            </w:r>
            <w:r>
              <w:rPr>
                <w:rFonts w:ascii="仿宋" w:eastAsia="仿宋" w:hAnsi="仿宋" w:hint="eastAsia"/>
                <w:sz w:val="28"/>
              </w:rPr>
              <w:t>属于以“用途留白”“点位示意”或“项目清单”等方式纳入村庄规划的项目类。</w:t>
            </w:r>
          </w:p>
        </w:tc>
      </w:tr>
      <w:tr>
        <w:tc>
          <w:tcPr>
            <w:tcW w:w="5000" w:type="pct"/>
            <w:tcBorders>
              <w:top w:val="single" w:sz="4" w:space="0" w:color="auto"/>
              <w:left w:val="single" w:sz="4" w:space="0" w:color="auto"/>
              <w:bottom w:val="single" w:sz="4" w:space="0" w:color="auto"/>
              <w:right w:val="single" w:sz="4" w:space="0" w:color="auto"/>
            </w:tcBorders>
          </w:tcPr>
          <w:p>
            <w:pPr>
              <w:spacing w:line="440" w:lineRule="exact"/>
              <w:ind w:firstLine="560"/>
              <w:rPr>
                <w:rFonts w:ascii="仿宋" w:eastAsia="仿宋" w:hAnsi="仿宋"/>
                <w:sz w:val="28"/>
              </w:rPr>
            </w:pPr>
            <w:r>
              <w:rPr>
                <w:rFonts w:ascii="仿宋" w:eastAsia="仿宋" w:hAnsi="仿宋"/>
                <w:sz w:val="28"/>
              </w:rPr>
              <w:t>2.</w:t>
            </w:r>
            <w:r>
              <w:rPr>
                <w:rFonts w:ascii="仿宋" w:eastAsia="仿宋" w:hAnsi="仿宋" w:hint="eastAsia"/>
                <w:sz w:val="28"/>
              </w:rPr>
              <w:t>单个建设用地面积小于</w:t>
            </w:r>
            <w:r>
              <w:rPr>
                <w:rFonts w:ascii="仿宋" w:eastAsia="仿宋" w:hAnsi="仿宋"/>
                <w:sz w:val="28"/>
              </w:rPr>
              <w:t xml:space="preserve"> 30 </w:t>
            </w:r>
            <w:r>
              <w:rPr>
                <w:rFonts w:ascii="仿宋" w:eastAsia="仿宋" w:hAnsi="仿宋" w:hint="eastAsia"/>
                <w:sz w:val="28"/>
              </w:rPr>
              <w:t>亩，符合国家和广西壮族自治区规定的点状供地范围的项目类：</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1）农村基础设施和公共服务设施用地；</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2）乡镇企业、农民合作社、家庭农场、森林经营单位自用的管理和生活用地；</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3）休闲农业和养老服务设施用地；</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4）乡村旅游用地，包括</w:t>
            </w:r>
            <w:r>
              <w:rPr>
                <w:rFonts w:ascii="仿宋" w:eastAsia="仿宋" w:hAnsi="仿宋" w:hint="eastAsia"/>
                <w:sz w:val="28"/>
              </w:rPr>
              <w:t>自驾房车营地、游客服务中心、旅游码头、民俗体验、停车场、旅游公厕等；</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5）</w:t>
            </w:r>
            <w:r>
              <w:rPr>
                <w:rFonts w:ascii="仿宋" w:eastAsia="仿宋" w:hAnsi="仿宋" w:hint="eastAsia"/>
                <w:sz w:val="28"/>
              </w:rPr>
              <w:t>依托于山水田林湖海湿地的旅游项目用地；</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6）</w:t>
            </w:r>
            <w:r>
              <w:rPr>
                <w:rFonts w:ascii="仿宋" w:eastAsia="仿宋" w:hAnsi="仿宋" w:hint="eastAsia"/>
                <w:sz w:val="28"/>
              </w:rPr>
              <w:t>农业产业设施用地，包括农产品加工、农产品冷链、物流仓储、农产品批发市场、集中兴建的公共农业设施等；</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7）</w:t>
            </w:r>
            <w:r>
              <w:rPr>
                <w:rFonts w:ascii="仿宋" w:eastAsia="仿宋" w:hAnsi="仿宋" w:hint="eastAsia"/>
                <w:sz w:val="28"/>
              </w:rPr>
              <w:t>农村一二三产业融合发展中的其他新产业、新业态用地；</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8）</w:t>
            </w:r>
            <w:r>
              <w:rPr>
                <w:rFonts w:ascii="仿宋" w:eastAsia="仿宋" w:hAnsi="仿宋" w:hint="eastAsia"/>
                <w:sz w:val="28"/>
              </w:rPr>
              <w:t>法律法规规定的符合点状供地条件的其他用地。</w:t>
            </w:r>
          </w:p>
        </w:tc>
      </w:tr>
      <w:tr>
        <w:tc>
          <w:tcPr>
            <w:tcW w:w="5000" w:type="pct"/>
            <w:tcBorders>
              <w:top w:val="single" w:sz="4" w:space="0" w:color="auto"/>
              <w:left w:val="single" w:sz="4" w:space="0" w:color="auto"/>
              <w:bottom w:val="single" w:sz="4" w:space="0" w:color="auto"/>
              <w:right w:val="single" w:sz="4" w:space="0" w:color="auto"/>
            </w:tcBorders>
          </w:tcPr>
          <w:p>
            <w:pPr>
              <w:spacing w:line="440" w:lineRule="exact"/>
              <w:ind w:firstLine="560"/>
              <w:rPr>
                <w:rFonts w:ascii="仿宋" w:eastAsia="仿宋" w:hAnsi="仿宋"/>
                <w:sz w:val="28"/>
              </w:rPr>
            </w:pPr>
            <w:r>
              <w:rPr>
                <w:rFonts w:ascii="仿宋" w:eastAsia="仿宋" w:hAnsi="仿宋"/>
                <w:sz w:val="28"/>
              </w:rPr>
              <w:t>3.</w:t>
            </w:r>
            <w:r>
              <w:rPr>
                <w:rFonts w:ascii="仿宋" w:eastAsia="仿宋" w:hAnsi="仿宋" w:hint="eastAsia"/>
                <w:sz w:val="28"/>
              </w:rPr>
              <w:t>其他特殊选址、零星用地的项目类：</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1）有特殊选址要求的乡村公共服务设施，包括养老服务设施、农村公益性公墓、卫生防疫站、乡村特殊教育学校等；</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2）有特殊选址要求的基础设施，包括供水设施、泵站、污水处理设施、垃圾收储设施、垃圾转运处理设施、公共厕所、厕所粪污集中处理相关设施、供电设施、通讯设施等；</w:t>
            </w:r>
          </w:p>
          <w:p>
            <w:pPr>
              <w:spacing w:line="440" w:lineRule="exact"/>
              <w:ind w:firstLine="560"/>
              <w:rPr>
                <w:rFonts w:ascii="仿宋" w:eastAsia="仿宋" w:hAnsi="仿宋"/>
                <w:sz w:val="28"/>
              </w:rPr>
            </w:pPr>
            <w:r>
              <w:rPr>
                <w:rFonts w:ascii="仿宋" w:eastAsia="仿宋" w:hAnsi="仿宋" w:hint="eastAsia"/>
                <w:sz w:val="28"/>
              </w:rPr>
              <w:t>（</w:t>
            </w:r>
            <w:r>
              <w:rPr>
                <w:rFonts w:ascii="仿宋" w:eastAsia="仿宋" w:hAnsi="仿宋"/>
                <w:sz w:val="28"/>
              </w:rPr>
              <w:t>3）零星分散的村民居住等建设项目。</w:t>
            </w:r>
          </w:p>
        </w:tc>
      </w:tr>
    </w:tbl>
    <w:p>
      <w:pPr>
        <w:ind w:firstLine="420"/>
      </w:pPr>
    </w:p>
    <w:p>
      <w:pPr>
        <w:widowControl/>
        <w:ind w:firstLine="420"/>
        <w:jc w:val="left"/>
      </w:pPr>
      <w:r>
        <w:br w:type="page"/>
      </w:r>
    </w:p>
    <w:p>
      <w:pPr>
        <w:pStyle w:val="2"/>
        <w:numPr>
          <w:ilvl w:val="0"/>
          <w:numId w:val="0"/>
        </w:numPr>
        <w:ind w:left="643"/>
        <w:jc w:val="center"/>
      </w:pPr>
      <w:bookmarkStart w:id="113" w:name="_Toc209510488"/>
      <w:r>
        <w:rPr>
          <w:rFonts w:hint="eastAsia"/>
        </w:rPr>
        <w:t>附表</w:t>
      </w:r>
      <w:r>
        <w:t xml:space="preserve">5 </w:t>
      </w:r>
      <w:r>
        <w:rPr>
          <w:rFonts w:hint="eastAsia"/>
        </w:rPr>
        <w:t>乡村建设行为负面清单</w:t>
      </w:r>
      <w:bookmarkEnd w:id="113"/>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296"/>
      </w:tblGrid>
      <w:tr>
        <w:trPr>
          <w:trHeight w:val="397"/>
        </w:trPr>
        <w:tc>
          <w:tcPr>
            <w:tcW w:w="5000" w:type="pct"/>
            <w:tcBorders>
              <w:top w:val="single" w:sz="4" w:space="0" w:color="auto"/>
              <w:left w:val="single" w:sz="4" w:space="0" w:color="auto"/>
              <w:bottom w:val="single" w:sz="4" w:space="0" w:color="auto"/>
              <w:right w:val="single" w:sz="4" w:space="0" w:color="auto"/>
            </w:tcBorders>
          </w:tcPr>
          <w:p>
            <w:pPr>
              <w:spacing w:line="420" w:lineRule="exact"/>
              <w:ind w:firstLine="562"/>
              <w:jc w:val="center"/>
              <w:rPr>
                <w:rFonts w:ascii="仿宋" w:eastAsia="仿宋" w:cs="宋体" w:hAnsi="仿宋"/>
                <w:color w:val="000000"/>
                <w:kern w:val="0"/>
                <w:sz w:val="28"/>
                <w:szCs w:val="28"/>
              </w:rPr>
            </w:pPr>
            <w:r>
              <w:rPr>
                <w:rFonts w:ascii="仿宋" w:eastAsia="仿宋" w:hAnsi="仿宋" w:hint="eastAsia"/>
                <w:b/>
                <w:sz w:val="28"/>
              </w:rPr>
              <w:t>乡村建设行为负面清单</w:t>
            </w:r>
          </w:p>
        </w:tc>
      </w:tr>
      <w:tr>
        <w:trPr>
          <w:trHeight w:val="397"/>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永久基本农田严禁占用情形：严禁占用永久基本农田挖湖造景、建设绿化带；严禁新增占用永久基本农田建设畜禽养殖设施、水产养殖设施和破坏耕作层的种植业设施；严禁任何单位和个人在永久基本农田上建窑、建房、建坟、挖砂、采石、取土、堆放固体废弃物或者进行其他破坏永久基本农田的活动。</w:t>
            </w:r>
          </w:p>
        </w:tc>
      </w:tr>
      <w:tr>
        <w:trPr>
          <w:trHeight w:val="397"/>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2</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禁止占用耕地建窑、建坟或者擅自在耕地上建房、挖砂、采石、采矿、取土等。禁止占用永久基本农田发展林果业和挖塘养鱼。禁止任何单位和个人闲置、荒芜耕地。</w:t>
            </w:r>
          </w:p>
        </w:tc>
      </w:tr>
      <w:tr>
        <w:trPr>
          <w:trHeight w:val="397"/>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3</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严禁以设施农业为名占用耕地违法违规建设与农业发展无关的设施；严禁在农业大棚内违法违规占用耕地建设住宅、餐饮、娱乐等非农设施。</w:t>
            </w:r>
          </w:p>
        </w:tc>
      </w:tr>
      <w:tr>
        <w:trPr>
          <w:trHeight w:val="397"/>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4</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农村乱占耕地建房“八不准”：不准占用永久基本农田建房；不准强占多占耕地建房；不准买卖、流转耕地违法建房；不准在承包耕地上违法建房；不准巧立名目违法占用耕地建房；不准违反“一户一宅”规定占用耕地建房；不准非法出售占用耕地建的房屋；不准违法审批占用耕地建房。</w:t>
            </w:r>
          </w:p>
        </w:tc>
      </w:tr>
      <w:tr>
        <w:trPr>
          <w:trHeight w:val="397"/>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5</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农村产业融合发展用地不得用于商品住宅、别墅、酒店、公寓等房地产开发，不得擅自改变用途或分割转让转租。</w:t>
            </w:r>
          </w:p>
        </w:tc>
      </w:tr>
      <w:tr>
        <w:trPr>
          <w:trHeight w:val="397"/>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6</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严禁城镇居民到农村购买宅基地，严禁下乡利用农村宅基地建设别墅大院和私人会馆。严禁借流转之名违法违规圈占、买卖宅基地。严禁随意撤并村庄搞大社区、违背农民意愿大拆大建。</w:t>
            </w:r>
          </w:p>
        </w:tc>
      </w:tr>
      <w:tr>
        <w:trPr>
          <w:trHeight w:val="818"/>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7</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禁止违背农村村民意愿强制流转宅基地，禁止违法收回农村村民依法取得的宅基地，禁止以退出宅基地作为农村村民进城落户的条件，不得强制农民搬迁和上楼居住。</w:t>
            </w:r>
          </w:p>
        </w:tc>
      </w:tr>
      <w:tr>
        <w:trPr>
          <w:trHeight w:val="397"/>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8</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禁止毁坏森林、草原开垦耕地，禁止围湖造田和侵占江河滩地。</w:t>
            </w:r>
          </w:p>
        </w:tc>
      </w:tr>
      <w:tr>
        <w:trPr>
          <w:trHeight w:val="397"/>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9</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严禁违规占用耕地和违背自然规律绿化造林、挖湖造景，严格限制林区耕地湿地等占用和过度开发。</w:t>
            </w:r>
          </w:p>
        </w:tc>
      </w:tr>
      <w:tr>
        <w:trPr>
          <w:trHeight w:val="397"/>
        </w:trPr>
        <w:tc>
          <w:tcPr>
            <w:tcW w:w="5000" w:type="pct"/>
            <w:tcBorders>
              <w:top w:val="single" w:sz="4" w:space="0" w:color="auto"/>
              <w:left w:val="single" w:sz="4" w:space="0" w:color="auto"/>
              <w:bottom w:val="single" w:sz="4" w:space="0" w:color="auto"/>
              <w:right w:val="single" w:sz="4" w:space="0" w:color="auto"/>
            </w:tcBorders>
          </w:tcPr>
          <w:p>
            <w:pPr>
              <w:widowControl/>
              <w:spacing w:line="42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0.</w:t>
            </w:r>
            <w:r>
              <w:rPr>
                <w:rFonts w:ascii="仿宋" w:eastAsia="仿宋" w:cs="宋体" w:hAnsi="仿宋" w:hint="eastAsia"/>
                <w:color w:val="000000"/>
                <w:kern w:val="0"/>
                <w:sz w:val="28"/>
                <w:szCs w:val="28"/>
              </w:rPr>
              <w:t>国家明令淘汰的落后产能、列入国家禁止类产业目录的、污染环境的项目，不得进入乡村。</w:t>
            </w:r>
          </w:p>
        </w:tc>
      </w:tr>
    </w:tbl>
    <w:p>
      <w:pPr>
        <w:pStyle w:val="2"/>
        <w:numPr>
          <w:ilvl w:val="0"/>
          <w:numId w:val="0"/>
        </w:numPr>
        <w:ind w:left="0" w:firstLine="643"/>
        <w:jc w:val="center"/>
      </w:pPr>
      <w:bookmarkStart w:id="114" w:name="_Toc209510489"/>
      <w:r>
        <w:rPr>
          <w:rFonts w:hint="eastAsia"/>
        </w:rPr>
        <w:t>附表</w:t>
      </w:r>
      <w:r>
        <w:t xml:space="preserve">6 </w:t>
      </w:r>
      <w:r>
        <w:rPr>
          <w:rFonts w:hint="eastAsia"/>
        </w:rPr>
        <w:t>乡村产业准入清单</w:t>
      </w:r>
      <w:bookmarkEnd w:id="114"/>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296"/>
      </w:tblGrid>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jc w:val="center"/>
              <w:rPr>
                <w:rFonts w:ascii="仿宋" w:eastAsia="仿宋" w:cs="宋体" w:hAnsi="仿宋"/>
                <w:b/>
                <w:bCs/>
                <w:color w:val="000000"/>
                <w:kern w:val="0"/>
                <w:sz w:val="28"/>
                <w:szCs w:val="28"/>
              </w:rPr>
            </w:pPr>
            <w:r>
              <w:rPr>
                <w:rFonts w:ascii="仿宋" w:eastAsia="仿宋" w:cs="宋体" w:hAnsi="仿宋" w:hint="eastAsia"/>
                <w:b/>
                <w:bCs/>
                <w:color w:val="000000"/>
                <w:kern w:val="0"/>
                <w:sz w:val="28"/>
                <w:szCs w:val="28"/>
              </w:rPr>
              <w:t>乡村产业准入正面清单</w:t>
            </w:r>
          </w:p>
        </w:tc>
      </w:tr>
      <w:tr>
        <w:trPr>
          <w:trHeight w:val="673"/>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b/>
                <w:bCs/>
                <w:color w:val="000000"/>
                <w:kern w:val="0"/>
                <w:sz w:val="28"/>
                <w:szCs w:val="28"/>
              </w:rPr>
            </w:pPr>
            <w:r>
              <w:rPr>
                <w:rFonts w:ascii="仿宋" w:eastAsia="仿宋" w:cs="宋体" w:hAnsi="仿宋" w:hint="eastAsia"/>
                <w:color w:val="000000"/>
                <w:kern w:val="0"/>
                <w:sz w:val="28"/>
                <w:szCs w:val="28"/>
              </w:rPr>
              <w:t>满足直接服务于乡村振兴和农村生产生活的要求，符合村庄所在的乡镇主体功能定位和相关产业规划的前提下，鼓励发展以下产业：</w:t>
            </w:r>
          </w:p>
        </w:tc>
      </w:tr>
      <w:tr>
        <w:trPr>
          <w:trHeight w:val="570"/>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种质资源保护利用和种子库建设：农产品及农作物种子基地建设，农作物、林木、草、畜禽和渔业种质资源保护与建设。</w:t>
            </w:r>
          </w:p>
        </w:tc>
      </w:tr>
      <w:tr>
        <w:trPr>
          <w:trHeight w:val="577"/>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2</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智慧农业及新型农业：蔬菜、瓜果、花卉设施栽培（含无土栽培），优质、高产、高效标准化栽培，农业生产数字化改造和智慧农业建设。</w:t>
            </w:r>
          </w:p>
        </w:tc>
      </w:tr>
      <w:tr>
        <w:trPr>
          <w:trHeight w:val="383"/>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color w:val="000000"/>
                <w:kern w:val="0"/>
                <w:sz w:val="28"/>
                <w:szCs w:val="28"/>
              </w:rPr>
              <w:t>3.</w:t>
            </w:r>
            <w:r>
              <w:rPr>
                <w:rFonts w:ascii="仿宋" w:eastAsia="仿宋" w:cs="宋体" w:hAnsi="仿宋" w:hint="eastAsia"/>
                <w:color w:val="000000"/>
                <w:kern w:val="0"/>
                <w:sz w:val="28"/>
                <w:szCs w:val="28"/>
              </w:rPr>
              <w:t>农产品仓储运输：农林牧渔产品储运、保鲜、加工与综合利用。</w:t>
            </w:r>
          </w:p>
        </w:tc>
      </w:tr>
      <w:tr>
        <w:trPr>
          <w:trHeight w:val="59"/>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4</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生态农业：生态种植业、生态畜牧业、生态草业。</w:t>
            </w:r>
          </w:p>
        </w:tc>
      </w:tr>
      <w:tr>
        <w:trPr>
          <w:trHeight w:val="247"/>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5</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畜禽标准化规模养殖，畜禽养殖废弃物处理和资源化利用。</w:t>
            </w:r>
          </w:p>
        </w:tc>
      </w:tr>
      <w:tr>
        <w:trPr>
          <w:trHeight w:val="1840"/>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6</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林果业：国家储备林建设，特色经济林建设，碳汇林建设，植树种草工程，林草种苗工程，油茶、核桃、油橄榄、仁用杏、榛子、油棕等木本粮油基地建设，生物质能源林和用材林定向培育与产业化，森林资源培育（速生丰产用材林、大径级用材林等）。</w:t>
            </w:r>
          </w:p>
        </w:tc>
      </w:tr>
      <w:tr>
        <w:trPr>
          <w:trHeight w:val="1427"/>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7</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中药材种植与养殖：中药材生态种植、野生抚育和仿野生栽培，珍稀濒危动植物药材培育与养殖，天然橡胶及杜仲种植生产，林下种养殖。</w:t>
            </w:r>
          </w:p>
        </w:tc>
      </w:tr>
      <w:tr>
        <w:trPr>
          <w:trHeight w:val="2792"/>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8</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可再生资源综合利用：农作物秸秆综合利用（秸秆收储运体系建设、秸秆肥料化利用、秸秆饲料化利用、秸秆能源化利用、秸秆基料化利用、秸秆原料化利用等），农村可再生资源综合利用开发工程（沼气工程、生物天然气工程、再生资源综合利用、沼气发电、生物质能清洁供热、秸秆气化清洁能源利用工程、废弃菌棒利用、太阳能利用）。</w:t>
            </w:r>
          </w:p>
        </w:tc>
      </w:tr>
      <w:tr>
        <w:trPr>
          <w:trHeight w:val="920"/>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9</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农村旅游特色产业：休闲农业和乡村旅游精品工程，森林康养、自然教育和生态旅游。</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jc w:val="center"/>
              <w:rPr>
                <w:rFonts w:ascii="仿宋" w:eastAsia="仿宋" w:cs="宋体" w:hAnsi="仿宋"/>
                <w:b/>
                <w:bCs/>
                <w:color w:val="000000"/>
                <w:kern w:val="0"/>
                <w:sz w:val="28"/>
                <w:szCs w:val="28"/>
              </w:rPr>
            </w:pPr>
            <w:r>
              <w:rPr>
                <w:rFonts w:ascii="仿宋" w:eastAsia="仿宋" w:cs="宋体" w:hAnsi="仿宋" w:hint="eastAsia"/>
                <w:b/>
                <w:bCs/>
                <w:color w:val="000000"/>
                <w:kern w:val="0"/>
                <w:sz w:val="28"/>
                <w:szCs w:val="28"/>
              </w:rPr>
              <w:t>乡村产业准入负面清单</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b/>
                <w:bCs/>
                <w:color w:val="000000"/>
                <w:kern w:val="0"/>
                <w:sz w:val="28"/>
                <w:szCs w:val="28"/>
              </w:rPr>
            </w:pPr>
            <w:r>
              <w:rPr>
                <w:rFonts w:ascii="仿宋" w:eastAsia="仿宋" w:cs="宋体" w:hAnsi="仿宋" w:hint="eastAsia"/>
                <w:color w:val="000000"/>
                <w:kern w:val="0"/>
                <w:sz w:val="28"/>
                <w:szCs w:val="28"/>
              </w:rPr>
              <w:t>禁止建设国家现行产业政策明令限制、禁止或淘汰的项目；禁止建设产能严重过剩行业项目；禁止建设落后生产工艺或设备、落后生产能力项目；禁止建设不符合国家相关行业准入条件的项目，主要有：</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单线</w:t>
            </w:r>
            <w:r>
              <w:rPr>
                <w:rFonts w:ascii="仿宋" w:eastAsia="仿宋" w:cs="宋体" w:hAnsi="仿宋"/>
                <w:color w:val="000000"/>
                <w:kern w:val="0"/>
                <w:sz w:val="28"/>
                <w:szCs w:val="28"/>
              </w:rPr>
              <w:t xml:space="preserve">5 </w:t>
            </w:r>
            <w:r>
              <w:rPr>
                <w:rFonts w:ascii="仿宋" w:eastAsia="仿宋" w:cs="宋体" w:hAnsi="仿宋" w:hint="eastAsia"/>
                <w:color w:val="000000"/>
                <w:kern w:val="0"/>
                <w:sz w:val="28"/>
                <w:szCs w:val="28"/>
              </w:rPr>
              <w:t>万立方米</w:t>
            </w:r>
            <w:r>
              <w:rPr>
                <w:rFonts w:ascii="仿宋" w:eastAsia="仿宋" w:cs="宋体" w:hAnsi="仿宋"/>
                <w:color w:val="000000"/>
                <w:kern w:val="0"/>
                <w:sz w:val="28"/>
                <w:szCs w:val="28"/>
              </w:rPr>
              <w:t>/年以下的普通刨花板、高中密度纤维板生产装置</w:t>
            </w:r>
            <w:r>
              <w:rPr>
                <w:rFonts w:ascii="仿宋" w:eastAsia="仿宋" w:cs="宋体" w:hAnsi="仿宋" w:hint="eastAsia"/>
                <w:color w:val="000000"/>
                <w:kern w:val="0"/>
                <w:sz w:val="28"/>
                <w:szCs w:val="28"/>
              </w:rPr>
              <w:t>。</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2</w:t>
            </w:r>
            <w:r>
              <w:rPr>
                <w:rFonts w:ascii="仿宋" w:eastAsia="仿宋" w:cs="宋体" w:hAnsi="仿宋"/>
                <w:color w:val="000000"/>
                <w:kern w:val="0"/>
                <w:sz w:val="28"/>
                <w:szCs w:val="28"/>
              </w:rPr>
              <w:t xml:space="preserve">.1000 </w:t>
            </w:r>
            <w:r>
              <w:rPr>
                <w:rFonts w:ascii="仿宋" w:eastAsia="仿宋" w:cs="宋体" w:hAnsi="仿宋" w:hint="eastAsia"/>
                <w:color w:val="000000"/>
                <w:kern w:val="0"/>
                <w:sz w:val="28"/>
                <w:szCs w:val="28"/>
              </w:rPr>
              <w:t>吨</w:t>
            </w:r>
            <w:r>
              <w:rPr>
                <w:rFonts w:ascii="仿宋" w:eastAsia="仿宋" w:cs="宋体" w:hAnsi="仿宋"/>
                <w:color w:val="000000"/>
                <w:kern w:val="0"/>
                <w:sz w:val="28"/>
                <w:szCs w:val="28"/>
              </w:rPr>
              <w:t>/年以下的松香生产项目，松脂初加工项目</w:t>
            </w:r>
            <w:r>
              <w:rPr>
                <w:rFonts w:ascii="仿宋" w:eastAsia="仿宋" w:cs="宋体" w:hAnsi="仿宋" w:hint="eastAsia"/>
                <w:color w:val="000000"/>
                <w:kern w:val="0"/>
                <w:sz w:val="28"/>
                <w:szCs w:val="28"/>
              </w:rPr>
              <w:t>。</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3</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兽用粉剂、散剂、混剂生产线项目（持有新兽药证书的品种或自动化密闭式高效率混合生产工艺除外）。</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4</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转瓶培养生产方式的兽用细胞苗生产线项目（持有新兽药证书的品种和采用新技术的除外）。</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5</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以优质林木为原料的一次性木制品与木制包装的生产和使用以及木竹加工综合利用率偏低的木竹加工项目。</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6</w:t>
            </w:r>
            <w:r>
              <w:rPr>
                <w:rFonts w:ascii="仿宋" w:eastAsia="仿宋" w:cs="宋体" w:hAnsi="仿宋"/>
                <w:color w:val="000000"/>
                <w:kern w:val="0"/>
                <w:sz w:val="28"/>
                <w:szCs w:val="28"/>
              </w:rPr>
              <w:t xml:space="preserve">.1 </w:t>
            </w:r>
            <w:r>
              <w:rPr>
                <w:rFonts w:ascii="仿宋" w:eastAsia="仿宋" w:cs="宋体" w:hAnsi="仿宋" w:hint="eastAsia"/>
                <w:color w:val="000000"/>
                <w:kern w:val="0"/>
                <w:sz w:val="28"/>
                <w:szCs w:val="28"/>
              </w:rPr>
              <w:t>万立方米</w:t>
            </w:r>
            <w:r>
              <w:rPr>
                <w:rFonts w:ascii="仿宋" w:eastAsia="仿宋" w:cs="宋体" w:hAnsi="仿宋"/>
                <w:color w:val="000000"/>
                <w:kern w:val="0"/>
                <w:sz w:val="28"/>
                <w:szCs w:val="28"/>
              </w:rPr>
              <w:t>/年以下的胶合板和细木工板生产线</w:t>
            </w:r>
            <w:r>
              <w:rPr>
                <w:rFonts w:ascii="仿宋" w:eastAsia="仿宋" w:cs="宋体" w:hAnsi="仿宋" w:hint="eastAsia"/>
                <w:color w:val="000000"/>
                <w:kern w:val="0"/>
                <w:sz w:val="28"/>
                <w:szCs w:val="28"/>
              </w:rPr>
              <w:t>。</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7</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珍稀植物和古树的根雕制造业。</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9</w:t>
            </w:r>
            <w:r>
              <w:rPr>
                <w:rFonts w:ascii="仿宋" w:eastAsia="仿宋" w:cs="宋体" w:hAnsi="仿宋"/>
                <w:color w:val="000000"/>
                <w:kern w:val="0"/>
                <w:sz w:val="28"/>
                <w:szCs w:val="28"/>
              </w:rPr>
              <w:t>.</w:t>
            </w:r>
            <w:r>
              <w:rPr>
                <w:rFonts w:ascii="仿宋" w:eastAsia="仿宋" w:cs="宋体" w:hAnsi="仿宋" w:hint="eastAsia"/>
                <w:color w:val="000000"/>
                <w:kern w:val="0"/>
                <w:sz w:val="28"/>
                <w:szCs w:val="28"/>
              </w:rPr>
              <w:t>以野外资源为原料的珍贵濒危野生动植物加工。</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0.</w:t>
            </w:r>
            <w:r>
              <w:rPr>
                <w:rFonts w:ascii="仿宋" w:eastAsia="仿宋" w:cs="宋体" w:hAnsi="仿宋" w:hint="eastAsia"/>
                <w:color w:val="000000"/>
                <w:kern w:val="0"/>
                <w:sz w:val="28"/>
                <w:szCs w:val="28"/>
              </w:rPr>
              <w:t>不符合生态养殖要求的湖泊、水库投饵网箱养殖。</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1.</w:t>
            </w:r>
            <w:r>
              <w:rPr>
                <w:rFonts w:ascii="仿宋" w:eastAsia="仿宋" w:cs="宋体" w:hAnsi="仿宋" w:hint="eastAsia"/>
                <w:color w:val="000000"/>
                <w:kern w:val="0"/>
                <w:sz w:val="28"/>
                <w:szCs w:val="28"/>
              </w:rPr>
              <w:t>不利于生态环境保护的开荒性农业开发项目。</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2.</w:t>
            </w:r>
            <w:r>
              <w:rPr>
                <w:rFonts w:ascii="仿宋" w:eastAsia="仿宋" w:cs="宋体" w:hAnsi="仿宋" w:hint="eastAsia"/>
                <w:color w:val="000000"/>
                <w:kern w:val="0"/>
                <w:sz w:val="28"/>
                <w:szCs w:val="28"/>
              </w:rPr>
              <w:t>不符合国家规划及产业政策的粮食转化乙醇、食用植物油料转化生物燃料项目。</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3.</w:t>
            </w:r>
            <w:r>
              <w:rPr>
                <w:rFonts w:ascii="仿宋" w:eastAsia="仿宋" w:cs="宋体" w:hAnsi="仿宋" w:hint="eastAsia"/>
                <w:color w:val="000000"/>
                <w:kern w:val="0"/>
                <w:sz w:val="28"/>
                <w:szCs w:val="28"/>
              </w:rPr>
              <w:t>破坏林地、湿地、草地、荒漠的开发项目。</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color w:val="000000"/>
                <w:kern w:val="0"/>
                <w:sz w:val="28"/>
                <w:szCs w:val="28"/>
              </w:rPr>
              <w:t>14.</w:t>
            </w:r>
            <w:r>
              <w:rPr>
                <w:rFonts w:ascii="仿宋" w:eastAsia="仿宋" w:cs="宋体" w:hAnsi="仿宋" w:hint="eastAsia"/>
                <w:color w:val="000000"/>
                <w:kern w:val="0"/>
                <w:sz w:val="28"/>
                <w:szCs w:val="28"/>
              </w:rPr>
              <w:t>湿法纤维板生产工艺。</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5.</w:t>
            </w:r>
            <w:r>
              <w:rPr>
                <w:rFonts w:ascii="仿宋" w:eastAsia="仿宋" w:cs="宋体" w:hAnsi="仿宋" w:hint="eastAsia"/>
                <w:color w:val="000000"/>
                <w:kern w:val="0"/>
                <w:sz w:val="28"/>
                <w:szCs w:val="28"/>
              </w:rPr>
              <w:t>滴水法松香生产工艺。</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6.</w:t>
            </w:r>
            <w:r>
              <w:rPr>
                <w:rFonts w:ascii="仿宋" w:eastAsia="仿宋" w:cs="宋体" w:hAnsi="仿宋" w:hint="eastAsia"/>
                <w:color w:val="000000"/>
                <w:kern w:val="0"/>
                <w:sz w:val="28"/>
                <w:szCs w:val="28"/>
              </w:rPr>
              <w:t>农村传统老式炉灶炕。</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7.</w:t>
            </w:r>
            <w:r>
              <w:rPr>
                <w:rFonts w:ascii="仿宋" w:eastAsia="仿宋" w:cs="宋体" w:hAnsi="仿宋" w:hint="eastAsia"/>
                <w:color w:val="000000"/>
                <w:kern w:val="0"/>
                <w:sz w:val="28"/>
                <w:szCs w:val="28"/>
              </w:rPr>
              <w:t>以木材、伐根为主要原料的土法活性炭、土法木炭生产。</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8.</w:t>
            </w:r>
            <w:r>
              <w:rPr>
                <w:rFonts w:ascii="仿宋" w:eastAsia="仿宋" w:cs="宋体" w:hAnsi="仿宋" w:hint="eastAsia"/>
                <w:color w:val="000000"/>
                <w:kern w:val="0"/>
                <w:sz w:val="28"/>
                <w:szCs w:val="28"/>
              </w:rPr>
              <w:t>超过生态承载力的旅游活动和药材等林产品采集。</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1</w:t>
            </w:r>
            <w:r>
              <w:rPr>
                <w:rFonts w:ascii="仿宋" w:eastAsia="仿宋" w:cs="宋体" w:hAnsi="仿宋"/>
                <w:color w:val="000000"/>
                <w:kern w:val="0"/>
                <w:sz w:val="28"/>
                <w:szCs w:val="28"/>
              </w:rPr>
              <w:t>9.</w:t>
            </w:r>
            <w:r>
              <w:rPr>
                <w:rFonts w:ascii="仿宋" w:eastAsia="仿宋" w:cs="宋体" w:hAnsi="仿宋" w:hint="eastAsia"/>
                <w:color w:val="000000"/>
                <w:kern w:val="0"/>
                <w:sz w:val="28"/>
                <w:szCs w:val="28"/>
              </w:rPr>
              <w:t>种植前溴甲烷土壤熏蒸工艺。</w:t>
            </w:r>
          </w:p>
        </w:tc>
      </w:tr>
      <w:tr>
        <w:trPr>
          <w:trHeight w:val="285"/>
        </w:trPr>
        <w:tc>
          <w:tcPr>
            <w:tcW w:w="5000" w:type="pct"/>
            <w:tcBorders>
              <w:top w:val="single" w:sz="4" w:space="0" w:color="auto"/>
              <w:left w:val="single" w:sz="4" w:space="0" w:color="auto"/>
              <w:bottom w:val="single" w:sz="4" w:space="0" w:color="auto"/>
              <w:right w:val="single" w:sz="4" w:space="0" w:color="auto"/>
            </w:tcBorders>
          </w:tcPr>
          <w:p>
            <w:pPr>
              <w:widowControl/>
              <w:spacing w:line="440" w:lineRule="exact"/>
              <w:ind w:firstLine="560"/>
              <w:rPr>
                <w:rFonts w:ascii="仿宋" w:eastAsia="仿宋" w:cs="宋体" w:hAnsi="仿宋"/>
                <w:color w:val="000000"/>
                <w:kern w:val="0"/>
                <w:sz w:val="28"/>
                <w:szCs w:val="28"/>
              </w:rPr>
            </w:pPr>
            <w:r>
              <w:rPr>
                <w:rFonts w:ascii="仿宋" w:eastAsia="仿宋" w:cs="宋体" w:hAnsi="仿宋" w:hint="eastAsia"/>
                <w:color w:val="000000"/>
                <w:kern w:val="0"/>
                <w:sz w:val="28"/>
                <w:szCs w:val="28"/>
              </w:rPr>
              <w:t>2</w:t>
            </w:r>
            <w:r>
              <w:rPr>
                <w:rFonts w:ascii="仿宋" w:eastAsia="仿宋" w:cs="宋体" w:hAnsi="仿宋"/>
                <w:color w:val="000000"/>
                <w:kern w:val="0"/>
                <w:sz w:val="28"/>
                <w:szCs w:val="28"/>
              </w:rPr>
              <w:t>0.</w:t>
            </w:r>
            <w:r>
              <w:rPr>
                <w:rFonts w:ascii="仿宋" w:eastAsia="仿宋" w:cs="宋体" w:hAnsi="仿宋" w:hint="eastAsia"/>
                <w:color w:val="000000"/>
                <w:kern w:val="0"/>
                <w:sz w:val="28"/>
                <w:szCs w:val="28"/>
              </w:rPr>
              <w:t>作坊式胶合板生产。</w:t>
            </w:r>
          </w:p>
        </w:tc>
      </w:tr>
    </w:tbl>
    <w:p>
      <w:pPr>
        <w:pStyle w:val="16"/>
        <w:ind w:firstLine="420"/>
      </w:pPr>
    </w:p>
    <w:sectPr>
      <w:footerReference w:type="default" r:id="rId6"/>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公文小标宋">
    <w:altName w:val="宋体"/>
    <w:panose1 w:val="00000000000000000000"/>
    <w:charset w:val="86"/>
    <w:family w:val="auto"/>
    <w:pitch w:val="variable"/>
    <w:sig w:usb0="00000000" w:usb1="00000000" w:usb2="00000016" w:usb3="00000000" w:csb0="00040001" w:csb1="00000000"/>
  </w:font>
  <w:font w:name="PMingLiU">
    <w:altName w:val="Microsoft JhengHei"/>
    <w:panose1 w:val="02010601000101010101"/>
    <w:charset w:val="88"/>
    <w:family w:val="auto"/>
    <w:pitch w:val="variable"/>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ans-serif">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rPr>
        <w:rFonts w:ascii="Times New Roman" w:eastAsia="仿宋_GB2312" w:hAnsi="Times New Roman"/>
        <w:sz w:val="18"/>
        <w:szCs w:val="18"/>
        <w:lang w:val="zh-CN"/>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mc:AlternateContent>
        <mc:Choice Requires="wps">
          <w:drawing>
            <wp:anchor distT="0" distB="0" distL="114300" distR="114300" simplePos="0" relativeHeight="14" behindDoc="0" locked="0" layoutInCell="1" hidden="0" allowOverlap="1">
              <wp:simplePos x="0" y="0"/>
              <wp:positionH relativeFrom="margin">
                <wp:posOffset>2603500</wp:posOffset>
              </wp:positionH>
              <wp:positionV relativeFrom="paragraph">
                <wp:posOffset>1905</wp:posOffset>
              </wp:positionV>
              <wp:extent cx="170814" cy="163830"/>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70814" cy="163830"/>
                      </a:xfrm>
                      <a:prstGeom prst="rect"/>
                      <a:noFill/>
                      <a:ln w="6350" cmpd="sng" cap="flat">
                        <a:noFill/>
                        <a:prstDash val="solid"/>
                        <a:round/>
                      </a:ln>
                    </wps:spPr>
                    <wps:txbx id="2">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square" lIns="0" tIns="0" rIns="0" bIns="0" anchor="t" anchorCtr="0" upright="0">
                      <a:noAutofit/>
                    </wps:bodyPr>
                  </wps:wsp>
                </a:graphicData>
              </a:graphic>
            </wp:anchor>
          </w:drawing>
        </mc:Choice>
        <mc:Fallback>
          <w:pict>
            <v:shape type="#_x0000_t202" id="文本框 1 3" o:spid="_x0000_s3" filled="f" stroked="f" strokeweight="0.5pt" style="position:absolute;margin-left:205.0pt;margin-top:0.15pt;width:13.44999pt;height:12.900001pt;z-index:14;mso-position-horizontal:absolute;mso-position-horizontal-relative:margin;mso-position-vertical:absolute;mso-wrap-style:square;">
              <v:stroke color="#000000"/>
              <v:textbox id="849" inset="0mm,0mm,0mm,0mm" o:insetmode="custom" style="layout-flow:horizontal;v-text-anchor:top;">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mc:AlternateContent>
        <mc:Choice Requires="wps">
          <w:drawing>
            <wp:anchor distT="0" distB="0" distL="114300" distR="114300" simplePos="0" relativeHeight="18" behindDoc="0" locked="0" layoutInCell="1" hidden="0" allowOverlap="1">
              <wp:simplePos x="0" y="0"/>
              <wp:positionH relativeFrom="margin">
                <wp:align>center</wp:align>
              </wp:positionH>
              <wp:positionV relativeFrom="paragraph">
                <wp:posOffset>0</wp:posOffset>
              </wp:positionV>
              <wp:extent cx="115900" cy="139560"/>
              <wp:effectExtent l="0" t="0" r="0" b="0"/>
              <wp:wrapNone/>
              <wp:docPr id="7" name="文本框 8"/>
              <wp:cNvGraphicFramePr>
                <a:graphicFrameLocks noChangeAspect="0"/>
              </wp:cNvGraphicFramePr>
              <a:graphic>
                <a:graphicData uri="http://schemas.microsoft.com/office/word/2010/wordprocessingShape">
                  <wps:wsp>
                    <wps:cNvSpPr/>
                    <wps:spPr>
                      <a:xfrm rot="0">
                        <a:off x="0" y="0"/>
                        <a:ext cx="115900" cy="139560"/>
                      </a:xfrm>
                      <a:prstGeom prst="rect"/>
                      <a:noFill/>
                      <a:ln w="6350" cmpd="sng" cap="flat">
                        <a:noFill/>
                        <a:prstDash val="solid"/>
                        <a:round/>
                      </a:ln>
                    </wps:spPr>
                    <wps:txbx id="8">
                      <w:txbxContent>
                        <w:p>
                          <w:pPr>
                            <w:pStyle w:val="18"/>
                            <w:tabs>
                              <w:tab w:val="center" w:pos="4153"/>
                              <w:tab w:val="right" w:pos="8306"/>
                            </w:tabs>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0">
                      <a:spAutoFit/>
                    </wps:bodyPr>
                  </wps:wsp>
                </a:graphicData>
              </a:graphic>
            </wp:anchor>
          </w:drawing>
        </mc:Choice>
        <mc:Fallback>
          <w:pict>
            <v:shape type="#_x0000_t202" id="文本框 8 9" o:spid="_x0000_s9" filled="f" stroked="f" strokeweight="0.5pt" style="position:absolute;margin-left:0.0pt;margin-top:0.0pt;width:9.125998pt;height:10.988999pt;z-index:18;mso-position-horizontal:center;mso-position-horizontal-relative:margin;mso-position-vertical:absolute;mso-wrap-style:none;">
              <v:stroke color="#000000"/>
              <v:textbox id="850"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52</w:t>
                    </w:r>
                    <w: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7463A1A"/>
    <w:multiLevelType w:val="multilevel"/>
    <w:tmpl w:val="49737B44"/>
    <w:lvl w:ilvl="0">
      <w:start w:val="1"/>
      <w:numFmt w:val="chineseCountingThousand"/>
      <w:lvlRestart w:val="0"/>
      <w:pStyle w:val="1"/>
      <w:lvlText w:val="第%1章"/>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6D88F59"/>
    <w:multiLevelType w:val="multilevel"/>
    <w:tmpl w:val="46696359"/>
    <w:lvl w:ilvl="0">
      <w:start w:val="1"/>
      <w:numFmt w:val="decimal"/>
      <w:lvlRestart w:val="0"/>
      <w:pStyle w:val="2"/>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A26271"/>
    <w:multiLevelType w:val="multilevel"/>
    <w:tmpl w:val="8B0F31A1"/>
    <w:lvl w:ilvl="0">
      <w:start w:val="1"/>
      <w:numFmt w:val="decimal"/>
      <w:lvlRestart w:val="0"/>
      <w:lvlText w:val="第%1章 "/>
      <w:lvlJc w:val="left"/>
      <w:pPr>
        <w:tabs>
          <w:tab w:val="num" w:pos="1271"/>
        </w:tabs>
        <w:ind w:left="1271" w:hanging="420"/>
      </w:pPr>
      <w:rPr>
        <w:rFonts w:hint="eastAsia"/>
      </w:rPr>
    </w:lvl>
    <w:lvl w:ilvl="1">
      <w:start w:val="1"/>
      <w:numFmt w:val="decimal"/>
      <w:lvlText w:val="%1.%2 "/>
      <w:lvlJc w:val="left"/>
      <w:pPr>
        <w:tabs>
          <w:tab w:val="num" w:pos="3544"/>
        </w:tabs>
        <w:ind w:left="3544" w:hanging="0"/>
      </w:pPr>
      <w:rPr>
        <w:rFonts w:hint="eastAsia"/>
      </w:rPr>
    </w:lvl>
    <w:lvl w:ilvl="2">
      <w:start w:val="1"/>
      <w:numFmt w:val="decimal"/>
      <w:pStyle w:val="3"/>
      <w:lvlText w:val="%1.%2.%3 "/>
      <w:lvlJc w:val="left"/>
      <w:pPr>
        <w:tabs>
          <w:tab w:val="num" w:pos="426"/>
        </w:tabs>
        <w:ind w:left="426" w:hanging="426"/>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0"/>
        </w:tabs>
        <w:ind w:left="0" w:hanging="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3">
    <w:nsid w:val="389E4F66"/>
    <w:multiLevelType w:val="multilevel"/>
    <w:tmpl w:val="389E4F66"/>
    <w:lvl w:ilvl="0">
      <w:start w:val="1"/>
      <w:numFmt w:val="chineseCountingThousand"/>
      <w:lvlRestart w:val="0"/>
      <w:pStyle w:val="31"/>
      <w:lvlText w:val="第%1节"/>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85239BF"/>
    <w:multiLevelType w:val="multilevel"/>
    <w:tmpl w:val="124178F8"/>
    <w:lvl w:ilvl="0">
      <w:start w:val="1"/>
      <w:numFmt w:val="chineseCountingThousand"/>
      <w:lvlRestart w:val="0"/>
      <w:pStyle w:val="32"/>
      <w:lvlText w:val="第%1节"/>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ZWM2MmIwZjY1ZTA4ZTVkZDZlMWZjMjYxODJiM2ZhNm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numPr>
        <w:ilvl w:val="0"/>
        <w:numId w:val="1"/>
      </w:numPr>
      <w:spacing w:before="120" w:after="80"/>
      <w:ind w:left="0" w:firstLine="0"/>
      <w:jc w:val="center"/>
      <w:outlineLvl w:val="0"/>
    </w:pPr>
    <w:rPr>
      <w:rFonts w:ascii="Calibri Light" w:eastAsia="仿宋" w:cs="Times New Roman" w:hAnsi="Calibri Light"/>
      <w:b/>
      <w:color w:val="000000"/>
      <w:sz w:val="32"/>
      <w:szCs w:val="48"/>
    </w:rPr>
  </w:style>
  <w:style w:type="paragraph" w:styleId="2">
    <w:name w:val="heading 2"/>
    <w:basedOn w:val="0"/>
    <w:next w:val="0"/>
    <w:pPr>
      <w:keepNext/>
      <w:keepLines/>
      <w:widowControl w:val="0"/>
      <w:numPr>
        <w:ilvl w:val="0"/>
        <w:numId w:val="2"/>
      </w:numPr>
      <w:spacing w:before="160" w:after="80"/>
      <w:outlineLvl w:val="1"/>
    </w:pPr>
    <w:rPr>
      <w:rFonts w:ascii="Calibri Light" w:eastAsia="仿宋" w:cs="Times New Roman" w:hAnsi="Calibri Light"/>
      <w:b/>
      <w:color w:val="000000"/>
      <w:sz w:val="32"/>
      <w:szCs w:val="40"/>
    </w:rPr>
  </w:style>
  <w:style w:type="paragraph" w:styleId="3">
    <w:name w:val="heading 3"/>
    <w:basedOn w:val="0"/>
    <w:autoRedefine/>
    <w:next w:val="0"/>
    <w:pPr>
      <w:keepNext/>
      <w:keepLines/>
      <w:widowControl w:val="0"/>
      <w:numPr>
        <w:ilvl w:val="2"/>
        <w:numId w:val="3"/>
      </w:numPr>
      <w:spacing w:line="420" w:lineRule="auto"/>
      <w:ind w:left="425"/>
      <w:jc w:val="left"/>
      <w:outlineLvl w:val="2"/>
    </w:pPr>
    <w:rPr>
      <w:b/>
    </w:rPr>
  </w:style>
  <w:style w:type="character" w:default="1" w:styleId="10">
    <w:name w:val="Default Paragraph Font"/>
  </w:style>
  <w:style w:type="paragraph" w:styleId="15">
    <w:name w:val="annotation text"/>
    <w:basedOn w:val="0"/>
    <w:autoRedefine/>
    <w:pPr>
      <w:jc w:val="left"/>
    </w:pPr>
  </w:style>
  <w:style w:type="paragraph" w:styleId="16">
    <w:name w:val="Body Text"/>
    <w:basedOn w:val="0"/>
    <w:autoRedefine/>
    <w:pPr>
      <w:spacing w:line="20" w:lineRule="exact"/>
      <w:ind w:firstLine="561"/>
    </w:pPr>
  </w:style>
  <w:style w:type="paragraph" w:styleId="17">
    <w:name w:val="Balloon Text"/>
    <w:basedOn w:val="0"/>
    <w:rPr>
      <w:sz w:val="18"/>
      <w:szCs w:val="18"/>
    </w:rPr>
  </w:style>
  <w:style w:type="paragraph" w:styleId="18">
    <w:name w:val="footer"/>
    <w:basedOn w:val="0"/>
    <w:autoRedefine/>
    <w:pPr>
      <w:tabs>
        <w:tab w:val="center" w:pos="4153"/>
        <w:tab w:val="right" w:pos="8306"/>
      </w:tabs>
      <w:snapToGrid w:val="0"/>
      <w:jc w:val="left"/>
    </w:pPr>
    <w:rPr>
      <w:sz w:val="18"/>
    </w:rPr>
  </w:style>
  <w:style w:type="paragraph" w:styleId="19">
    <w:name w:val="header"/>
    <w:basedOn w:val="0"/>
    <w:autoRedefine/>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20">
    <w:name w:val="toc 1"/>
    <w:basedOn w:val="0"/>
    <w:autoRedefine/>
    <w:next w:val="0"/>
  </w:style>
  <w:style w:type="paragraph" w:styleId="21">
    <w:name w:val="toc 2"/>
    <w:basedOn w:val="0"/>
    <w:autoRedefine/>
    <w:next w:val="0"/>
    <w:pPr>
      <w:ind w:leftChars="200" w:left="200"/>
    </w:pPr>
  </w:style>
  <w:style w:type="paragraph" w:styleId="22">
    <w:name w:val="Title"/>
    <w:basedOn w:val="0"/>
    <w:autoRedefine/>
    <w:next w:val="0"/>
    <w:pPr>
      <w:spacing w:before="209" w:after="209" w:line="0" w:lineRule="atLeast"/>
      <w:jc w:val="center"/>
    </w:pPr>
    <w:rPr>
      <w:rFonts w:ascii="Arial" w:eastAsia="黑体" w:hAnsi="Arial"/>
      <w:sz w:val="52"/>
    </w:rPr>
  </w:style>
  <w:style w:type="character" w:styleId="23">
    <w:name w:val="Hyperlink"/>
    <w:basedOn w:val="10"/>
    <w:rPr>
      <w:color w:val="0026E5"/>
      <w:u w:val="single"/>
    </w:rPr>
  </w:style>
  <w:style w:type="character" w:styleId="24">
    <w:name w:val="annotation reference"/>
    <w:basedOn w:val="10"/>
    <w:autoRedefine/>
    <w:rPr>
      <w:sz w:val="21"/>
      <w:szCs w:val="21"/>
    </w:rPr>
  </w:style>
  <w:style w:type="character" w:customStyle="1" w:styleId="25">
    <w:name w:val="font12"/>
    <w:basedOn w:val="10"/>
    <w:autoRedefine/>
    <w:rPr>
      <w:rFonts w:ascii="Times New Roman" w:cs="Times New Roman" w:hAnsi="Times New Roman"/>
      <w:color w:val="000000"/>
      <w:sz w:val="24"/>
      <w:szCs w:val="24"/>
      <w:u w:val="none"/>
    </w:rPr>
  </w:style>
  <w:style w:type="character" w:customStyle="1" w:styleId="26">
    <w:name w:val="font21"/>
    <w:basedOn w:val="10"/>
    <w:autoRedefine/>
    <w:rPr>
      <w:rFonts w:ascii="宋体" w:eastAsia="宋体" w:cs="宋体" w:hAnsi="宋体"/>
      <w:color w:val="000000"/>
      <w:sz w:val="24"/>
      <w:szCs w:val="24"/>
      <w:u w:val="none"/>
    </w:rPr>
  </w:style>
  <w:style w:type="character" w:customStyle="1" w:styleId="27">
    <w:name w:val="font101"/>
    <w:basedOn w:val="10"/>
    <w:autoRedefine/>
    <w:rPr>
      <w:rFonts w:ascii="Times New Roman" w:cs="Times New Roman" w:hAnsi="Times New Roman"/>
      <w:b/>
      <w:bCs/>
      <w:color w:val="FF0000"/>
      <w:sz w:val="24"/>
      <w:szCs w:val="24"/>
      <w:u w:val="none"/>
    </w:rPr>
  </w:style>
  <w:style w:type="character" w:customStyle="1" w:styleId="28">
    <w:name w:val="font111"/>
    <w:basedOn w:val="10"/>
    <w:autoRedefine/>
    <w:rPr>
      <w:rFonts w:ascii="宋体" w:eastAsia="宋体" w:cs="宋体" w:hAnsi="宋体"/>
      <w:b/>
      <w:bCs/>
      <w:color w:val="FF0000"/>
      <w:sz w:val="24"/>
      <w:szCs w:val="24"/>
      <w:u w:val="none"/>
    </w:rPr>
  </w:style>
  <w:style w:type="character" w:customStyle="1" w:styleId="29">
    <w:name w:val="font281"/>
    <w:basedOn w:val="10"/>
    <w:autoRedefine/>
    <w:rPr>
      <w:rFonts w:ascii="宋体" w:eastAsia="宋体" w:cs="宋体" w:hAnsi="宋体"/>
      <w:b/>
      <w:bCs/>
      <w:color w:val="000000"/>
      <w:sz w:val="24"/>
      <w:szCs w:val="24"/>
      <w:u w:val="none"/>
    </w:rPr>
  </w:style>
  <w:style w:type="paragraph" w:styleId="30">
    <w:name w:val="List Paragraph"/>
    <w:basedOn w:val="0"/>
    <w:pPr>
      <w:ind w:firstLineChars="200" w:firstLine="200"/>
    </w:pPr>
  </w:style>
  <w:style w:type="paragraph" w:customStyle="1" w:styleId="31">
    <w:name w:val="标题3"/>
    <w:basedOn w:val="2"/>
    <w:pPr>
      <w:numPr>
        <w:ilvl w:val="0"/>
        <w:numId w:val="4"/>
      </w:numPr>
      <w:ind w:left="0" w:firstLine="0"/>
      <w:jc w:val="center"/>
    </w:pPr>
    <w:rPr>
      <w:rFonts w:ascii="Times New Roman" w:cs="Times New Roman" w:hAnsi="Times New Roman"/>
      <w:bCs/>
      <w:color w:val="auto"/>
      <w:szCs w:val="32"/>
    </w:rPr>
  </w:style>
  <w:style w:type="paragraph" w:customStyle="1" w:styleId="32">
    <w:name w:val="通则标题2"/>
    <w:basedOn w:val="1"/>
    <w:pPr>
      <w:numPr>
        <w:ilvl w:val="0"/>
        <w:numId w:val="5"/>
      </w:numPr>
      <w:outlineLvl w:val="1"/>
    </w:pPr>
  </w:style>
  <w:style w:type="character" w:styleId="96">
    <w:name w:val="Strong"/>
    <w:basedOn w:val="0"/>
    <w:rPr>
      <w:b/>
      <w:bCs/>
    </w:rPr>
  </w:style>
  <w:style w:type="paragraph" w:styleId="101">
    <w:name w:val="Normal (Web)"/>
    <w:basedOn w:val="0"/>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5.png"/><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48</TotalTime>
  <Application>Yozo_Office27021597764231179</Application>
  <Pages>55</Pages>
  <Words>0</Words>
  <Characters>23568</Characters>
  <Lines>0</Lines>
  <Paragraphs>397</Paragraphs>
  <CharactersWithSpaces>31424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静待花开</dc:creator>
  <cp:lastModifiedBy>User</cp:lastModifiedBy>
  <cp:revision>17</cp:revision>
  <cp:lastPrinted>2025-10-13T09:07:00Z</cp:lastPrinted>
  <dcterms:created xsi:type="dcterms:W3CDTF">2025-10-13T07:45:00Z</dcterms:created>
  <dcterms:modified xsi:type="dcterms:W3CDTF">2025-10-13T09:44:46Z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2052-12.1.0.20784</vt:lpwstr>
  </property>
  <property fmtid="{D5CDD505-2E9C-101B-9397-08002B2CF9AE}" pid="3" name="ICV">
    <vt:lpwstr>D1014FE7462C4A7B9C038476ED96D889_13</vt:lpwstr>
  </property>
  <property fmtid="{D5CDD505-2E9C-101B-9397-08002B2CF9AE}" pid="4" name="KSOTemplateDocerSaveRecord">
    <vt:lpwstr>eyJoZGlkIjoiY2RkYjhhMzM0NzE4ZTQ4ZjdkMzhmOTkwODE2NDcwZjkiLCJ1c2VySWQiOiI1NDk5NzYwMTcifQ==</vt:lpwstr>
  </property>
</Properties>
</file>