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  <w:t>附件5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_GBK" w:eastAsia="方正小标宋_GBK" w:cs="方正小标宋_GBK" w:hAnsi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 w:hAnsi="方正小标宋_GBK" w:hint="eastAsia"/>
          <w:color w:val="000000"/>
          <w:kern w:val="0"/>
          <w:sz w:val="44"/>
          <w:szCs w:val="44"/>
        </w:rPr>
        <w:t>国有建设用地使用权及房屋所有权</w:t>
      </w:r>
    </w:p>
    <w:p>
      <w:pPr>
        <w:widowControl/>
        <w:spacing w:line="560" w:lineRule="exact"/>
        <w:jc w:val="center"/>
        <w:rPr>
          <w:rFonts w:ascii="方正小标宋_GBK" w:eastAsia="方正小标宋_GBK" w:cs="方正小标宋_GBK" w:hAnsi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color w:val="000000"/>
          <w:kern w:val="0"/>
          <w:sz w:val="44"/>
          <w:szCs w:val="44"/>
        </w:rPr>
        <w:t>首次登记材料清单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bookmarkEnd w:id="0"/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1.不动产登记申请书（原件）；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2.申请人身份证明（通过部门信息共享获取的不得另行收取）；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3.不动产权属证书（原件）；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4.建设用地规划许可证、建设工程规划许可证、规划核实意见表等报建手续（原件）；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5.房屋测绘报告（需通过市房产局备案）、建筑工程竣工验收备案证明书或竣工验收备案表（原件）；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6.不动产权籍调查成果（不动产权籍调查表、宗地图和房屋平面图、界址坐标）（原件）；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7.处罚决定书及相关补缴费用凭证（复印件）。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183</Characters>
  <Lines>0</Lines>
  <Paragraphs>13</Paragraphs>
  <CharactersWithSpaces>245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2025-10-13T08:31:51Z</dcterms:modified>
</cp:coreProperties>
</file>