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left"/>
        <w:rPr>
          <w:rFonts w:ascii="Times New Roman" w:eastAsia="黑体" w:cs="Times New Roman" w:hAnsi="Times New Roman"/>
          <w:color w:val="000000"/>
          <w:sz w:val="32"/>
          <w:szCs w:val="32"/>
          <w14:textFill>
            <w14:solidFill>
              <w14:srgbClr w14:val="000000"/>
            </w14:solidFill>
          </w14:textFill>
        </w:rPr>
      </w:pPr>
      <w:bookmarkStart w:id="0" w:name="_GoBack"/>
      <w:bookmarkEnd w:id="0"/>
      <w:r>
        <w:rPr>
          <w:rFonts w:ascii="Times New Roman" w:eastAsia="黑体" w:cs="Times New Roman" w:hAnsi="Times New Roman"/>
          <w:color w:val="000000"/>
          <w:sz w:val="32"/>
          <w:szCs w:val="32"/>
          <w14:textFill>
            <w14:solidFill>
              <w14:srgbClr w14:val="000000"/>
            </w14:solidFill>
          </w14:textFill>
        </w:rPr>
        <w:t>附件1</w:t>
      </w:r>
    </w:p>
    <w:p>
      <w:pPr>
        <w:jc w:val="center"/>
        <w:rPr>
          <w:rFonts w:ascii="黑体" w:eastAsia="黑体" w:cs="Times New Roman" w:hAnsi="黑体"/>
          <w:color w:val="000000"/>
          <w:sz w:val="36"/>
          <w:szCs w:val="36"/>
          <w14:textFill>
            <w14:solidFill>
              <w14:srgbClr w14:val="000000"/>
            </w14:solidFill>
          </w14:textFill>
        </w:rPr>
      </w:pPr>
      <w:r>
        <w:rPr>
          <w:rFonts w:ascii="黑体" w:eastAsia="黑体" w:cs="Times New Roman" w:hAnsi="黑体"/>
          <w:color w:val="000000"/>
          <w:sz w:val="36"/>
          <w:szCs w:val="36"/>
          <w14:textFill>
            <w14:solidFill>
              <w14:srgbClr w14:val="000000"/>
            </w14:solidFill>
          </w14:textFill>
        </w:rPr>
        <w:t>钦北区解决城镇范围内国有</w:t>
      </w:r>
      <w:r>
        <w:rPr>
          <w:rFonts w:ascii="黑体" w:eastAsia="黑体" w:cs="Times New Roman" w:hAnsi="黑体" w:hint="eastAsia"/>
          <w:color w:val="000000"/>
          <w:sz w:val="36"/>
          <w:szCs w:val="36"/>
          <w14:textFill>
            <w14:solidFill>
              <w14:srgbClr w14:val="000000"/>
            </w14:solidFill>
          </w14:textFill>
        </w:rPr>
        <w:t>建设用地</w:t>
      </w:r>
      <w:r>
        <w:rPr>
          <w:rFonts w:ascii="黑体" w:eastAsia="黑体" w:cs="Times New Roman" w:hAnsi="黑体"/>
          <w:color w:val="000000"/>
          <w:sz w:val="36"/>
          <w:szCs w:val="36"/>
          <w14:textFill>
            <w14:solidFill>
              <w14:srgbClr w14:val="000000"/>
            </w14:solidFill>
          </w14:textFill>
        </w:rPr>
        <w:t>个人</w:t>
      </w:r>
      <w:r>
        <w:rPr>
          <w:rFonts w:ascii="黑体" w:eastAsia="黑体" w:cs="Times New Roman" w:hAnsi="黑体" w:hint="eastAsia"/>
          <w:color w:val="000000"/>
          <w:sz w:val="36"/>
          <w:szCs w:val="36"/>
          <w14:textFill>
            <w14:solidFill>
              <w14:srgbClr w14:val="000000"/>
            </w14:solidFill>
          </w14:textFill>
        </w:rPr>
        <w:t>住宅</w:t>
      </w:r>
      <w:r>
        <w:rPr>
          <w:rFonts w:ascii="黑体" w:eastAsia="黑体" w:cs="Times New Roman" w:hAnsi="黑体"/>
          <w:color w:val="000000"/>
          <w:sz w:val="36"/>
          <w:szCs w:val="36"/>
          <w14:textFill>
            <w14:solidFill>
              <w14:srgbClr w14:val="000000"/>
            </w14:solidFill>
          </w14:textFill>
        </w:rPr>
        <w:t>不动产登记历史遗留问题实施</w:t>
      </w:r>
      <w:r>
        <w:rPr>
          <w:rFonts w:ascii="黑体" w:eastAsia="黑体" w:cs="Times New Roman" w:hAnsi="黑体" w:hint="eastAsia"/>
          <w:color w:val="000000"/>
          <w:sz w:val="36"/>
          <w:szCs w:val="36"/>
          <w14:textFill>
            <w14:solidFill>
              <w14:srgbClr w14:val="000000"/>
            </w14:solidFill>
          </w14:textFill>
        </w:rPr>
        <w:t>流程图</w:t>
      </w:r>
    </w:p>
    <w:p>
      <w:pPr>
        <w:jc w:val="center"/>
        <w:rPr>
          <w:rFonts w:ascii="黑体" w:eastAsia="黑体" w:cs="Times New Roman" w:hAnsi="黑体"/>
          <w:color w:val="000000"/>
          <w:sz w:val="36"/>
          <w:szCs w:val="36"/>
          <w14:textFill>
            <w14:solidFill>
              <w14:srgbClr w14:val="000000"/>
            </w14:solidFill>
          </w14:textFill>
        </w:rPr>
      </w:pPr>
    </w:p>
    <w:p>
      <w:pPr>
        <w:jc w:val="center"/>
        <w:rPr>
          <w:rFonts w:ascii="黑体" w:eastAsia="黑体" w:hAnsi="黑体"/>
          <w:sz w:val="18"/>
          <w:szCs w:val="18"/>
        </w:rPr>
      </w:pPr>
      <w:r>
        <w:rPr>
          <w:rFonts w:ascii="黑体" w:eastAsia="黑体" w:hAnsi="黑体"/>
          <w:sz w:val="18"/>
          <w:szCs w:val="18"/>
        </w:rPr>
        <w:pict>
          <v:group type="#_x0000_t75" id="对象 7" o:spid="_x0000_s7" editas="canvas" coordorigin="1083,2594" coordsize="14651,19962" style="width:732.5982pt;height:998.14105pt;">
            <v:shape id="_x0000_s8" type="#_x0000_t75" style="position:absolute;left:1083;top:2594;width:14651;height:19962" filled="f" stroked="f">
              <v:stroke color="#000000"/>
            </v:shape>
            <v:rect type="#_x0000_t1" id="_s9" o:spid="_x0000_s9" style="position:absolute;left:2860;top:2890;width:11688;height:713;mso-wrap-style:square;" filled="f" stroked="t" strokeweight="2.0pt">
              <v:textbox id="850" inset="2.54mm,1.27mm,2.54mm,1.27mm" o:insetmode="custom" style="layout-flow:horizontal;v-text-anchor:middle;">
                <w:txbxContent>
                  <w:p>
                    <w:pPr>
                      <w:jc w:val="center"/>
                      <w:rPr>
                        <w:color w:val="000000"/>
                        <w14:textFill>
                          <w14:solidFill>
                            <w14:srgbClr w14:val="000000"/>
                          </w14:solidFill>
                        </w14:textFill>
                      </w:rPr>
                    </w:pPr>
                    <w:r>
                      <w:rPr>
                        <w:rFonts w:hint="eastAsia"/>
                        <w:color w:val="000000"/>
                        <w14:textFill>
                          <w14:solidFill>
                            <w14:srgbClr w14:val="000000"/>
                          </w14:solidFill>
                        </w14:textFill>
                      </w:rPr>
                      <w:t>申请人到各镇人民政府</w:t>
                    </w:r>
                    <w:bookmarkStart w:id="1" w:name="OLE_LINK24"/>
                    <w:bookmarkStart w:id="2" w:name="OLE_LINK23"/>
                    <w:r>
                      <w:rPr>
                        <w:rFonts w:hint="eastAsia"/>
                        <w:color w:val="000000"/>
                        <w14:textFill>
                          <w14:solidFill>
                            <w14:srgbClr w14:val="000000"/>
                          </w14:solidFill>
                        </w14:textFill>
                      </w:rPr>
                      <w:t>（街道办事处）</w:t>
                    </w:r>
                    <w:bookmarkEnd w:id="1"/>
                    <w:bookmarkEnd w:id="2"/>
                    <w:r>
                      <w:rPr>
                        <w:rFonts w:hint="eastAsia"/>
                        <w:color w:val="000000"/>
                        <w14:textFill>
                          <w14:solidFill>
                            <w14:srgbClr w14:val="000000"/>
                          </w14:solidFill>
                        </w14:textFill>
                      </w:rPr>
                      <w:t>提交申请</w:t>
                    </w:r>
                  </w:p>
                </w:txbxContent>
              </v:textbox>
              <v:stroke color="#1F497D"/>
            </v:rect>
            <v:rect type="#_x0000_t1" id="_s10" o:spid="_x0000_s10" style="position:absolute;left:2860;top:3925;width:11687;height:712;mso-wrap-style:square;" filled="f" stroked="t" strokeweight="2.0pt">
              <v:textbox id="851" inset="2.54mm,1.27mm,2.54mm,1.27mm" o:insetmode="custom" style="layout-flow:horizontal;v-text-anchor:middle;">
                <w:txbxContent>
                  <w:p>
                    <w:pPr>
                      <w:pStyle w:val="17"/>
                      <w:spacing w:before="0" w:beforeAutospacing="0" w:after="0" w:afterAutospacing="0"/>
                      <w:jc w:val="center"/>
                    </w:pPr>
                    <w:r>
                      <w:rPr>
                        <w:rFonts w:cs="Times New Roman" w:hint="eastAsia"/>
                        <w:color w:val="000000"/>
                        <w:kern w:val="2"/>
                        <w:sz w:val="21"/>
                        <w:szCs w:val="21"/>
                      </w:rPr>
                      <w:t>各镇人民政府</w:t>
                    </w:r>
                    <w:r>
                      <w:rPr>
                        <w:rFonts w:hint="eastAsia"/>
                        <w:color w:val="000000"/>
                        <w14:textFill>
                          <w14:solidFill>
                            <w14:srgbClr w14:val="000000"/>
                          </w14:solidFill>
                        </w14:textFill>
                      </w:rPr>
                      <w:t>（街道办事处）</w:t>
                    </w:r>
                    <w:r>
                      <w:rPr>
                        <w:rFonts w:cs="Times New Roman" w:hint="eastAsia"/>
                        <w:color w:val="000000"/>
                        <w:kern w:val="2"/>
                        <w:sz w:val="21"/>
                        <w:szCs w:val="21"/>
                      </w:rPr>
                      <w:t>汇总申请，按批次报区自然资源局分类办理（具体材料见附件2）</w:t>
                    </w:r>
                  </w:p>
                </w:txbxContent>
              </v:textbox>
              <v:stroke color="#1F497D"/>
            </v:rect>
            <v:rect type="#_x0000_t1" id="_s11" o:spid="_x0000_s11" style="position:absolute;left:2860;top:4958;width:11686;height:712;mso-wrap-style:square;" filled="f" stroked="t" strokeweight="2.0pt">
              <v:textbox id="852" inset="2.54mm,1.27mm,2.54mm,1.27mm" o:insetmode="custom" style="layout-flow:horizontal;v-text-anchor:middle;">
                <w:txbxContent>
                  <w:p>
                    <w:pPr>
                      <w:pStyle w:val="17"/>
                      <w:spacing w:before="0" w:beforeAutospacing="0" w:after="0" w:afterAutospacing="0"/>
                      <w:jc w:val="center"/>
                    </w:pPr>
                    <w:r>
                      <w:rPr>
                        <w:rFonts w:cs="Times New Roman" w:hAnsi="Times New Roman"/>
                        <w:color w:val="000000"/>
                        <w:sz w:val="21"/>
                        <w:szCs w:val="21"/>
                      </w:rPr>
                      <w:t>区自然资源局</w:t>
                    </w:r>
                    <w:r>
                      <w:rPr>
                        <w:rFonts w:cs="Times New Roman" w:hAnsi="Times New Roman" w:hint="eastAsia"/>
                        <w:color w:val="000000"/>
                        <w:sz w:val="21"/>
                        <w:szCs w:val="21"/>
                      </w:rPr>
                      <w:t>按实施方案分类后，符合《实施方案》的，将名单转区住建局</w:t>
                    </w:r>
                  </w:p>
                </w:txbxContent>
              </v:textbox>
              <v:stroke color="#1F497D"/>
            </v:rect>
            <v:rect type="#_x0000_t1" id="_s12" o:spid="_x0000_s12" style="position:absolute;left:2859;top:6110;width:11688;height:861;mso-wrap-style:square;" filled="f" stroked="t" strokeweight="2.0pt">
              <v:textbox id="853" inset="2.54mm,1.27mm,2.54mm,1.27mm" o:insetmode="custom" style="layout-flow:horizontal;v-text-anchor:middle;">
                <w:txbxContent>
                  <w:p>
                    <w:pPr>
                      <w:pStyle w:val="17"/>
                      <w:spacing w:before="0" w:beforeAutospacing="0" w:after="0" w:afterAutospacing="0"/>
                      <w:jc w:val="center"/>
                      <w:rPr>
                        <w:rFonts w:cs="Times New Roman" w:hAnsi="Times New Roman"/>
                        <w:color w:val="000000"/>
                        <w:sz w:val="21"/>
                        <w:szCs w:val="21"/>
                      </w:rPr>
                    </w:pPr>
                    <w:r>
                      <w:rPr>
                        <w:rFonts w:cs="Times New Roman" w:hAnsi="Times New Roman" w:hint="eastAsia"/>
                        <w:color w:val="000000"/>
                        <w:sz w:val="21"/>
                        <w:szCs w:val="21"/>
                      </w:rPr>
                      <w:t>区住建局对申请补办建设手续的房屋质量安全进行核查，并出具核查意见（如需要房屋质量安全鉴定机构对房屋进行安全鉴定的，区住建局通知申请人委托中介结构进行安全鉴定后，出具安全鉴定报告）</w:t>
                    </w:r>
                  </w:p>
                </w:txbxContent>
              </v:textbox>
              <v:stroke color="#1F497D"/>
            </v:rect>
            <v:rect type="#_x0000_t1" id="_s13" o:spid="_x0000_s13" style="position:absolute;left:2858;top:7331;width:11688;height:931;mso-wrap-style:square;" filled="f" stroked="t" strokeweight="2.0pt">
              <v:textbox id="854" inset="2.54mm,1.27mm,2.54mm,1.27mm" o:insetmode="custom" style="layout-flow:horizontal;v-text-anchor:middle;">
                <w:txbxContent>
                  <w:p>
                    <w:pPr>
                      <w:pStyle w:val="17"/>
                      <w:spacing w:before="0" w:beforeAutospacing="0" w:after="0" w:afterAutospacing="0"/>
                      <w:jc w:val="center"/>
                      <w:rPr>
                        <w:rFonts w:cs="Times New Roman" w:hAnsi="Times New Roman"/>
                        <w:color w:val="000000"/>
                        <w:sz w:val="21"/>
                        <w:szCs w:val="21"/>
                      </w:rPr>
                    </w:pPr>
                    <w:r>
                      <w:rPr>
                        <w:rFonts w:cs="Times New Roman" w:hAnsi="Times New Roman" w:hint="eastAsia"/>
                        <w:color w:val="000000"/>
                        <w:sz w:val="21"/>
                        <w:szCs w:val="21"/>
                      </w:rPr>
                      <w:t>由区综合执法局区综合行政执法局对房屋结构、质量安全合格，但涉嫌违法行为的个人住宅进行依法依规查处，行政处罚裁量标准具体见附件3</w:t>
                    </w:r>
                  </w:p>
                </w:txbxContent>
              </v:textbox>
              <v:stroke color="#1F497D"/>
            </v:rect>
            <v:rect type="#_x0000_t1" id="_s14" o:spid="_x0000_s14" style="position:absolute;left:2860;top:8667;width:11688;height:931;mso-wrap-style:square;" filled="f" stroked="t" strokeweight="2.0pt">
              <v:textbox id="855" inset="2.54mm,1.27mm,2.54mm,1.27mm" o:insetmode="custom" style="layout-flow:horizontal;v-text-anchor:middle;">
                <w:txbxContent>
                  <w:p>
                    <w:pPr>
                      <w:pStyle w:val="17"/>
                      <w:spacing w:before="0" w:beforeAutospacing="0" w:after="0" w:afterAutospacing="0"/>
                      <w:jc w:val="center"/>
                      <w:rPr>
                        <w:rFonts w:cs="Times New Roman" w:hAnsi="Times New Roman"/>
                        <w:color w:val="000000"/>
                        <w:sz w:val="21"/>
                        <w:szCs w:val="21"/>
                      </w:rPr>
                    </w:pPr>
                    <w:bookmarkStart w:id="3" w:name="OLE_LINK22"/>
                    <w:bookmarkStart w:id="4" w:name="_Hlk196322722"/>
                    <w:bookmarkStart w:id="5" w:name="OLE_LINK21"/>
                    <w:r>
                      <w:rPr>
                        <w:rFonts w:cs="Times New Roman" w:hAnsi="Times New Roman" w:hint="eastAsia"/>
                        <w:color w:val="000000"/>
                        <w:sz w:val="21"/>
                        <w:szCs w:val="21"/>
                      </w:rPr>
                      <w:t>区自然资源局将已分类处罚后的历史遗留问题的个人住宅名单转送各镇人民政府（街道办事处），由各镇人民政府（街道办事处）公告，并指导申请人办理房屋现状认定或核实意见</w:t>
                    </w:r>
                    <w:bookmarkEnd w:id="3"/>
                    <w:bookmarkEnd w:id="4"/>
                    <w:bookmarkEnd w:id="5"/>
                  </w:p>
                </w:txbxContent>
              </v:textbox>
              <v:stroke color="#1F497D"/>
            </v:rect>
            <v:rect type="#_x0000_t1" id="_s15" o:spid="_x0000_s15" style="position:absolute;left:1998;top:10840;width:3631;height:701;mso-wrap-style:square;" filled="f" stroked="t" strokeweight="2.0pt">
              <v:textbox id="856" inset="2.54mm,1.27mm,2.54mm,1.27mm" o:insetmode="custom" style="layout-flow:horizontal;v-text-anchor:middle;">
                <w:txbxContent>
                  <w:p>
                    <w:pPr>
                      <w:jc w:val="center"/>
                      <w:rPr>
                        <w:color w:val="000000"/>
                        <w14:textFill>
                          <w14:solidFill>
                            <w14:srgbClr w14:val="000000"/>
                          </w14:solidFill>
                        </w14:textFill>
                      </w:rPr>
                    </w:pPr>
                    <w:r>
                      <w:rPr>
                        <w:rFonts w:hint="eastAsia"/>
                        <w:color w:val="000000"/>
                        <w14:textFill>
                          <w14:solidFill>
                            <w14:srgbClr w14:val="000000"/>
                          </w14:solidFill>
                        </w14:textFill>
                      </w:rPr>
                      <w:t>一、超层建设问题</w:t>
                    </w:r>
                  </w:p>
                </w:txbxContent>
              </v:textbox>
              <v:stroke color="#385D8A"/>
            </v:rect>
            <v:rect type="#_x0000_t1" id="_s16" o:spid="_x0000_s16" style="position:absolute;left:6968;top:10847;width:3630;height:701;mso-wrap-style:square;" filled="f" stroked="t" strokeweight="2.0pt">
              <v:textbox id="857" inset="2.54mm,1.27mm,2.54mm,1.27mm" o:insetmode="custom" style="layout-flow:horizontal;v-text-anchor:middle;">
                <w:txbxContent>
                  <w:p>
                    <w:pPr>
                      <w:pStyle w:val="17"/>
                      <w:spacing w:before="0" w:beforeAutospacing="0" w:after="0" w:afterAutospacing="0"/>
                      <w:jc w:val="center"/>
                      <w:rPr>
                        <w:rFonts w:cs="Times New Roman"/>
                        <w:color w:val="000000"/>
                        <w:kern w:val="2"/>
                        <w:sz w:val="21"/>
                        <w:szCs w:val="21"/>
                      </w:rPr>
                    </w:pPr>
                    <w:r>
                      <w:rPr>
                        <w:rFonts w:cs="Times New Roman" w:hint="eastAsia"/>
                        <w:color w:val="000000"/>
                        <w:kern w:val="2"/>
                        <w:sz w:val="21"/>
                        <w:szCs w:val="21"/>
                      </w:rPr>
                      <w:t>二、超建筑占地面积</w:t>
                    </w:r>
                  </w:p>
                </w:txbxContent>
              </v:textbox>
              <v:stroke color="#385D8A"/>
            </v:rect>
            <v:rect type="#_x0000_t1" id="_s17" o:spid="_x0000_s17" style="position:absolute;left:12105;top:10840;width:3629;height:700;mso-wrap-style:square;" filled="f" stroked="t" strokeweight="2.0pt">
              <v:textbox id="858" inset="2.54mm,1.27mm,2.54mm,1.27mm" o:insetmode="custom" style="layout-flow:horizontal;v-text-anchor:middle;">
                <w:txbxContent>
                  <w:p>
                    <w:pPr>
                      <w:pStyle w:val="17"/>
                      <w:spacing w:before="0" w:beforeAutospacing="0" w:after="0" w:afterAutospacing="0"/>
                      <w:jc w:val="center"/>
                    </w:pPr>
                    <w:r>
                      <w:rPr>
                        <w:rFonts w:cs="Times New Roman" w:hAnsi="Times New Roman" w:hint="eastAsia"/>
                        <w:color w:val="000000"/>
                        <w:sz w:val="21"/>
                        <w:szCs w:val="21"/>
                      </w:rPr>
                      <w:t>三、</w:t>
                    </w:r>
                    <w:r>
                      <w:rPr>
                        <w:rFonts w:cs="Times New Roman" w:hAnsi="Times New Roman"/>
                        <w:color w:val="000000"/>
                        <w:sz w:val="21"/>
                        <w:szCs w:val="21"/>
                      </w:rPr>
                      <w:t>超</w:t>
                    </w:r>
                    <w:r>
                      <w:rPr>
                        <w:rFonts w:cs="Times New Roman" w:hAnsi="Times New Roman" w:hint="eastAsia"/>
                        <w:color w:val="000000"/>
                        <w:sz w:val="21"/>
                        <w:szCs w:val="21"/>
                      </w:rPr>
                      <w:t>立面</w:t>
                    </w:r>
                  </w:p>
                </w:txbxContent>
              </v:textbox>
              <v:stroke color="#385D8A"/>
            </v:rect>
            <v:rect type="#_x0000_t1" id="_s18" o:spid="_x0000_s18" style="position:absolute;left:1293;top:11956;width:1565;height:2845;mso-wrap-style:square;" filled="f" stroked="t" strokeweight="2.0pt">
              <v:textbox id="859" inset="2.54mm,1.27mm,2.54mm,1.27mm" o:insetmode="custom" style="layout-flow:horizontal;v-text-anchor:middle;">
                <w:txbxContent>
                  <w:p>
                    <w:pPr>
                      <w:jc w:val="center"/>
                      <w:rPr>
                        <w:sz w:val="18"/>
                        <w:szCs w:val="18"/>
                      </w:rPr>
                    </w:pPr>
                    <w:bookmarkStart w:id="6" w:name="OLE_LINK29"/>
                    <w:bookmarkStart w:id="7" w:name="OLE_LINK30"/>
                    <w:r>
                      <w:rPr>
                        <w:rFonts w:ascii="楷体_GB2312" w:eastAsia="楷体_GB2312" w:cs="Times New Roman" w:hAnsi="Times New Roman" w:hint="eastAsia"/>
                        <w:bCs/>
                        <w:color w:val="000000"/>
                        <w:kern w:val="0"/>
                        <w:sz w:val="18"/>
                        <w:szCs w:val="18"/>
                        <w14:textFill>
                          <w14:solidFill>
                            <w14:srgbClr w14:val="000000"/>
                          </w14:solidFill>
                        </w14:textFill>
                      </w:rPr>
                      <w:t>实建地上6层以内且建筑高度不超过22米，</w:t>
                    </w:r>
                    <w:bookmarkEnd w:id="6"/>
                    <w:bookmarkEnd w:id="7"/>
                    <w:r>
                      <w:rPr>
                        <w:rFonts w:ascii="楷体_GB2312" w:eastAsia="楷体_GB2312" w:cs="Times New Roman" w:hAnsi="Times New Roman" w:hint="eastAsia"/>
                        <w:bCs/>
                        <w:color w:val="000000"/>
                        <w:kern w:val="0"/>
                        <w:sz w:val="18"/>
                        <w:szCs w:val="18"/>
                        <w14:textFill>
                          <w14:solidFill>
                            <w14:srgbClr w14:val="000000"/>
                          </w14:solidFill>
                        </w14:textFill>
                      </w:rPr>
                      <w:t>层数符合原审定的规划图，</w:t>
                    </w:r>
                    <w:r>
                      <w:rPr>
                        <w:rFonts w:ascii="Times New Roman" w:eastAsia="仿宋_GB2312" w:cs="Times New Roman" w:hAnsi="Times New Roman" w:hint="eastAsia"/>
                        <w:color w:val="000000"/>
                        <w:kern w:val="0"/>
                        <w:sz w:val="18"/>
                        <w:szCs w:val="18"/>
                        <w14:textFill>
                          <w14:solidFill>
                            <w14:srgbClr w14:val="000000"/>
                          </w14:solidFill>
                        </w14:textFill>
                      </w:rPr>
                      <w:t>实际建设中存在</w:t>
                    </w:r>
                    <w:r>
                      <w:rPr>
                        <w:rFonts w:ascii="Times New Roman" w:eastAsia="仿宋_GB2312" w:cs="Times New Roman" w:hAnsi="Times New Roman"/>
                        <w:color w:val="000000"/>
                        <w:kern w:val="0"/>
                        <w:sz w:val="18"/>
                        <w:szCs w:val="18"/>
                        <w14:textFill>
                          <w14:solidFill>
                            <w14:srgbClr w14:val="000000"/>
                          </w14:solidFill>
                        </w14:textFill>
                      </w:rPr>
                      <w:t>未报先建、超层建设</w:t>
                    </w:r>
                    <w:r>
                      <w:rPr>
                        <w:rFonts w:ascii="Times New Roman" w:eastAsia="仿宋_GB2312" w:cs="Times New Roman" w:hAnsi="Times New Roman" w:hint="eastAsia"/>
                        <w:color w:val="000000"/>
                        <w:kern w:val="0"/>
                        <w:sz w:val="18"/>
                        <w:szCs w:val="18"/>
                        <w14:textFill>
                          <w14:solidFill>
                            <w14:srgbClr w14:val="000000"/>
                          </w14:solidFill>
                        </w14:textFill>
                      </w:rPr>
                      <w:t>等问题</w:t>
                    </w:r>
                  </w:p>
                </w:txbxContent>
              </v:textbox>
              <v:stroke color="#385D8A"/>
            </v:rect>
            <v:rect type="#_x0000_t1" id="_s19" o:spid="_x0000_s19" style="position:absolute;left:3045;top:11966;width:1368;height:2849;mso-wrap-style:square;" filled="f" stroked="t" strokeweight="2.0pt">
              <v:textbox id="860" inset="2.54mm,1.27mm,2.54mm,1.27mm" o:insetmode="custom" style="layout-flow:horizontal;v-text-anchor:middle;">
                <w:txbxContent>
                  <w:p>
                    <w:pPr>
                      <w:pStyle w:val="17"/>
                      <w:spacing w:before="0" w:beforeAutospacing="0" w:after="0" w:afterAutospacing="0"/>
                      <w:jc w:val="center"/>
                      <w:rPr>
                        <w:sz w:val="18"/>
                        <w:szCs w:val="18"/>
                      </w:rPr>
                    </w:pPr>
                    <w:bookmarkStart w:id="8" w:name="OLE_LINK37"/>
                    <w:bookmarkStart w:id="9" w:name="OLE_LINK36"/>
                    <w:r>
                      <w:rPr>
                        <w:rFonts w:ascii="楷体_GB2312" w:eastAsia="楷体_GB2312" w:cs="Times New Roman" w:hAnsi="Times New Roman" w:hint="eastAsia"/>
                        <w:bCs/>
                        <w:color w:val="000000"/>
                        <w:sz w:val="18"/>
                        <w:szCs w:val="18"/>
                        <w14:textFill>
                          <w14:solidFill>
                            <w14:srgbClr w14:val="000000"/>
                          </w14:solidFill>
                        </w14:textFill>
                      </w:rPr>
                      <w:t>实建地上6层以内且建筑高度不超过22米</w:t>
                    </w:r>
                    <w:bookmarkEnd w:id="8"/>
                    <w:bookmarkEnd w:id="9"/>
                    <w:r>
                      <w:rPr>
                        <w:rFonts w:ascii="楷体_GB2312" w:eastAsia="楷体_GB2312" w:cs="Times New Roman" w:hAnsi="Times New Roman" w:hint="eastAsia"/>
                        <w:bCs/>
                        <w:color w:val="000000"/>
                        <w:sz w:val="18"/>
                        <w:szCs w:val="18"/>
                        <w14:textFill>
                          <w14:solidFill>
                            <w14:srgbClr w14:val="000000"/>
                          </w14:solidFill>
                        </w14:textFill>
                      </w:rPr>
                      <w:t>，实建层数超出原审定规划图的</w:t>
                    </w:r>
                  </w:p>
                </w:txbxContent>
              </v:textbox>
              <v:stroke color="#385D8A"/>
            </v:rect>
            <v:rect type="#_x0000_t1" id="_s20" o:spid="_x0000_s20" style="position:absolute;left:4523;top:11956;width:1285;height:2848;mso-wrap-style:square;" filled="f" stroked="t" strokeweight="2.0pt">
              <v:textbox id="861" inset="2.54mm,1.27mm,2.54mm,1.27mm" o:insetmode="custom" style="layout-flow:horizontal;v-text-anchor:middle;">
                <w:txbxContent>
                  <w:p>
                    <w:pPr>
                      <w:pStyle w:val="17"/>
                      <w:spacing w:before="0" w:beforeAutospacing="0" w:after="0" w:afterAutospacing="0"/>
                      <w:jc w:val="center"/>
                      <w:rPr>
                        <w:sz w:val="18"/>
                        <w:szCs w:val="18"/>
                      </w:rPr>
                    </w:pPr>
                    <w:bookmarkStart w:id="10" w:name="OLE_LINK35"/>
                    <w:bookmarkStart w:id="11" w:name="OLE_LINK34"/>
                    <w:bookmarkStart w:id="12" w:name="_Hlk196323521"/>
                    <w:r>
                      <w:rPr>
                        <w:rFonts w:eastAsia="楷体_GB2312" w:cs="Times New Roman" w:hint="eastAsia"/>
                        <w:color w:val="000000"/>
                        <w:sz w:val="18"/>
                        <w:szCs w:val="18"/>
                      </w:rPr>
                      <w:t>实建房屋超出地上6层以上，超建面积小于（含等于）50平方</w:t>
                    </w:r>
                    <w:r>
                      <w:rPr>
                        <w:rFonts w:eastAsia="楷体_GB2312" w:cs="Times New Roman" w:hint="eastAsia"/>
                        <w:color w:val="000000"/>
                        <w:sz w:val="18"/>
                        <w:szCs w:val="18"/>
                        <w:lang w:eastAsia="zh-CN"/>
                      </w:rPr>
                      <w:t>并且</w:t>
                    </w:r>
                    <w:r>
                      <w:rPr>
                        <w:rFonts w:eastAsia="楷体_GB2312" w:cs="Times New Roman" w:hint="eastAsia"/>
                        <w:color w:val="000000"/>
                        <w:sz w:val="18"/>
                        <w:szCs w:val="18"/>
                      </w:rPr>
                      <w:t>一层以内的</w:t>
                    </w:r>
                    <w:bookmarkEnd w:id="10"/>
                    <w:bookmarkEnd w:id="11"/>
                    <w:bookmarkEnd w:id="12"/>
                  </w:p>
                </w:txbxContent>
              </v:textbox>
              <v:stroke color="#385D8A"/>
            </v:rect>
            <v:rect type="#_x0000_t1" id="_s21" o:spid="_x0000_s21" style="position:absolute;left:6055;top:11998;width:1655;height:2799;mso-wrap-style:square;" filled="f" stroked="t" strokeweight="2.0pt">
              <v:textbox id="862" inset="2.54mm,1.27mm,2.54mm,1.27mm" o:insetmode="custom" style="layout-flow:horizontal;v-text-anchor:middle;">
                <w:txbxContent>
                  <w:p>
                    <w:pPr>
                      <w:pStyle w:val="17"/>
                      <w:spacing w:before="0" w:beforeAutospacing="0" w:after="0" w:afterAutospacing="0"/>
                      <w:jc w:val="center"/>
                    </w:pPr>
                    <w:r>
                      <w:rPr>
                        <w:rFonts w:eastAsia="楷体_GB2312" w:cs="Times New Roman" w:hint="eastAsia"/>
                        <w:color w:val="000000"/>
                        <w:sz w:val="18"/>
                        <w:szCs w:val="18"/>
                      </w:rPr>
                      <w:t>实建地上6层以内且建筑高度不超过22米，二层以上擅自出挑、正射投影超出批准用地范围的，且不影响消防的</w:t>
                    </w:r>
                  </w:p>
                </w:txbxContent>
              </v:textbox>
              <v:stroke color="#385D8A"/>
            </v:rect>
            <v:rect type="#_x0000_t1" id="_s22" o:spid="_x0000_s22" style="position:absolute;left:9743;top:11977;width:2176;height:2801;mso-wrap-style:square;" filled="f" stroked="t" strokeweight="2.0pt">
              <v:textbox id="863" inset="2.54mm,1.27mm,2.54mm,1.27mm" o:insetmode="custom" style="layout-flow:horizontal;v-text-anchor:middle;">
                <w:txbxContent>
                  <w:p>
                    <w:pPr>
                      <w:pStyle w:val="17"/>
                      <w:spacing w:before="0" w:beforeAutospacing="0" w:after="0" w:afterAutospacing="0"/>
                      <w:jc w:val="center"/>
                      <w:rPr>
                        <w:rFonts w:eastAsia="楷体_GB2312" w:cs="Times New Roman"/>
                        <w:color w:val="000000"/>
                        <w:sz w:val="18"/>
                        <w:szCs w:val="18"/>
                      </w:rPr>
                    </w:pPr>
                    <w:bookmarkStart w:id="13" w:name="_Hlk196324305"/>
                    <w:bookmarkStart w:id="14" w:name="OLE_LINK44"/>
                    <w:bookmarkStart w:id="15" w:name="OLE_LINK43"/>
                    <w:r>
                      <w:rPr>
                        <w:rFonts w:eastAsia="楷体_GB2312" w:cs="Times New Roman" w:hint="eastAsia"/>
                        <w:color w:val="000000"/>
                        <w:sz w:val="18"/>
                        <w:szCs w:val="18"/>
                      </w:rPr>
                      <w:t>实建地上6层以内且建筑高度不超过22米，一层房屋用地面积超出原批准用地面积5%-10%（含等于10%）原则上超出用地面积最大面积不超过15平方米（含等于且不影响规划的</w:t>
                    </w:r>
                    <w:bookmarkEnd w:id="13"/>
                    <w:bookmarkEnd w:id="14"/>
                    <w:bookmarkEnd w:id="15"/>
                  </w:p>
                </w:txbxContent>
              </v:textbox>
              <v:stroke color="#385D8A"/>
            </v:rect>
            <v:rect type="#_x0000_t1" id="_s23" o:spid="_x0000_s23" style="position:absolute;left:12293;top:12003;width:1566;height:2789;mso-wrap-style:square;" filled="f" stroked="t" strokeweight="2.0pt">
              <v:textbox id="864" inset="2.54mm,1.27mm,2.54mm,1.27mm" o:insetmode="custom" style="layout-flow:horizontal;v-text-anchor:middle;">
                <w:txbxContent>
                  <w:p>
                    <w:pPr>
                      <w:pStyle w:val="17"/>
                      <w:spacing w:before="0" w:beforeAutospacing="0" w:after="0" w:afterAutospacing="0"/>
                      <w:jc w:val="center"/>
                      <w:rPr>
                        <w:rFonts w:eastAsia="楷体_GB2312" w:cs="Times New Roman"/>
                        <w:color w:val="000000"/>
                        <w:sz w:val="18"/>
                        <w:szCs w:val="18"/>
                      </w:rPr>
                    </w:pPr>
                    <w:r>
                      <w:rPr>
                        <w:rFonts w:eastAsia="楷体_GB2312" w:cs="Times New Roman" w:hint="eastAsia"/>
                        <w:color w:val="000000"/>
                        <w:sz w:val="18"/>
                        <w:szCs w:val="18"/>
                      </w:rPr>
                      <w:t>房屋外立面局部未按规划进行建设，且无法采取改正措施消除对规划影响，且对沿街及周边整体风貌影响较小</w:t>
                    </w:r>
                  </w:p>
                </w:txbxContent>
              </v:textbox>
              <v:stroke color="#385D8A"/>
            </v:rect>
            <v:rect type="#_x0000_t1" id="_s24" o:spid="_x0000_s24" style="position:absolute;left:14169;top:12001;width:1565;height:2792;mso-wrap-style:square;" filled="f" stroked="t" strokeweight="2.0pt">
              <v:textbox id="865" inset="2.54mm,1.27mm,2.54mm,1.27mm" o:insetmode="custom" style="layout-flow:horizontal;v-text-anchor:middle;">
                <w:txbxContent>
                  <w:p>
                    <w:pPr>
                      <w:pStyle w:val="17"/>
                      <w:spacing w:before="0" w:beforeAutospacing="0" w:after="0" w:afterAutospacing="0"/>
                      <w:jc w:val="center"/>
                      <w:rPr>
                        <w:rFonts w:eastAsia="楷体_GB2312" w:cs="Times New Roman"/>
                        <w:color w:val="000000"/>
                        <w:sz w:val="18"/>
                        <w:szCs w:val="18"/>
                      </w:rPr>
                    </w:pPr>
                    <w:r>
                      <w:rPr>
                        <w:rFonts w:eastAsia="楷体_GB2312" w:cs="Times New Roman" w:hint="eastAsia"/>
                        <w:color w:val="000000"/>
                        <w:sz w:val="18"/>
                        <w:szCs w:val="18"/>
                      </w:rPr>
                      <w:t>房屋外立面建筑色彩未按规划进行建设，且无法采取改正措施消除对规划影响，对沿街及周边整体风貌影响较大</w:t>
                    </w:r>
                  </w:p>
                </w:txbxContent>
              </v:textbox>
              <v:stroke color="#385D8A"/>
            </v:rect>
            <v:rect type="#_x0000_t1" id="_s25" o:spid="_x0000_s25" style="position:absolute;left:7889;top:12001;width:1657;height:2782;mso-wrap-style:square;" filled="f" stroked="t" strokeweight="2.0pt">
              <v:textbox id="866" inset="2.54mm,1.27mm,2.54mm,1.27mm" o:insetmode="custom" style="layout-flow:horizontal;v-text-anchor:middle;">
                <w:txbxContent>
                  <w:p>
                    <w:pPr>
                      <w:pStyle w:val="17"/>
                      <w:spacing w:before="0" w:beforeAutospacing="0" w:after="0" w:afterAutospacing="0"/>
                      <w:jc w:val="center"/>
                    </w:pPr>
                    <w:r>
                      <w:rPr>
                        <w:rFonts w:eastAsia="楷体_GB2312" w:cs="Times New Roman" w:hint="eastAsia"/>
                        <w:color w:val="000000"/>
                        <w:sz w:val="18"/>
                        <w:szCs w:val="18"/>
                      </w:rPr>
                      <w:t>实建地上6层以内且建筑高度不超过22米，一层房屋用地面积超出原批准用地面积5%以内（含等于）且不影响规划的</w:t>
                    </w:r>
                  </w:p>
                </w:txbxContent>
              </v:textbox>
              <v:stroke color="#385D8A"/>
            </v:rect>
            <v:shape type="#_x0000_t32" id="_s26" o:spid="_x0000_s26" style="position:absolute;left:8704;top:3604;width:5;height:321;" filled="f" stroked="t">
              <v:stroke color="#4A7EBB" endarrow="open"/>
            </v:shape>
            <v:shape type="#_x0000_t32" id="_s27" o:spid="_x0000_s27" style="position:absolute;left:8703;top:4638;width:0;height:320;flip:x;" filled="f" stroked="t">
              <v:stroke color="#4A7EBB" endarrow="open"/>
            </v:shape>
            <v:shape type="#_x0000_t32" id="_s28" o:spid="_x0000_s28" style="position:absolute;left:8703;top:5670;width:0;height:440;" filled="f" stroked="t">
              <v:stroke color="#4A7EBB" endarrow="open"/>
            </v:shape>
            <v:shape type="#_x0000_t32" id="_s29" o:spid="_x0000_s29" style="position:absolute;left:8703;top:6972;width:0;height:359;" filled="f" stroked="t">
              <v:stroke color="#4A7EBB" endarrow="open"/>
            </v:shape>
            <v:shape type="#_x0000_t32" id="_s30" o:spid="_x0000_s30" style="position:absolute;left:8703;top:8262;width:1;height:405;" filled="f" stroked="t">
              <v:stroke color="#4A7EBB" endarrow="open"/>
            </v:shape>
            <v:shape type="#_x0000_t34" id="_s31" o:spid="_x0000_s31" style="position:absolute;left:5638;top:7774;width:1242;height:4890;rotation:90.0;" filled="f" stroked="t" adj="10800">
              <v:stroke color="#4A7EBB" endarrow="open"/>
            </v:shape>
            <v:shape type="#_x0000_t34" id="_s32" o:spid="_x0000_s32" style="position:absolute;left:10691;top:7611;width:1241;height:5215;rotation:90.0;flip:x;" filled="f" stroked="t" adj="10800">
              <v:stroke color="#4A7EBB" endarrow="open"/>
            </v:shape>
            <v:shape type="#_x0000_t34" id="_s33" o:spid="_x0000_s33" style="position:absolute;left:2700;top:10925;width:407;height:1656;rotation:90.0;" filled="f" stroked="t" adj="10798">
              <v:stroke color="#4A7EBB" endarrow="open"/>
            </v:shape>
            <v:shape type="#_x0000_t34" id="_s34" o:spid="_x0000_s34" style="position:absolute;left:3522;top:11757;width:417;height:2;rotation:90.0;" filled="f" stroked="t" adj="10800">
              <v:stroke color="#4A7EBB" endarrow="open"/>
            </v:shape>
            <v:shape type="#_x0000_t34" id="_s35" o:spid="_x0000_s35" style="position:absolute;left:4245;top:11036;width:407;height:1434;rotation:90.0;flip:x;" filled="f" stroked="t" adj="10800">
              <v:stroke color="#4A7EBB" endarrow="open"/>
            </v:shape>
            <v:shape type="#_x0000_t34" id="_s36" o:spid="_x0000_s36" style="position:absolute;left:7571;top:10868;width:441;height:1818;rotation:90.0;" filled="f" stroked="t" adj="10800">
              <v:stroke color="#4A7EBB" endarrow="open"/>
            </v:shape>
            <v:shape type="#_x0000_t34" id="_s37" o:spid="_x0000_s37" style="position:absolute;left:9557;top:10702;width:421;height:2130;rotation:90.0;flip:x;" filled="f" stroked="t" adj="10800">
              <v:stroke color="#4A7EBB" endarrow="open"/>
            </v:shape>
            <v:shape type="#_x0000_t34" id="_s38" o:spid="_x0000_s38" style="position:absolute;left:8488;top:11771;width:444;height:16;rotation:90.0;flip:x;" filled="f" stroked="t" adj="10799">
              <v:stroke color="#4A7EBB" endarrow="open"/>
            </v:shape>
            <v:shape type="#_x0000_t34" id="_s39" o:spid="_x0000_s39" style="position:absolute;left:13230;top:11394;width:454;height:763;rotation:90.0;" filled="f" stroked="t" adj="10800">
              <v:stroke color="#4A7EBB" endarrow="open"/>
            </v:shape>
            <v:shape type="#_x0000_t34" id="_s40" o:spid="_x0000_s40" style="position:absolute;left:14168;top:11218;width:453;height:1113;rotation:90.0;flip:x;" filled="f" stroked="t" adj="10800">
              <v:stroke color="#4A7EBB" endarrow="open"/>
            </v:shape>
            <v:rect type="#_x0000_t1" id="_s41" o:spid="_x0000_s41" style="position:absolute;left:2287;top:16020;width:12856;height:926;mso-wrap-style:square;" filled="f" stroked="t" strokeweight="2.0pt">
              <v:textbox id="867" inset="2.54mm,1.27mm,2.54mm,1.27mm" o:insetmode="custom" style="layout-flow:horizontal;v-text-anchor:middle;">
                <w:txbxContent>
                  <w:p>
                    <w:pPr>
                      <w:pStyle w:val="17"/>
                      <w:spacing w:before="0" w:beforeAutospacing="0" w:after="0" w:afterAutospacing="0"/>
                      <w:jc w:val="center"/>
                      <w:rPr>
                        <w:rFonts w:cs="Times New Roman" w:hAnsi="Times New Roman"/>
                        <w:color w:val="000000"/>
                        <w:sz w:val="21"/>
                        <w:szCs w:val="21"/>
                      </w:rPr>
                    </w:pPr>
                    <w:r>
                      <w:rPr>
                        <w:rFonts w:cs="Times New Roman" w:hAnsi="Times New Roman" w:hint="eastAsia"/>
                        <w:color w:val="000000"/>
                        <w:sz w:val="21"/>
                        <w:szCs w:val="21"/>
                      </w:rPr>
                      <w:t>土地使用权人向各镇人民政府（街道办事处）提交补办申请及相关材料，申请出具现状认定或核实意见（申请材料根据具体类型按附件4、附件5）</w:t>
                    </w:r>
                  </w:p>
                </w:txbxContent>
              </v:textbox>
              <v:stroke color="#385D8A"/>
            </v:rect>
            <v:shape type="#_x0000_t34" id="_s42" o:spid="_x0000_s42" style="position:absolute;left:4786;top:12091;width:1219;height:6639;rotation:90.0;flip:x;" filled="f" stroked="t" adj="10808">
              <v:stroke color="#4A7EBB" endarrow="open"/>
            </v:shape>
            <v:shape type="#_x0000_t34" id="_s43" o:spid="_x0000_s43" style="position:absolute;left:5620;top:12925;width:1205;height:4985;rotation:90.0;flip:x;" filled="f" stroked="t" adj="10808">
              <v:stroke color="#4A7EBB" endarrow="open"/>
            </v:shape>
            <v:shape type="#_x0000_t34" id="_s44" o:spid="_x0000_s44" style="position:absolute;left:6333;top:13637;width:1215;height:3549;rotation:90.0;flip:x;" filled="f" stroked="t" adj="10790">
              <v:stroke color="#4A7EBB" endarrow="open"/>
            </v:shape>
            <v:shape type="#_x0000_t34" id="_s45" o:spid="_x0000_s45" style="position:absolute;left:7188;top:14493;width:1222;height:1832;rotation:90.0;flip:x;" filled="f" stroked="t" adj="10800">
              <v:stroke color="#4A7EBB" endarrow="open"/>
            </v:shape>
            <v:shape type="#_x0000_t34" id="_s46" o:spid="_x0000_s46" style="position:absolute;left:8098;top:15400;width:1236;height:3;rotation:90.0;" filled="f" stroked="t" adj="10791">
              <v:stroke color="#4A7EBB" endarrow="open"/>
            </v:shape>
            <v:shape type="#_x0000_t34" id="_s47" o:spid="_x0000_s47" style="position:absolute;left:9153;top:14341;width:1241;height:2116;rotation:90.0;" filled="f" stroked="t" adj="10790">
              <v:stroke color="#4A7EBB" endarrow="open"/>
            </v:shape>
            <v:shape type="#_x0000_t34" id="_s48" o:spid="_x0000_s48" style="position:absolute;left:10282;top:13226;width:1227;height:4361;rotation:90.0;" filled="f" stroked="t" adj="10807">
              <v:stroke color="#4A7EBB" endarrow="open"/>
            </v:shape>
            <v:shape type="#_x0000_t34" id="_s49" o:spid="_x0000_s49" style="position:absolute;left:11220;top:12288;width:1227;height:6237;rotation:90.0;" filled="f" stroked="t" adj="10807">
              <v:stroke color="#4A7EBB" endarrow="open"/>
            </v:shape>
            <v:rect type="#_x0000_t1" id="_s50" o:spid="_x0000_s50" style="position:absolute;left:2289;top:17379;width:12854;height:1276;mso-wrap-style:square;" filled="f" stroked="t" strokeweight="2.0pt">
              <v:textbox id="868" inset="2.54mm,1.27mm,2.54mm,1.27mm" o:insetmode="custom" style="layout-flow:horizontal;v-text-anchor:middle;">
                <w:txbxContent>
                  <w:p>
                    <w:pPr>
                      <w:pStyle w:val="17"/>
                      <w:spacing w:before="0" w:beforeAutospacing="0" w:after="0" w:afterAutospacing="0"/>
                      <w:jc w:val="center"/>
                    </w:pPr>
                    <w:r>
                      <w:rPr>
                        <w:rFonts w:cs="Times New Roman" w:hAnsi="Times New Roman" w:hint="eastAsia"/>
                        <w:color w:val="000000"/>
                        <w:sz w:val="21"/>
                        <w:szCs w:val="21"/>
                      </w:rPr>
                      <w:t>各镇人民政府（街道办）向区自然资源局移交申请，区自然资源局受理申请材料后进行审查，在符合国土空间规划、建筑质量安全和消防安全的前提下已依法查处到位后，委托评估公司实施评估应补缴的土地出让金、统计应补缴的城市基础设施配套费，拟定处理意见报区人民政府批准</w:t>
                    </w:r>
                  </w:p>
                </w:txbxContent>
              </v:textbox>
              <v:stroke color="#385D8A"/>
            </v:rect>
            <v:rect type="#_x0000_t1" id="_s51" o:spid="_x0000_s51" style="position:absolute;left:2301;top:19297;width:12852;height:1014;mso-wrap-style:square;" filled="f" stroked="t" strokeweight="2.0pt">
              <v:textbox id="869" inset="2.54mm,1.27mm,2.54mm,1.27mm" o:insetmode="custom" style="layout-flow:horizontal;v-text-anchor:middle;">
                <w:txbxContent>
                  <w:p>
                    <w:pPr>
                      <w:pStyle w:val="17"/>
                      <w:spacing w:before="0" w:beforeAutospacing="0" w:after="0" w:afterAutospacing="0"/>
                      <w:jc w:val="center"/>
                    </w:pPr>
                    <w:r>
                      <w:rPr>
                        <w:rFonts w:cs="Times New Roman" w:hAnsi="Times New Roman" w:hint="eastAsia"/>
                        <w:color w:val="000000"/>
                        <w:sz w:val="21"/>
                        <w:szCs w:val="21"/>
                      </w:rPr>
                      <w:t>根据区人民政府批准的方案，土地使用权人城市基础设施配套费、土地出让金等相关费用后，区自然资源局按现状出具认定或核实意见。（如经核算不涉及补缴费用，则无需补缴）</w:t>
                    </w:r>
                  </w:p>
                </w:txbxContent>
              </v:textbox>
              <v:stroke color="#385D8A"/>
            </v:rect>
            <v:rect type="#_x0000_t1" id="_s52" o:spid="_x0000_s52" style="position:absolute;left:2298;top:20875;width:12851;height:922;mso-wrap-style:square;" filled="f" stroked="t" strokeweight="2.0pt">
              <v:textbox id="870" inset="2.54mm,1.27mm,2.54mm,1.27mm" o:insetmode="custom" style="layout-flow:horizontal;v-text-anchor:middle;">
                <w:txbxContent>
                  <w:p>
                    <w:pPr>
                      <w:pStyle w:val="17"/>
                      <w:spacing w:before="0" w:beforeAutospacing="0" w:after="0" w:afterAutospacing="0"/>
                      <w:jc w:val="center"/>
                    </w:pPr>
                    <w:r>
                      <w:rPr>
                        <w:rFonts w:cs="Times New Roman" w:hAnsi="Times New Roman" w:hint="eastAsia"/>
                        <w:color w:val="000000"/>
                        <w:sz w:val="21"/>
                        <w:szCs w:val="21"/>
                      </w:rPr>
                      <w:t>土地使用权人缴纳相关税费后，向区自然资源局不动产登记中心申请办理不动产登记（所需材料见附件5）</w:t>
                    </w:r>
                  </w:p>
                </w:txbxContent>
              </v:textbox>
              <v:stroke color="#385D8A"/>
            </v:rect>
            <v:shape type="#_x0000_t34" id="_s53" o:spid="_x0000_s53" style="position:absolute;left:8499;top:17162;width:433;height:1;rotation:90.0;flip:x;" filled="f" stroked="t" adj="10825">
              <v:stroke color="#4A7EBB" endarrow="open"/>
            </v:shape>
            <v:shape type="#_x0000_t34" id="_s54" o:spid="_x0000_s54" style="position:absolute;left:8401;top:18971;width:642;height:12;rotation:90.0;flip:x;" filled="f" stroked="t" adj="10800">
              <v:stroke color="#4A7EBB" endarrow="open"/>
            </v:shape>
            <v:shape type="#_x0000_t34" id="_s55" o:spid="_x0000_s55" style="position:absolute;left:8455;top:20584;width:545;height:1;rotation:90.0;" filled="f" stroked="t" adj="10800">
              <v:stroke color="#4A7EBB" endarrow="open"/>
            </v:shape>
            <v:shape type="#_x0000_t34" id="_s56" o:spid="_x0000_s56" style="position:absolute;left:8083;top:10219;width:1242;height:0;rotation:90.0;" filled="f" stroked="t" adj="10798">
              <v:stroke color="#4A7EBB" endarrow="open"/>
            </v:shape>
            <v:rect type="#_x0000_t1" id="_s57" o:spid="_x0000_s57" style="position:absolute;left:6763;top:9598;width:3948;height:700;mso-wrap-style:square;" filled="f" stroked="f">
              <v:textbox id="871" inset="2.54mm,1.27mm,2.54mm,1.27mm" o:insetmode="custom" style="layout-flow:horizontal;v-text-anchor:middle;">
                <w:txbxContent>
                  <w:p>
                    <w:pPr>
                      <w:pStyle w:val="17"/>
                      <w:spacing w:before="0" w:beforeAutospacing="0" w:after="0" w:afterAutospacing="0"/>
                      <w:jc w:val="center"/>
                    </w:pPr>
                    <w:bookmarkStart w:id="16" w:name="OLE_LINK151"/>
                    <w:bookmarkStart w:id="17" w:name="OLE_LINK150"/>
                    <w:r>
                      <w:rPr>
                        <w:rFonts w:cs="Times New Roman" w:hAnsi="Times New Roman" w:hint="eastAsia"/>
                        <w:color w:val="000000"/>
                        <w:sz w:val="21"/>
                        <w:szCs w:val="21"/>
                      </w:rPr>
                      <w:t>具体实施以下三大类8小类</w:t>
                    </w:r>
                    <w:bookmarkEnd w:id="16"/>
                    <w:bookmarkEnd w:id="17"/>
                  </w:p>
                </w:txbxContent>
              </v:textbox>
              <v:stroke color="#000000"/>
            </v:rect>
            <w10:anchorLock/>
          </v:group>
        </w:pict>
      </w:r>
    </w:p>
    <w:p>
      <w:pPr>
        <w:jc w:val="center"/>
        <w:rPr>
          <w:rFonts w:ascii="黑体" w:eastAsia="黑体" w:hAnsi="黑体"/>
          <w:sz w:val="18"/>
          <w:szCs w:val="18"/>
        </w:rPr>
      </w:pPr>
    </w:p>
    <w:sectPr>
      <w:footerReference w:type="default" r:id="rId2"/>
      <w:footerReference w:type="even" r:id="rId3"/>
      <w:pgSz w:w="16839" w:h="23814"/>
      <w:pgMar w:top="720" w:right="720" w:bottom="720" w:left="72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黑体">
    <w:panose1 w:val="0201060003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Arial">
    <w:panose1 w:val="020B0604020202020204"/>
    <w:charset w:val="01"/>
    <w:family w:val="swiss"/>
    <w:pitch w:val="variable"/>
    <w:sig w:usb0="E0002AFF" w:usb1="C0007843" w:usb2="00000009" w:usb3="00000000" w:csb0="400001FF" w:csb1="FFFF0000"/>
  </w:font>
  <w:font w:name="Calibri">
    <w:panose1 w:val="020F0502020204030204"/>
    <w:charset w:val="00"/>
    <w:family w:val="swiss"/>
    <w:pitch w:val="variable"/>
    <w:sig w:usb0="E00002FF" w:usb1="4000ACFF" w:usb2="00000001"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pPr>
    <w:r>
      <mc:AlternateContent>
        <mc:Choice Requires="wps">
          <w:drawing>
            <wp:anchor distT="0" distB="0" distL="114298" distR="114298" simplePos="0" relativeHeight="16" behindDoc="0" locked="0" layoutInCell="1" hidden="0" allowOverlap="1">
              <wp:simplePos x="0" y="0"/>
              <wp:positionH relativeFrom="margin">
                <wp:align>outside</wp:align>
              </wp:positionH>
              <wp:positionV relativeFrom="paragraph">
                <wp:posOffset>0</wp:posOffset>
              </wp:positionV>
              <wp:extent cx="711200" cy="230251"/>
              <wp:effectExtent l="0" t="0" r="0" b="0"/>
              <wp:wrapNone/>
              <wp:docPr id="1" name="文本框 1"/>
              <wp:cNvGraphicFramePr>
                <a:graphicFrameLocks noChangeAspect="0"/>
              </wp:cNvGraphicFramePr>
              <a:graphic>
                <a:graphicData uri="http://schemas.microsoft.com/office/word/2010/wordprocessingShape">
                  <wps:wsp>
                    <wps:cNvSpPr/>
                    <wps:spPr>
                      <a:xfrm rot="0">
                        <a:off x="0" y="0"/>
                        <a:ext cx="711200" cy="230251"/>
                      </a:xfrm>
                      <a:prstGeom prst="rect"/>
                      <a:noFill/>
                      <a:ln w="6350" cmpd="sng" cap="flat">
                        <a:noFill/>
                        <a:prstDash val="solid"/>
                        <a:round/>
                      </a:ln>
                    </wps:spPr>
                    <wps:txbx id="2">
                      <w:txbxContent>
                        <w:p>
                          <w:pPr>
                            <w:pStyle w:val="15"/>
                            <w:tabs>
                              <w:tab w:val="center" w:pos="4153"/>
                              <w:tab w:val="right" w:pos="8306"/>
                            </w:tabs>
                            <w:rPr>
                              <w:rFonts w:ascii="宋体" w:cs="宋体"/>
                              <w:sz w:val="28"/>
                              <w:szCs w:val="28"/>
                            </w:rPr>
                          </w:pPr>
                          <w:r>
                            <w:rPr>
                              <w:rFonts w:ascii="宋体" w:cs="宋体" w:hint="eastAsia"/>
                              <w:sz w:val="28"/>
                              <w:szCs w:val="28"/>
                            </w:rPr>
                            <w:t>— 13 —</w:t>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56.000004pt;height:18.130003pt;z-index:16;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5"/>
                      <w:tabs>
                        <w:tab w:val="center" w:pos="4153"/>
                        <w:tab w:val="right" w:pos="8306"/>
                      </w:tabs>
                      <w:rPr>
                        <w:rFonts w:ascii="宋体" w:cs="宋体"/>
                        <w:sz w:val="28"/>
                        <w:szCs w:val="28"/>
                      </w:rPr>
                    </w:pPr>
                    <w:r>
                      <w:rPr>
                        <w:rFonts w:ascii="宋体" w:cs="宋体" w:hint="eastAsia"/>
                        <w:sz w:val="28"/>
                        <w:szCs w:val="28"/>
                      </w:rPr>
                      <w:t>— 13 —</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pPr>
    <w:r>
      <mc:AlternateContent>
        <mc:Choice Requires="wps">
          <w:drawing>
            <wp:anchor distT="0" distB="0" distL="114298" distR="114298" simplePos="0" relativeHeight="18" behindDoc="0" locked="0" layoutInCell="1" hidden="0" allowOverlap="1">
              <wp:simplePos x="0" y="0"/>
              <wp:positionH relativeFrom="margin">
                <wp:align>left</wp:align>
              </wp:positionH>
              <wp:positionV relativeFrom="paragraph">
                <wp:posOffset>0</wp:posOffset>
              </wp:positionV>
              <wp:extent cx="711200" cy="230251"/>
              <wp:effectExtent l="0" t="0" r="0" b="0"/>
              <wp:wrapNone/>
              <wp:docPr id="4" name="文本框 4"/>
              <wp:cNvGraphicFramePr>
                <a:graphicFrameLocks noChangeAspect="0"/>
              </wp:cNvGraphicFramePr>
              <a:graphic>
                <a:graphicData uri="http://schemas.microsoft.com/office/word/2010/wordprocessingShape">
                  <wps:wsp>
                    <wps:cNvSpPr/>
                    <wps:spPr>
                      <a:xfrm rot="0">
                        <a:off x="0" y="0"/>
                        <a:ext cx="711200" cy="230251"/>
                      </a:xfrm>
                      <a:prstGeom prst="rect"/>
                      <a:noFill/>
                      <a:ln w="6350" cmpd="sng" cap="flat">
                        <a:noFill/>
                        <a:prstDash val="solid"/>
                        <a:round/>
                      </a:ln>
                    </wps:spPr>
                    <wps:txbx id="5">
                      <w:txbxContent>
                        <w:p>
                          <w:pPr>
                            <w:pStyle w:val="15"/>
                            <w:tabs>
                              <w:tab w:val="center" w:pos="4153"/>
                              <w:tab w:val="right" w:pos="8306"/>
                            </w:tabs>
                            <w:rPr>
                              <w:rFonts w:ascii="宋体" w:cs="宋体"/>
                              <w:sz w:val="28"/>
                              <w:szCs w:val="28"/>
                            </w:rPr>
                          </w:pPr>
                          <w:r>
                            <w:rPr>
                              <w:rFonts w:ascii="宋体" w:cs="宋体" w:hint="eastAsia"/>
                              <w:sz w:val="28"/>
                              <w:szCs w:val="28"/>
                            </w:rPr>
                            <w:t>— 14 —</w:t>
                          </w:r>
                        </w:p>
                      </w:txbxContent>
                    </wps:txbx>
                    <wps:bodyPr vert="horz" wrap="none" lIns="0" tIns="0" rIns="0" bIns="0" anchor="t" anchorCtr="0" upright="0">
                      <a:spAutoFit/>
                    </wps:bodyPr>
                  </wps:wsp>
                </a:graphicData>
              </a:graphic>
            </wp:anchor>
          </w:drawing>
        </mc:Choice>
        <mc:Fallback>
          <w:pict>
            <v:shape type="#_x0000_t202" id="文本框 4 6" o:spid="_x0000_s6" filled="f" stroked="f" strokeweight="0.5pt" style="position:absolute;margin-left:0.0pt;margin-top:0.0pt;width:56.000004pt;height:18.130003pt;z-index:18;mso-position-horizontal:left;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5"/>
                      <w:tabs>
                        <w:tab w:val="center" w:pos="4153"/>
                        <w:tab w:val="right" w:pos="8306"/>
                      </w:tabs>
                      <w:rPr>
                        <w:rFonts w:ascii="宋体" w:cs="宋体"/>
                        <w:sz w:val="28"/>
                        <w:szCs w:val="28"/>
                      </w:rPr>
                    </w:pPr>
                    <w:r>
                      <w:rPr>
                        <w:rFonts w:ascii="宋体" w:cs="宋体" w:hint="eastAsia"/>
                        <w:sz w:val="28"/>
                        <w:szCs w:val="28"/>
                      </w:rPr>
                      <w:t>— 14 —</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Normal (Web)"/>
    <w:basedOn w:val="0"/>
    <w:pPr>
      <w:widowControl/>
      <w:spacing w:before="100" w:beforeAutospacing="1" w:after="100" w:afterAutospacing="1"/>
      <w:jc w:val="left"/>
    </w:pPr>
    <w:rPr>
      <w:rFonts w:ascii="宋体" w:eastAsia="宋体" w:cs="宋体" w:hAnsi="宋体"/>
      <w:kern w:val="0"/>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88</TotalTime>
  <Application>Yozo_Office27021597764231179</Application>
  <Pages>2</Pages>
  <Words>0</Words>
  <Characters>33</Characters>
  <Lines>0</Lines>
  <Paragraphs>5</Paragraphs>
  <CharactersWithSpaces>45</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AutoBVT</dc:creator>
  <cp:lastModifiedBy>User</cp:lastModifiedBy>
  <cp:revision>14</cp:revision>
  <cp:lastPrinted>2025-09-29T08:32:32Z</cp:lastPrinted>
  <dcterms:created xsi:type="dcterms:W3CDTF">2025-04-23T10:55:00Z</dcterms:created>
  <dcterms:modified xsi:type="dcterms:W3CDTF">2025-10-13T07:58:02Z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eyJoZGlkIjoiMjRjNWE4YWE2ZDg3YmUzYjcyNGFkZjJiOGJjNzRmMzcifQ==</vt:lpwstr>
  </property>
  <property fmtid="{D5CDD505-2E9C-101B-9397-08002B2CF9AE}" pid="3" name="KSOProductBuildVer">
    <vt:lpwstr>2052-12.1.0.22529</vt:lpwstr>
  </property>
  <property fmtid="{D5CDD505-2E9C-101B-9397-08002B2CF9AE}" pid="4" name="ICV">
    <vt:lpwstr>C6768A70DC0F43B1A9662E34923B8552_13</vt:lpwstr>
  </property>
</Properties>
</file>