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B73BA">
      <w:pPr>
        <w:pStyle w:val="3"/>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115583BA">
      <w:pPr>
        <w:pStyle w:val="3"/>
        <w:spacing w:before="10"/>
        <w:rPr>
          <w:sz w:val="22"/>
        </w:rPr>
      </w:pPr>
    </w:p>
    <w:p w14:paraId="38E41D42">
      <w:pPr>
        <w:pStyle w:val="2"/>
        <w:ind w:right="932" w:firstLine="440" w:firstLineChars="100"/>
        <w:jc w:val="both"/>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钦州市</w:t>
      </w:r>
      <w:r>
        <w:rPr>
          <w:rFonts w:hint="eastAsia" w:ascii="方正小标宋简体" w:hAnsi="方正小标宋简体" w:eastAsia="方正小标宋简体" w:cs="方正小标宋简体"/>
          <w:lang w:eastAsia="zh-CN"/>
        </w:rPr>
        <w:t>钦北区</w:t>
      </w:r>
      <w:r>
        <w:rPr>
          <w:rFonts w:hint="eastAsia" w:ascii="方正小标宋简体" w:hAnsi="方正小标宋简体" w:eastAsia="方正小标宋简体" w:cs="方正小标宋简体"/>
        </w:rPr>
        <w:t>疫苗安全事件应急预案</w:t>
      </w:r>
    </w:p>
    <w:p w14:paraId="0F39C399">
      <w:pPr>
        <w:pStyle w:val="3"/>
        <w:keepNext w:val="0"/>
        <w:keepLines w:val="0"/>
        <w:pageBreakBefore w:val="0"/>
        <w:widowControl w:val="0"/>
        <w:tabs>
          <w:tab w:val="left" w:pos="4554"/>
        </w:tabs>
        <w:kinsoku/>
        <w:wordWrap/>
        <w:overflowPunct/>
        <w:topLinePunct w:val="0"/>
        <w:autoSpaceDE w:val="0"/>
        <w:autoSpaceDN w:val="0"/>
        <w:bidi w:val="0"/>
        <w:adjustRightInd/>
        <w:snapToGrid/>
        <w:spacing w:before="0" w:line="560" w:lineRule="exact"/>
        <w:ind w:right="4490"/>
        <w:jc w:val="right"/>
        <w:textAlignment w:val="auto"/>
        <w:rPr>
          <w:rFonts w:hint="eastAsia" w:ascii="仿宋_GB2312" w:hAnsi="仿宋_GB2312" w:eastAsia="仿宋_GB2312" w:cs="仿宋_GB2312"/>
          <w:b/>
          <w:bCs/>
          <w:spacing w:val="-16"/>
        </w:rPr>
      </w:pP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（试行</w:t>
      </w:r>
      <w:r>
        <w:rPr>
          <w:rFonts w:hint="eastAsia" w:ascii="仿宋_GB2312" w:hAnsi="仿宋_GB2312" w:eastAsia="仿宋_GB2312" w:cs="仿宋_GB2312"/>
          <w:b/>
          <w:bCs/>
          <w:lang w:eastAsia="zh-CN"/>
        </w:rPr>
        <w:t>）</w:t>
      </w:r>
      <w:r>
        <w:rPr>
          <w:rFonts w:hint="eastAsia" w:ascii="仿宋_GB2312" w:hAnsi="仿宋_GB2312" w:eastAsia="仿宋_GB2312" w:cs="仿宋_GB2312"/>
          <w:b/>
          <w:bCs/>
          <w:spacing w:val="-16"/>
          <w:lang w:eastAsia="zh-CN"/>
        </w:rPr>
        <w:t>（征求意见稿）</w:t>
      </w:r>
    </w:p>
    <w:p w14:paraId="19576BE2">
      <w:pPr>
        <w:pStyle w:val="3"/>
        <w:keepNext w:val="0"/>
        <w:keepLines w:val="0"/>
        <w:pageBreakBefore w:val="0"/>
        <w:widowControl w:val="0"/>
        <w:tabs>
          <w:tab w:val="left" w:pos="4554"/>
        </w:tabs>
        <w:kinsoku/>
        <w:wordWrap/>
        <w:overflowPunct/>
        <w:topLinePunct w:val="0"/>
        <w:autoSpaceDE w:val="0"/>
        <w:autoSpaceDN w:val="0"/>
        <w:bidi w:val="0"/>
        <w:adjustRightInd/>
        <w:snapToGrid/>
        <w:spacing w:before="0" w:line="560" w:lineRule="exact"/>
        <w:ind w:right="4490"/>
        <w:jc w:val="center"/>
        <w:textAlignment w:val="auto"/>
        <w:rPr>
          <w:rFonts w:hint="eastAsia" w:ascii="楷体_GB2312" w:hAnsi="楷体_GB2312" w:eastAsia="楷体_GB2312" w:cs="楷体_GB2312"/>
        </w:rPr>
      </w:pP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目录</w:t>
      </w:r>
    </w:p>
    <w:p w14:paraId="7B81091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 xml:space="preserve">1 </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总则</w:t>
      </w:r>
    </w:p>
    <w:p w14:paraId="34D7A90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1.1</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编制目的</w:t>
      </w:r>
    </w:p>
    <w:p w14:paraId="09861CF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1.2</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编制依据</w:t>
      </w:r>
    </w:p>
    <w:p w14:paraId="7196298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1.3</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分级标准</w:t>
      </w:r>
    </w:p>
    <w:p w14:paraId="35FBB66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1.4</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适用范围</w:t>
      </w:r>
    </w:p>
    <w:p w14:paraId="4A28649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1.5</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处置原则</w:t>
      </w:r>
    </w:p>
    <w:p w14:paraId="1120243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2</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组织体系</w:t>
      </w:r>
    </w:p>
    <w:p w14:paraId="3CDC690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2.1</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应急指挥体系</w:t>
      </w:r>
    </w:p>
    <w:p w14:paraId="253A7D4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2.2</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专家组</w:t>
      </w:r>
    </w:p>
    <w:p w14:paraId="622A066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2.3</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技术支撑机构</w:t>
      </w:r>
    </w:p>
    <w:p w14:paraId="5348E6E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3</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监测、预警、报告和评估</w:t>
      </w:r>
    </w:p>
    <w:p w14:paraId="6B74B59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3.1</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监测</w:t>
      </w:r>
    </w:p>
    <w:p w14:paraId="746E983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3.2</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预警</w:t>
      </w:r>
    </w:p>
    <w:p w14:paraId="6FE9E38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3.3</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事件报告</w:t>
      </w:r>
    </w:p>
    <w:p w14:paraId="2A21A60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3.4</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事件评估</w:t>
      </w:r>
    </w:p>
    <w:p w14:paraId="3989A2A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en-US" w:bidi="ar-SA"/>
        </w:rPr>
        <w:t>4</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应急响应和终止</w:t>
      </w:r>
    </w:p>
    <w:p w14:paraId="629C6D2E">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zh-CN" w:bidi="ar-SA"/>
        </w:rPr>
      </w:pPr>
      <w:r>
        <w:rPr>
          <w:rFonts w:hint="eastAsia" w:ascii="黑体" w:hAnsi="黑体" w:eastAsia="黑体" w:cs="黑体"/>
          <w:sz w:val="32"/>
          <w:szCs w:val="22"/>
          <w:lang w:val="en-US" w:eastAsia="en-US" w:bidi="ar-SA"/>
        </w:rPr>
        <w:t>4.1</w:t>
      </w:r>
      <w:r>
        <w:rPr>
          <w:rFonts w:hint="eastAsia" w:ascii="黑体" w:hAnsi="黑体" w:eastAsia="黑体" w:cs="黑体"/>
          <w:sz w:val="32"/>
          <w:szCs w:val="22"/>
          <w:lang w:val="en-US" w:eastAsia="zh-CN" w:bidi="ar-SA"/>
        </w:rPr>
        <w:t xml:space="preserve">  </w:t>
      </w:r>
      <w:r>
        <w:rPr>
          <w:rFonts w:hint="eastAsia" w:ascii="黑体" w:hAnsi="黑体" w:eastAsia="黑体" w:cs="黑体"/>
          <w:sz w:val="32"/>
          <w:szCs w:val="22"/>
          <w:lang w:val="en-US" w:eastAsia="en-US" w:bidi="ar-SA"/>
        </w:rPr>
        <w:t>事发地先期</w:t>
      </w:r>
      <w:r>
        <w:rPr>
          <w:rFonts w:hint="eastAsia" w:ascii="黑体" w:hAnsi="黑体" w:eastAsia="黑体" w:cs="黑体"/>
          <w:sz w:val="32"/>
          <w:szCs w:val="22"/>
          <w:lang w:val="en-US" w:eastAsia="zh-CN" w:bidi="ar-SA"/>
        </w:rPr>
        <w:t>处置</w:t>
      </w:r>
    </w:p>
    <w:p w14:paraId="66B0DF5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4.2  </w:t>
      </w:r>
      <w:r>
        <w:rPr>
          <w:rFonts w:hint="eastAsia" w:ascii="黑体" w:hAnsi="黑体" w:eastAsia="黑体" w:cs="黑体"/>
          <w:sz w:val="32"/>
          <w:szCs w:val="22"/>
          <w:lang w:val="en-US" w:eastAsia="en-US" w:bidi="ar-SA"/>
        </w:rPr>
        <w:t>应急响应措施</w:t>
      </w:r>
    </w:p>
    <w:p w14:paraId="3B62F69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4.3  </w:t>
      </w:r>
      <w:r>
        <w:rPr>
          <w:rFonts w:hint="eastAsia" w:ascii="黑体" w:hAnsi="黑体" w:eastAsia="黑体" w:cs="黑体"/>
          <w:sz w:val="32"/>
          <w:szCs w:val="22"/>
          <w:lang w:val="en-US" w:eastAsia="en-US" w:bidi="ar-SA"/>
        </w:rPr>
        <w:t>应急响应的级别调整和终止</w:t>
      </w:r>
    </w:p>
    <w:p w14:paraId="1A14D2F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4.4  </w:t>
      </w:r>
      <w:r>
        <w:rPr>
          <w:rFonts w:hint="eastAsia" w:ascii="黑体" w:hAnsi="黑体" w:eastAsia="黑体" w:cs="黑体"/>
          <w:sz w:val="32"/>
          <w:szCs w:val="22"/>
          <w:lang w:val="en-US" w:eastAsia="en-US" w:bidi="ar-SA"/>
        </w:rPr>
        <w:t>信息发布</w:t>
      </w:r>
    </w:p>
    <w:p w14:paraId="520170E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5    </w:t>
      </w:r>
      <w:r>
        <w:rPr>
          <w:rFonts w:hint="eastAsia" w:ascii="黑体" w:hAnsi="黑体" w:eastAsia="黑体" w:cs="黑体"/>
          <w:sz w:val="32"/>
          <w:szCs w:val="22"/>
          <w:lang w:val="en-US" w:eastAsia="en-US" w:bidi="ar-SA"/>
        </w:rPr>
        <w:t>后期处置</w:t>
      </w:r>
    </w:p>
    <w:p w14:paraId="0132B96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5.1  </w:t>
      </w:r>
      <w:r>
        <w:rPr>
          <w:rFonts w:hint="eastAsia" w:ascii="黑体" w:hAnsi="黑体" w:eastAsia="黑体" w:cs="黑体"/>
          <w:sz w:val="32"/>
          <w:szCs w:val="22"/>
          <w:lang w:val="en-US" w:eastAsia="en-US" w:bidi="ar-SA"/>
        </w:rPr>
        <w:t>事件评估</w:t>
      </w:r>
    </w:p>
    <w:p w14:paraId="578E302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5.2  </w:t>
      </w:r>
      <w:r>
        <w:rPr>
          <w:rFonts w:hint="eastAsia" w:ascii="黑体" w:hAnsi="黑体" w:eastAsia="黑体" w:cs="黑体"/>
          <w:sz w:val="32"/>
          <w:szCs w:val="22"/>
          <w:lang w:val="en-US" w:eastAsia="en-US" w:bidi="ar-SA"/>
        </w:rPr>
        <w:t>工作总结</w:t>
      </w:r>
    </w:p>
    <w:p w14:paraId="11A81DC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5.3  </w:t>
      </w:r>
      <w:r>
        <w:rPr>
          <w:rFonts w:hint="eastAsia" w:ascii="黑体" w:hAnsi="黑体" w:eastAsia="黑体" w:cs="黑体"/>
          <w:sz w:val="32"/>
          <w:szCs w:val="22"/>
          <w:lang w:val="en-US" w:eastAsia="en-US" w:bidi="ar-SA"/>
        </w:rPr>
        <w:t>善后与恢复</w:t>
      </w:r>
    </w:p>
    <w:p w14:paraId="2B19057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    </w:t>
      </w:r>
      <w:r>
        <w:rPr>
          <w:rFonts w:hint="eastAsia" w:ascii="黑体" w:hAnsi="黑体" w:eastAsia="黑体" w:cs="黑体"/>
          <w:sz w:val="32"/>
          <w:szCs w:val="22"/>
          <w:lang w:val="en-US" w:eastAsia="en-US" w:bidi="ar-SA"/>
        </w:rPr>
        <w:t>应急保障</w:t>
      </w:r>
    </w:p>
    <w:p w14:paraId="40BB00C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6.1  </w:t>
      </w:r>
      <w:r>
        <w:rPr>
          <w:rFonts w:hint="eastAsia" w:ascii="黑体" w:hAnsi="黑体" w:eastAsia="黑体" w:cs="黑体"/>
          <w:sz w:val="32"/>
          <w:szCs w:val="22"/>
          <w:lang w:val="en-US" w:eastAsia="en-US" w:bidi="ar-SA"/>
        </w:rPr>
        <w:t>队伍保障</w:t>
      </w:r>
    </w:p>
    <w:p w14:paraId="2097C5E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6.2  </w:t>
      </w:r>
      <w:r>
        <w:rPr>
          <w:rFonts w:hint="eastAsia" w:ascii="黑体" w:hAnsi="黑体" w:eastAsia="黑体" w:cs="黑体"/>
          <w:sz w:val="32"/>
          <w:szCs w:val="22"/>
          <w:lang w:val="en-US" w:eastAsia="en-US" w:bidi="ar-SA"/>
        </w:rPr>
        <w:t>医疗保障</w:t>
      </w:r>
    </w:p>
    <w:p w14:paraId="7867438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6.3  </w:t>
      </w:r>
      <w:r>
        <w:rPr>
          <w:rFonts w:hint="eastAsia" w:ascii="黑体" w:hAnsi="黑体" w:eastAsia="黑体" w:cs="黑体"/>
          <w:sz w:val="32"/>
          <w:szCs w:val="22"/>
          <w:lang w:val="en-US" w:eastAsia="en-US" w:bidi="ar-SA"/>
        </w:rPr>
        <w:t>交通运输保障</w:t>
      </w:r>
    </w:p>
    <w:p w14:paraId="4D216A3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6.4  </w:t>
      </w:r>
      <w:r>
        <w:rPr>
          <w:rFonts w:hint="eastAsia" w:ascii="黑体" w:hAnsi="黑体" w:eastAsia="黑体" w:cs="黑体"/>
          <w:sz w:val="32"/>
          <w:szCs w:val="22"/>
          <w:lang w:val="en-US" w:eastAsia="en-US" w:bidi="ar-SA"/>
        </w:rPr>
        <w:t>资金保障</w:t>
      </w:r>
    </w:p>
    <w:p w14:paraId="460C78C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6.5  </w:t>
      </w:r>
      <w:r>
        <w:rPr>
          <w:rFonts w:hint="eastAsia" w:ascii="黑体" w:hAnsi="黑体" w:eastAsia="黑体" w:cs="黑体"/>
          <w:sz w:val="32"/>
          <w:szCs w:val="22"/>
          <w:lang w:val="en-US" w:eastAsia="en-US" w:bidi="ar-SA"/>
        </w:rPr>
        <w:t>信息保障</w:t>
      </w:r>
    </w:p>
    <w:p w14:paraId="7289C2A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6.6  </w:t>
      </w:r>
      <w:r>
        <w:rPr>
          <w:rFonts w:hint="eastAsia" w:ascii="黑体" w:hAnsi="黑体" w:eastAsia="黑体" w:cs="黑体"/>
          <w:sz w:val="32"/>
          <w:szCs w:val="22"/>
          <w:lang w:val="en-US" w:eastAsia="en-US" w:bidi="ar-SA"/>
        </w:rPr>
        <w:t>预案演练</w:t>
      </w:r>
    </w:p>
    <w:p w14:paraId="703EA3E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6.7  </w:t>
      </w:r>
      <w:r>
        <w:rPr>
          <w:rFonts w:hint="eastAsia" w:ascii="黑体" w:hAnsi="黑体" w:eastAsia="黑体" w:cs="黑体"/>
          <w:sz w:val="32"/>
          <w:szCs w:val="22"/>
          <w:lang w:val="en-US" w:eastAsia="en-US" w:bidi="ar-SA"/>
        </w:rPr>
        <w:t>宣传教育</w:t>
      </w:r>
    </w:p>
    <w:p w14:paraId="4DCD1CC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7    </w:t>
      </w:r>
      <w:r>
        <w:rPr>
          <w:rFonts w:hint="eastAsia" w:ascii="黑体" w:hAnsi="黑体" w:eastAsia="黑体" w:cs="黑体"/>
          <w:sz w:val="32"/>
          <w:szCs w:val="22"/>
          <w:lang w:val="en-US" w:eastAsia="en-US" w:bidi="ar-SA"/>
        </w:rPr>
        <w:t>附则</w:t>
      </w:r>
    </w:p>
    <w:p w14:paraId="24F2EDE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7.1  </w:t>
      </w:r>
      <w:r>
        <w:rPr>
          <w:rFonts w:hint="eastAsia" w:ascii="黑体" w:hAnsi="黑体" w:eastAsia="黑体" w:cs="黑体"/>
          <w:sz w:val="32"/>
          <w:szCs w:val="22"/>
          <w:lang w:val="en-US" w:eastAsia="en-US" w:bidi="ar-SA"/>
        </w:rPr>
        <w:t>预案管理与更新</w:t>
      </w:r>
    </w:p>
    <w:p w14:paraId="389DD68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7.2  </w:t>
      </w:r>
      <w:r>
        <w:rPr>
          <w:rFonts w:hint="eastAsia" w:ascii="黑体" w:hAnsi="黑体" w:eastAsia="黑体" w:cs="黑体"/>
          <w:sz w:val="32"/>
          <w:szCs w:val="22"/>
          <w:lang w:val="en-US" w:eastAsia="en-US" w:bidi="ar-SA"/>
        </w:rPr>
        <w:t>预案解释部门</w:t>
      </w:r>
    </w:p>
    <w:p w14:paraId="3DEEEE6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黑体" w:hAnsi="黑体" w:eastAsia="黑体" w:cs="黑体"/>
          <w:sz w:val="32"/>
          <w:szCs w:val="22"/>
          <w:lang w:val="en-US" w:eastAsia="en-US" w:bidi="ar-SA"/>
        </w:rPr>
      </w:pPr>
      <w:r>
        <w:rPr>
          <w:rFonts w:hint="eastAsia" w:ascii="黑体" w:hAnsi="黑体" w:eastAsia="黑体" w:cs="黑体"/>
          <w:sz w:val="32"/>
          <w:szCs w:val="22"/>
          <w:lang w:val="en-US" w:eastAsia="zh-CN" w:bidi="ar-SA"/>
        </w:rPr>
        <w:t xml:space="preserve">7.3  </w:t>
      </w:r>
      <w:r>
        <w:rPr>
          <w:rFonts w:hint="eastAsia" w:ascii="黑体" w:hAnsi="黑体" w:eastAsia="黑体" w:cs="黑体"/>
          <w:sz w:val="32"/>
          <w:szCs w:val="22"/>
          <w:lang w:val="en-US" w:eastAsia="en-US" w:bidi="ar-SA"/>
        </w:rPr>
        <w:t>预案实施时间</w:t>
      </w:r>
    </w:p>
    <w:p w14:paraId="60714835">
      <w:pPr>
        <w:pStyle w:val="7"/>
        <w:numPr>
          <w:ilvl w:val="1"/>
          <w:numId w:val="1"/>
        </w:numPr>
        <w:tabs>
          <w:tab w:val="left" w:pos="1491"/>
          <w:tab w:val="left" w:pos="1492"/>
        </w:tabs>
        <w:spacing w:before="168" w:after="0" w:line="240" w:lineRule="auto"/>
        <w:ind w:left="1492" w:right="0" w:hanging="721"/>
        <w:jc w:val="left"/>
        <w:rPr>
          <w:sz w:val="32"/>
        </w:rPr>
        <w:sectPr>
          <w:footerReference r:id="rId5" w:type="default"/>
          <w:footerReference r:id="rId6" w:type="even"/>
          <w:pgSz w:w="11910" w:h="16840"/>
          <w:pgMar w:top="1580" w:right="820" w:bottom="1420" w:left="1400" w:header="0" w:footer="1236" w:gutter="0"/>
          <w:cols w:space="720" w:num="1"/>
        </w:sectPr>
      </w:pPr>
    </w:p>
    <w:p w14:paraId="73A10837">
      <w:pPr>
        <w:pStyle w:val="3"/>
        <w:rPr>
          <w:sz w:val="20"/>
        </w:rPr>
      </w:pPr>
    </w:p>
    <w:p w14:paraId="67DD48CC">
      <w:pPr>
        <w:pStyle w:val="3"/>
        <w:spacing w:before="5"/>
        <w:rPr>
          <w:sz w:val="25"/>
        </w:rPr>
      </w:pPr>
    </w:p>
    <w:p w14:paraId="46FED54C">
      <w:pPr>
        <w:pStyle w:val="7"/>
        <w:numPr>
          <w:ilvl w:val="0"/>
          <w:numId w:val="2"/>
        </w:numPr>
        <w:tabs>
          <w:tab w:val="left" w:pos="1252"/>
        </w:tabs>
        <w:spacing w:before="54" w:after="0" w:line="240" w:lineRule="auto"/>
        <w:ind w:left="1252" w:right="0" w:hanging="481"/>
        <w:jc w:val="both"/>
        <w:rPr>
          <w:rFonts w:hint="eastAsia" w:ascii="黑体" w:hAnsi="黑体" w:eastAsia="黑体" w:cs="黑体"/>
          <w:sz w:val="32"/>
        </w:rPr>
      </w:pPr>
      <w:r>
        <w:rPr>
          <w:rFonts w:hint="eastAsia" w:ascii="黑体" w:hAnsi="黑体" w:eastAsia="黑体" w:cs="黑体"/>
          <w:sz w:val="32"/>
        </w:rPr>
        <w:t>总则</w:t>
      </w:r>
    </w:p>
    <w:p w14:paraId="24ACF169">
      <w:pPr>
        <w:pStyle w:val="7"/>
        <w:keepNext w:val="0"/>
        <w:keepLines w:val="0"/>
        <w:pageBreakBefore w:val="0"/>
        <w:widowControl w:val="0"/>
        <w:numPr>
          <w:ilvl w:val="1"/>
          <w:numId w:val="2"/>
        </w:numPr>
        <w:tabs>
          <w:tab w:val="left" w:pos="1332"/>
        </w:tabs>
        <w:kinsoku/>
        <w:wordWrap/>
        <w:overflowPunct/>
        <w:topLinePunct w:val="0"/>
        <w:autoSpaceDE w:val="0"/>
        <w:autoSpaceDN w:val="0"/>
        <w:bidi w:val="0"/>
        <w:adjustRightInd/>
        <w:snapToGrid/>
        <w:spacing w:before="0" w:after="0" w:line="560" w:lineRule="exact"/>
        <w:ind w:left="1331" w:right="0" w:hanging="561"/>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编制目的</w:t>
      </w:r>
    </w:p>
    <w:p w14:paraId="78B926E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right="708"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6"/>
          <w:w w:val="95"/>
        </w:rPr>
        <w:t>为建立健全</w:t>
      </w:r>
      <w:r>
        <w:rPr>
          <w:rFonts w:hint="eastAsia" w:ascii="仿宋_GB2312" w:hAnsi="仿宋_GB2312" w:eastAsia="仿宋_GB2312" w:cs="仿宋_GB2312"/>
          <w:color w:val="auto"/>
          <w:spacing w:val="-6"/>
          <w:w w:val="95"/>
          <w:lang w:eastAsia="zh-CN"/>
        </w:rPr>
        <w:t>钦北区</w:t>
      </w:r>
      <w:r>
        <w:rPr>
          <w:rFonts w:hint="eastAsia" w:ascii="仿宋_GB2312" w:hAnsi="仿宋_GB2312" w:eastAsia="仿宋_GB2312" w:cs="仿宋_GB2312"/>
          <w:color w:val="auto"/>
          <w:spacing w:val="-6"/>
          <w:w w:val="95"/>
        </w:rPr>
        <w:t>疫苗安全事件应急处置机制，有效预防、积</w:t>
      </w:r>
      <w:r>
        <w:rPr>
          <w:rFonts w:hint="eastAsia" w:ascii="仿宋_GB2312" w:hAnsi="仿宋_GB2312" w:eastAsia="仿宋_GB2312" w:cs="仿宋_GB2312"/>
          <w:color w:val="auto"/>
          <w:spacing w:val="-14"/>
          <w:w w:val="95"/>
        </w:rPr>
        <w:t>极应对疫苗安全事件，高效组织应急处置工作，最大限度降低疫</w:t>
      </w:r>
      <w:r>
        <w:rPr>
          <w:rFonts w:hint="eastAsia" w:ascii="仿宋_GB2312" w:hAnsi="仿宋_GB2312" w:eastAsia="仿宋_GB2312" w:cs="仿宋_GB2312"/>
          <w:color w:val="auto"/>
          <w:spacing w:val="-16"/>
        </w:rPr>
        <w:t>苗安全事件危害，保障公众健康和生命安全，维护正常的经济社会秩序，结合实际，制定本预案。</w:t>
      </w:r>
    </w:p>
    <w:p w14:paraId="7D41F0DF">
      <w:pPr>
        <w:pStyle w:val="7"/>
        <w:keepNext w:val="0"/>
        <w:keepLines w:val="0"/>
        <w:pageBreakBefore w:val="0"/>
        <w:widowControl w:val="0"/>
        <w:numPr>
          <w:ilvl w:val="1"/>
          <w:numId w:val="2"/>
        </w:numPr>
        <w:tabs>
          <w:tab w:val="left" w:pos="1332"/>
        </w:tabs>
        <w:kinsoku/>
        <w:wordWrap/>
        <w:overflowPunct/>
        <w:topLinePunct w:val="0"/>
        <w:autoSpaceDE w:val="0"/>
        <w:autoSpaceDN w:val="0"/>
        <w:bidi w:val="0"/>
        <w:adjustRightInd/>
        <w:snapToGrid/>
        <w:spacing w:before="0" w:after="0" w:line="560" w:lineRule="exact"/>
        <w:ind w:left="1331" w:right="0" w:hanging="561"/>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编制依据</w:t>
      </w:r>
    </w:p>
    <w:p w14:paraId="36482205">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right="708" w:firstLine="640"/>
        <w:jc w:val="both"/>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7"/>
        </w:rPr>
        <w:t>依据《中华人民共和国突发事件应对法》</w:t>
      </w:r>
      <w:r>
        <w:rPr>
          <w:rFonts w:hint="eastAsia" w:ascii="仿宋_GB2312" w:hAnsi="仿宋_GB2312" w:eastAsia="仿宋_GB2312" w:cs="仿宋_GB2312"/>
          <w:color w:val="auto"/>
          <w:spacing w:val="-26"/>
        </w:rPr>
        <w:t>、《中华人民共和国</w:t>
      </w:r>
      <w:r>
        <w:rPr>
          <w:rFonts w:hint="eastAsia" w:ascii="仿宋_GB2312" w:hAnsi="仿宋_GB2312" w:eastAsia="仿宋_GB2312" w:cs="仿宋_GB2312"/>
          <w:color w:val="auto"/>
          <w:spacing w:val="-37"/>
          <w:w w:val="95"/>
        </w:rPr>
        <w:t>药品管理法》、《中华人民共和国疫苗管理法》</w:t>
      </w:r>
      <w:r>
        <w:rPr>
          <w:rFonts w:hint="eastAsia" w:ascii="仿宋_GB2312" w:hAnsi="仿宋_GB2312" w:eastAsia="仿宋_GB2312" w:cs="仿宋_GB2312"/>
          <w:color w:val="auto"/>
          <w:spacing w:val="-26"/>
          <w:w w:val="95"/>
          <w:lang w:eastAsia="zh-CN"/>
        </w:rPr>
        <w:t>、</w:t>
      </w:r>
      <w:r>
        <w:rPr>
          <w:rFonts w:hint="eastAsia" w:ascii="仿宋_GB2312" w:hAnsi="仿宋_GB2312" w:eastAsia="仿宋_GB2312" w:cs="仿宋_GB2312"/>
          <w:color w:val="auto"/>
          <w:spacing w:val="-26"/>
          <w:w w:val="95"/>
        </w:rPr>
        <w:t>《疫苗流通和预防</w:t>
      </w:r>
      <w:r>
        <w:rPr>
          <w:rFonts w:hint="eastAsia" w:ascii="仿宋_GB2312" w:hAnsi="仿宋_GB2312" w:eastAsia="仿宋_GB2312" w:cs="仿宋_GB2312"/>
          <w:color w:val="auto"/>
          <w:spacing w:val="-30"/>
        </w:rPr>
        <w:t>接种管理条例》、《关于改革和完善疫苗管理体制的意见》</w:t>
      </w:r>
      <w:r>
        <w:rPr>
          <w:rFonts w:hint="eastAsia" w:ascii="仿宋_GB2312" w:hAnsi="仿宋_GB2312" w:eastAsia="仿宋_GB2312" w:cs="仿宋_GB2312"/>
          <w:color w:val="auto"/>
        </w:rPr>
        <w:t>（中办</w:t>
      </w:r>
      <w:r>
        <w:rPr>
          <w:rFonts w:hint="eastAsia" w:ascii="仿宋_GB2312" w:hAnsi="仿宋_GB2312" w:eastAsia="仿宋_GB2312" w:cs="仿宋_GB2312"/>
          <w:color w:val="auto"/>
          <w:spacing w:val="5"/>
        </w:rPr>
        <w:t>发〔</w:t>
      </w:r>
      <w:r>
        <w:rPr>
          <w:rFonts w:hint="eastAsia" w:ascii="仿宋_GB2312" w:hAnsi="仿宋_GB2312" w:eastAsia="仿宋_GB2312" w:cs="仿宋_GB2312"/>
          <w:color w:val="auto"/>
        </w:rPr>
        <w:t>2018</w:t>
      </w:r>
      <w:r>
        <w:rPr>
          <w:rFonts w:hint="eastAsia" w:ascii="仿宋_GB2312" w:hAnsi="仿宋_GB2312" w:eastAsia="仿宋_GB2312" w:cs="仿宋_GB2312"/>
          <w:color w:val="auto"/>
          <w:spacing w:val="5"/>
        </w:rPr>
        <w:t>〕</w:t>
      </w:r>
      <w:r>
        <w:rPr>
          <w:rFonts w:hint="eastAsia" w:ascii="仿宋_GB2312" w:hAnsi="仿宋_GB2312" w:eastAsia="仿宋_GB2312" w:cs="仿宋_GB2312"/>
          <w:color w:val="auto"/>
        </w:rPr>
        <w:t>70</w:t>
      </w:r>
      <w:r>
        <w:rPr>
          <w:rFonts w:hint="eastAsia" w:ascii="仿宋_GB2312" w:hAnsi="仿宋_GB2312" w:eastAsia="仿宋_GB2312" w:cs="仿宋_GB2312"/>
          <w:color w:val="auto"/>
          <w:spacing w:val="-45"/>
        </w:rPr>
        <w:t xml:space="preserve"> 号</w:t>
      </w:r>
      <w:r>
        <w:rPr>
          <w:rFonts w:hint="eastAsia" w:ascii="仿宋_GB2312" w:hAnsi="仿宋_GB2312" w:eastAsia="仿宋_GB2312" w:cs="仿宋_GB2312"/>
          <w:color w:val="auto"/>
          <w:spacing w:val="-154"/>
        </w:rPr>
        <w:t>）</w:t>
      </w:r>
      <w:r>
        <w:rPr>
          <w:rFonts w:hint="eastAsia" w:ascii="仿宋_GB2312" w:hAnsi="仿宋_GB2312" w:eastAsia="仿宋_GB2312" w:cs="仿宋_GB2312"/>
          <w:color w:val="auto"/>
          <w:spacing w:val="-9"/>
        </w:rPr>
        <w:t>、《疫苗质量安全事件应急预案</w:t>
      </w:r>
      <w:r>
        <w:rPr>
          <w:rFonts w:hint="eastAsia" w:ascii="仿宋_GB2312" w:hAnsi="仿宋_GB2312" w:eastAsia="仿宋_GB2312" w:cs="仿宋_GB2312"/>
          <w:color w:val="auto"/>
          <w:spacing w:val="5"/>
        </w:rPr>
        <w:t>（</w:t>
      </w:r>
      <w:r>
        <w:rPr>
          <w:rFonts w:hint="eastAsia" w:ascii="仿宋_GB2312" w:hAnsi="仿宋_GB2312" w:eastAsia="仿宋_GB2312" w:cs="仿宋_GB2312"/>
          <w:color w:val="auto"/>
          <w:spacing w:val="6"/>
        </w:rPr>
        <w:t>试行</w:t>
      </w:r>
      <w:r>
        <w:rPr>
          <w:rFonts w:hint="eastAsia" w:ascii="仿宋_GB2312" w:hAnsi="仿宋_GB2312" w:eastAsia="仿宋_GB2312" w:cs="仿宋_GB2312"/>
          <w:color w:val="auto"/>
          <w:spacing w:val="-156"/>
        </w:rPr>
        <w:t>）</w:t>
      </w:r>
      <w:r>
        <w:rPr>
          <w:rFonts w:hint="eastAsia" w:ascii="仿宋_GB2312" w:hAnsi="仿宋_GB2312" w:eastAsia="仿宋_GB2312" w:cs="仿宋_GB2312"/>
          <w:color w:val="auto"/>
          <w:spacing w:val="-154"/>
        </w:rPr>
        <w:t>》</w:t>
      </w:r>
      <w:r>
        <w:rPr>
          <w:rFonts w:hint="eastAsia" w:ascii="仿宋_GB2312" w:hAnsi="仿宋_GB2312" w:eastAsia="仿宋_GB2312" w:cs="仿宋_GB2312"/>
          <w:color w:val="auto"/>
          <w:spacing w:val="5"/>
        </w:rPr>
        <w:t>（</w:t>
      </w:r>
      <w:r>
        <w:rPr>
          <w:rFonts w:hint="eastAsia" w:ascii="仿宋_GB2312" w:hAnsi="仿宋_GB2312" w:eastAsia="仿宋_GB2312" w:cs="仿宋_GB2312"/>
          <w:color w:val="auto"/>
        </w:rPr>
        <w:t>国</w:t>
      </w:r>
      <w:r>
        <w:rPr>
          <w:rFonts w:hint="eastAsia" w:ascii="仿宋_GB2312" w:hAnsi="仿宋_GB2312" w:eastAsia="仿宋_GB2312" w:cs="仿宋_GB2312"/>
          <w:color w:val="auto"/>
          <w:spacing w:val="5"/>
        </w:rPr>
        <w:t>药监药管〔</w:t>
      </w:r>
      <w:r>
        <w:rPr>
          <w:rFonts w:hint="eastAsia" w:ascii="仿宋_GB2312" w:hAnsi="仿宋_GB2312" w:eastAsia="仿宋_GB2312" w:cs="仿宋_GB2312"/>
          <w:color w:val="auto"/>
        </w:rPr>
        <w:t>2019</w:t>
      </w:r>
      <w:r>
        <w:rPr>
          <w:rFonts w:hint="eastAsia" w:ascii="仿宋_GB2312" w:hAnsi="仿宋_GB2312" w:eastAsia="仿宋_GB2312" w:cs="仿宋_GB2312"/>
          <w:color w:val="auto"/>
          <w:spacing w:val="5"/>
        </w:rPr>
        <w:t>〕</w:t>
      </w:r>
      <w:r>
        <w:rPr>
          <w:rFonts w:hint="eastAsia" w:ascii="仿宋_GB2312" w:hAnsi="仿宋_GB2312" w:eastAsia="仿宋_GB2312" w:cs="仿宋_GB2312"/>
          <w:color w:val="auto"/>
        </w:rPr>
        <w:t>40</w:t>
      </w:r>
      <w:r>
        <w:rPr>
          <w:rFonts w:hint="eastAsia" w:ascii="仿宋_GB2312" w:hAnsi="仿宋_GB2312" w:eastAsia="仿宋_GB2312" w:cs="仿宋_GB2312"/>
          <w:color w:val="auto"/>
          <w:spacing w:val="-45"/>
        </w:rPr>
        <w:t xml:space="preserve"> 号</w:t>
      </w:r>
      <w:r>
        <w:rPr>
          <w:rFonts w:hint="eastAsia" w:ascii="仿宋_GB2312" w:hAnsi="仿宋_GB2312" w:eastAsia="仿宋_GB2312" w:cs="仿宋_GB2312"/>
          <w:color w:val="auto"/>
          <w:spacing w:val="-154"/>
        </w:rPr>
        <w:t>）</w:t>
      </w:r>
      <w:r>
        <w:rPr>
          <w:rFonts w:hint="eastAsia" w:ascii="仿宋_GB2312" w:hAnsi="仿宋_GB2312" w:eastAsia="仿宋_GB2312" w:cs="仿宋_GB2312"/>
          <w:color w:val="auto"/>
          <w:spacing w:val="-8"/>
        </w:rPr>
        <w:t>、《药品和医疗器械安全突发事件应急</w:t>
      </w:r>
      <w:r>
        <w:rPr>
          <w:rFonts w:hint="eastAsia" w:ascii="仿宋_GB2312" w:hAnsi="仿宋_GB2312" w:eastAsia="仿宋_GB2312" w:cs="仿宋_GB2312"/>
          <w:color w:val="auto"/>
          <w:spacing w:val="-6"/>
        </w:rPr>
        <w:t>预案</w:t>
      </w:r>
      <w:r>
        <w:rPr>
          <w:rFonts w:hint="eastAsia" w:ascii="仿宋_GB2312" w:hAnsi="仿宋_GB2312" w:eastAsia="仿宋_GB2312" w:cs="仿宋_GB2312"/>
          <w:color w:val="auto"/>
        </w:rPr>
        <w:t>（试行</w:t>
      </w:r>
      <w:r>
        <w:rPr>
          <w:rFonts w:hint="eastAsia" w:ascii="仿宋_GB2312" w:hAnsi="仿宋_GB2312" w:eastAsia="仿宋_GB2312" w:cs="仿宋_GB2312"/>
          <w:color w:val="auto"/>
          <w:spacing w:val="-159"/>
        </w:rPr>
        <w:t>）</w:t>
      </w:r>
      <w:r>
        <w:rPr>
          <w:rFonts w:hint="eastAsia" w:ascii="仿宋_GB2312" w:hAnsi="仿宋_GB2312" w:eastAsia="仿宋_GB2312" w:cs="仿宋_GB2312"/>
          <w:color w:val="auto"/>
          <w:spacing w:val="-163"/>
        </w:rPr>
        <w:t>》</w:t>
      </w:r>
      <w:r>
        <w:rPr>
          <w:rFonts w:hint="eastAsia" w:ascii="仿宋_GB2312" w:hAnsi="仿宋_GB2312" w:eastAsia="仿宋_GB2312" w:cs="仿宋_GB2312"/>
          <w:color w:val="auto"/>
        </w:rPr>
        <w:t>（</w:t>
      </w:r>
      <w:r>
        <w:rPr>
          <w:rFonts w:hint="eastAsia" w:ascii="仿宋_GB2312" w:hAnsi="仿宋_GB2312" w:eastAsia="仿宋_GB2312" w:cs="仿宋_GB2312"/>
          <w:color w:val="auto"/>
          <w:spacing w:val="-1"/>
        </w:rPr>
        <w:t>国食药监办〔</w:t>
      </w:r>
      <w:r>
        <w:rPr>
          <w:rFonts w:hint="eastAsia" w:ascii="仿宋_GB2312" w:hAnsi="仿宋_GB2312" w:eastAsia="仿宋_GB2312" w:cs="仿宋_GB2312"/>
          <w:color w:val="auto"/>
          <w:spacing w:val="-3"/>
        </w:rPr>
        <w:t>2011</w:t>
      </w:r>
      <w:r>
        <w:rPr>
          <w:rFonts w:hint="eastAsia" w:ascii="仿宋_GB2312" w:hAnsi="仿宋_GB2312" w:eastAsia="仿宋_GB2312" w:cs="仿宋_GB2312"/>
          <w:color w:val="auto"/>
          <w:spacing w:val="-5"/>
        </w:rPr>
        <w:t>〕</w:t>
      </w:r>
      <w:r>
        <w:rPr>
          <w:rFonts w:hint="eastAsia" w:ascii="仿宋_GB2312" w:hAnsi="仿宋_GB2312" w:eastAsia="仿宋_GB2312" w:cs="仿宋_GB2312"/>
          <w:color w:val="auto"/>
        </w:rPr>
        <w:t>370</w:t>
      </w:r>
      <w:r>
        <w:rPr>
          <w:rFonts w:hint="eastAsia" w:ascii="仿宋_GB2312" w:hAnsi="仿宋_GB2312" w:eastAsia="仿宋_GB2312" w:cs="仿宋_GB2312"/>
          <w:color w:val="auto"/>
          <w:spacing w:val="-49"/>
        </w:rPr>
        <w:t xml:space="preserve"> 号</w:t>
      </w:r>
      <w:r>
        <w:rPr>
          <w:rFonts w:hint="eastAsia" w:ascii="仿宋_GB2312" w:hAnsi="仿宋_GB2312" w:eastAsia="仿宋_GB2312" w:cs="仿宋_GB2312"/>
          <w:color w:val="auto"/>
          <w:spacing w:val="-159"/>
        </w:rPr>
        <w:t>）</w:t>
      </w:r>
      <w:r>
        <w:rPr>
          <w:rFonts w:hint="eastAsia" w:ascii="仿宋_GB2312" w:hAnsi="仿宋_GB2312" w:eastAsia="仿宋_GB2312" w:cs="仿宋_GB2312"/>
          <w:color w:val="auto"/>
          <w:spacing w:val="-20"/>
        </w:rPr>
        <w:t>、《全国疑似预防接</w:t>
      </w:r>
      <w:r>
        <w:rPr>
          <w:rFonts w:hint="eastAsia" w:ascii="仿宋_GB2312" w:hAnsi="仿宋_GB2312" w:eastAsia="仿宋_GB2312" w:cs="仿宋_GB2312"/>
          <w:color w:val="auto"/>
          <w:spacing w:val="-35"/>
        </w:rPr>
        <w:t>种异常反应监测方案》</w:t>
      </w:r>
      <w:r>
        <w:rPr>
          <w:rFonts w:hint="eastAsia" w:ascii="仿宋_GB2312" w:hAnsi="仿宋_GB2312" w:eastAsia="仿宋_GB2312" w:cs="仿宋_GB2312"/>
          <w:color w:val="auto"/>
        </w:rPr>
        <w:t>（</w:t>
      </w:r>
      <w:r>
        <w:rPr>
          <w:rFonts w:hint="eastAsia" w:ascii="仿宋_GB2312" w:hAnsi="仿宋_GB2312" w:eastAsia="仿宋_GB2312" w:cs="仿宋_GB2312"/>
          <w:color w:val="auto"/>
          <w:spacing w:val="-2"/>
        </w:rPr>
        <w:t>卫办疾控发〔</w:t>
      </w:r>
      <w:r>
        <w:rPr>
          <w:rFonts w:hint="eastAsia" w:ascii="仿宋_GB2312" w:hAnsi="仿宋_GB2312" w:eastAsia="仿宋_GB2312" w:cs="仿宋_GB2312"/>
          <w:color w:val="auto"/>
        </w:rPr>
        <w:t>2010</w:t>
      </w:r>
      <w:r>
        <w:rPr>
          <w:rFonts w:hint="eastAsia" w:ascii="仿宋_GB2312" w:hAnsi="仿宋_GB2312" w:eastAsia="仿宋_GB2312" w:cs="仿宋_GB2312"/>
          <w:color w:val="auto"/>
          <w:spacing w:val="-7"/>
        </w:rPr>
        <w:t>〕</w:t>
      </w:r>
      <w:r>
        <w:rPr>
          <w:rFonts w:hint="eastAsia" w:ascii="仿宋_GB2312" w:hAnsi="仿宋_GB2312" w:eastAsia="仿宋_GB2312" w:cs="仿宋_GB2312"/>
          <w:color w:val="auto"/>
        </w:rPr>
        <w:t>94</w:t>
      </w:r>
      <w:r>
        <w:rPr>
          <w:rFonts w:hint="eastAsia" w:ascii="仿宋_GB2312" w:hAnsi="仿宋_GB2312" w:eastAsia="仿宋_GB2312" w:cs="仿宋_GB2312"/>
          <w:color w:val="auto"/>
          <w:spacing w:val="-47"/>
        </w:rPr>
        <w:t xml:space="preserve"> 号</w:t>
      </w:r>
      <w:r>
        <w:rPr>
          <w:rFonts w:hint="eastAsia" w:ascii="仿宋_GB2312" w:hAnsi="仿宋_GB2312" w:eastAsia="仿宋_GB2312" w:cs="仿宋_GB2312"/>
          <w:color w:val="auto"/>
          <w:spacing w:val="-161"/>
        </w:rPr>
        <w:t>）</w:t>
      </w:r>
      <w:r>
        <w:rPr>
          <w:rFonts w:hint="eastAsia" w:ascii="仿宋_GB2312" w:hAnsi="仿宋_GB2312" w:eastAsia="仿宋_GB2312" w:cs="仿宋_GB2312"/>
          <w:color w:val="auto"/>
          <w:spacing w:val="-29"/>
        </w:rPr>
        <w:t>、《广西壮族自治区疫苗安全事件应急预案（试行</w:t>
      </w:r>
      <w:r>
        <w:rPr>
          <w:rFonts w:hint="eastAsia" w:ascii="仿宋_GB2312" w:hAnsi="仿宋_GB2312" w:eastAsia="仿宋_GB2312" w:cs="仿宋_GB2312"/>
          <w:color w:val="auto"/>
          <w:spacing w:val="-159"/>
        </w:rPr>
        <w:t>）</w:t>
      </w:r>
      <w:r>
        <w:rPr>
          <w:rFonts w:hint="eastAsia" w:ascii="仿宋_GB2312" w:hAnsi="仿宋_GB2312" w:eastAsia="仿宋_GB2312" w:cs="仿宋_GB2312"/>
          <w:color w:val="auto"/>
          <w:spacing w:val="-30"/>
        </w:rPr>
        <w:t>》、《钦州市突发事件总体应急预案》</w:t>
      </w:r>
      <w:r>
        <w:rPr>
          <w:rFonts w:hint="eastAsia" w:ascii="仿宋_GB2312" w:hAnsi="仿宋_GB2312" w:eastAsia="仿宋_GB2312" w:cs="仿宋_GB2312"/>
          <w:color w:val="auto"/>
          <w:spacing w:val="-30"/>
          <w:lang w:eastAsia="zh-CN"/>
        </w:rPr>
        <w:t>、</w:t>
      </w:r>
      <w:r>
        <w:rPr>
          <w:rFonts w:hint="eastAsia" w:ascii="仿宋_GB2312" w:hAnsi="仿宋_GB2312" w:eastAsia="仿宋_GB2312" w:cs="仿宋_GB2312"/>
          <w:color w:val="auto"/>
          <w:spacing w:val="-29"/>
        </w:rPr>
        <w:t>《</w:t>
      </w:r>
      <w:r>
        <w:rPr>
          <w:rFonts w:hint="eastAsia" w:ascii="仿宋_GB2312" w:hAnsi="仿宋_GB2312" w:eastAsia="仿宋_GB2312" w:cs="仿宋_GB2312"/>
          <w:color w:val="auto"/>
          <w:spacing w:val="-29"/>
          <w:lang w:eastAsia="zh-CN"/>
        </w:rPr>
        <w:t>钦州市</w:t>
      </w:r>
      <w:r>
        <w:rPr>
          <w:rFonts w:hint="eastAsia" w:ascii="仿宋_GB2312" w:hAnsi="仿宋_GB2312" w:eastAsia="仿宋_GB2312" w:cs="仿宋_GB2312"/>
          <w:color w:val="auto"/>
          <w:spacing w:val="-29"/>
        </w:rPr>
        <w:t>疫苗安全事件应急预案（试行</w:t>
      </w:r>
      <w:r>
        <w:rPr>
          <w:rFonts w:hint="eastAsia" w:ascii="仿宋_GB2312" w:hAnsi="仿宋_GB2312" w:eastAsia="仿宋_GB2312" w:cs="仿宋_GB2312"/>
          <w:color w:val="auto"/>
          <w:spacing w:val="-159"/>
        </w:rPr>
        <w:t>）</w:t>
      </w:r>
      <w:r>
        <w:rPr>
          <w:rFonts w:hint="eastAsia" w:ascii="仿宋_GB2312" w:hAnsi="仿宋_GB2312" w:eastAsia="仿宋_GB2312" w:cs="仿宋_GB2312"/>
          <w:color w:val="auto"/>
          <w:spacing w:val="-30"/>
        </w:rPr>
        <w:t>》等法律法规及有关规定，制定本预案。</w:t>
      </w:r>
    </w:p>
    <w:p w14:paraId="4F1091BD">
      <w:pPr>
        <w:pStyle w:val="7"/>
        <w:keepNext w:val="0"/>
        <w:keepLines w:val="0"/>
        <w:pageBreakBefore w:val="0"/>
        <w:widowControl w:val="0"/>
        <w:numPr>
          <w:ilvl w:val="1"/>
          <w:numId w:val="2"/>
        </w:numPr>
        <w:tabs>
          <w:tab w:val="left" w:pos="1332"/>
        </w:tabs>
        <w:kinsoku/>
        <w:wordWrap/>
        <w:overflowPunct/>
        <w:topLinePunct w:val="0"/>
        <w:autoSpaceDE w:val="0"/>
        <w:autoSpaceDN w:val="0"/>
        <w:bidi w:val="0"/>
        <w:adjustRightInd/>
        <w:snapToGrid/>
        <w:spacing w:before="0" w:after="0" w:line="560" w:lineRule="exact"/>
        <w:ind w:left="1331" w:right="0" w:hanging="561"/>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分级标准</w:t>
      </w:r>
    </w:p>
    <w:p w14:paraId="3369F71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0" w:right="709" w:firstLine="641"/>
        <w:jc w:val="both"/>
        <w:textAlignment w:val="auto"/>
        <w:rPr>
          <w:rFonts w:hint="eastAsia" w:ascii="仿宋_GB2312" w:hAnsi="仿宋_GB2312" w:eastAsia="仿宋_GB2312" w:cs="仿宋_GB2312"/>
          <w:color w:val="auto"/>
          <w:spacing w:val="-17"/>
        </w:rPr>
      </w:pPr>
      <w:r>
        <w:rPr>
          <w:rFonts w:hint="eastAsia" w:ascii="仿宋_GB2312" w:hAnsi="仿宋_GB2312" w:eastAsia="仿宋_GB2312" w:cs="仿宋_GB2312"/>
          <w:color w:val="auto"/>
          <w:spacing w:val="-9"/>
        </w:rPr>
        <w:t>本预案所称的疫苗安全事件，是指发生疫苗疑似预防接种反</w:t>
      </w:r>
      <w:r>
        <w:rPr>
          <w:rFonts w:hint="eastAsia" w:ascii="仿宋_GB2312" w:hAnsi="仿宋_GB2312" w:eastAsia="仿宋_GB2312" w:cs="仿宋_GB2312"/>
          <w:color w:val="auto"/>
          <w:spacing w:val="-12"/>
          <w:w w:val="95"/>
        </w:rPr>
        <w:t>应、群体不良事件，经组织调查后怀疑与疫苗质量有关，或者日</w:t>
      </w:r>
      <w:r>
        <w:rPr>
          <w:rFonts w:hint="eastAsia" w:ascii="仿宋_GB2312" w:hAnsi="仿宋_GB2312" w:eastAsia="仿宋_GB2312" w:cs="仿宋_GB2312"/>
          <w:color w:val="auto"/>
          <w:spacing w:val="-17"/>
        </w:rPr>
        <w:t>常监督检查和风险监测中发现的疫苗安全信息，以及其他严重影响公众健康的疫苗安全事件。</w:t>
      </w:r>
    </w:p>
    <w:p w14:paraId="72CCC5AD">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仿宋_GB2312" w:hAnsi="仿宋_GB2312" w:eastAsia="仿宋_GB2312" w:cs="仿宋_GB2312"/>
          <w:color w:val="auto"/>
          <w:spacing w:val="-12"/>
          <w:w w:val="95"/>
          <w:sz w:val="32"/>
          <w:szCs w:val="32"/>
          <w:lang w:val="en-US" w:eastAsia="en-US" w:bidi="ar-SA"/>
        </w:rPr>
      </w:pPr>
      <w:r>
        <w:rPr>
          <w:rFonts w:hint="eastAsia" w:ascii="仿宋_GB2312" w:hAnsi="仿宋_GB2312" w:eastAsia="仿宋_GB2312" w:cs="仿宋_GB2312"/>
          <w:color w:val="auto"/>
          <w:spacing w:val="-12"/>
          <w:w w:val="95"/>
          <w:sz w:val="32"/>
          <w:szCs w:val="32"/>
          <w:lang w:val="en-US" w:eastAsia="en-US" w:bidi="ar-SA"/>
        </w:rPr>
        <w:t>疫苗安全事件分为特别重大、重大、较大和一般4个级别， 依次对应Ⅰ、Ⅱ、Ⅲ、Ⅳ级响应（具体标准见附件 1）。</w:t>
      </w:r>
    </w:p>
    <w:p w14:paraId="6C017AEB">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textAlignment w:val="auto"/>
        <w:rPr>
          <w:rFonts w:hint="eastAsia" w:ascii="楷体_GB2312" w:hAnsi="楷体_GB2312" w:eastAsia="楷体_GB2312" w:cs="楷体_GB2312"/>
          <w:color w:val="auto"/>
          <w:spacing w:val="-12"/>
          <w:w w:val="95"/>
          <w:sz w:val="32"/>
          <w:szCs w:val="32"/>
          <w:lang w:val="en-US" w:eastAsia="en-US" w:bidi="ar-SA"/>
        </w:rPr>
      </w:pPr>
      <w:r>
        <w:rPr>
          <w:rFonts w:hint="eastAsia" w:ascii="楷体_GB2312" w:hAnsi="楷体_GB2312" w:eastAsia="楷体_GB2312" w:cs="楷体_GB2312"/>
          <w:color w:val="auto"/>
          <w:spacing w:val="-12"/>
          <w:w w:val="95"/>
          <w:sz w:val="32"/>
          <w:szCs w:val="32"/>
          <w:lang w:val="en-US" w:eastAsia="en-US" w:bidi="ar-SA"/>
        </w:rPr>
        <w:t>1.4</w:t>
      </w:r>
      <w:r>
        <w:rPr>
          <w:rFonts w:hint="eastAsia" w:ascii="楷体_GB2312" w:hAnsi="楷体_GB2312" w:eastAsia="楷体_GB2312" w:cs="楷体_GB2312"/>
          <w:color w:val="auto"/>
          <w:spacing w:val="-12"/>
          <w:w w:val="95"/>
          <w:sz w:val="32"/>
          <w:szCs w:val="32"/>
          <w:lang w:val="en-US" w:eastAsia="zh-CN" w:bidi="ar-SA"/>
        </w:rPr>
        <w:t xml:space="preserve"> </w:t>
      </w:r>
      <w:r>
        <w:rPr>
          <w:rFonts w:hint="eastAsia" w:ascii="楷体_GB2312" w:hAnsi="楷体_GB2312" w:eastAsia="楷体_GB2312" w:cs="楷体_GB2312"/>
          <w:color w:val="auto"/>
          <w:spacing w:val="-12"/>
          <w:w w:val="95"/>
          <w:sz w:val="32"/>
          <w:szCs w:val="32"/>
          <w:lang w:val="en-US" w:eastAsia="en-US" w:bidi="ar-SA"/>
        </w:rPr>
        <w:t>适用范围</w:t>
      </w:r>
    </w:p>
    <w:p w14:paraId="1F39CD9C">
      <w:pPr>
        <w:keepNext w:val="0"/>
        <w:keepLines w:val="0"/>
        <w:pageBreakBefore w:val="0"/>
        <w:widowControl w:val="0"/>
        <w:kinsoku/>
        <w:wordWrap/>
        <w:overflowPunct/>
        <w:topLinePunct w:val="0"/>
        <w:autoSpaceDE w:val="0"/>
        <w:autoSpaceDN w:val="0"/>
        <w:bidi w:val="0"/>
        <w:adjustRightInd/>
        <w:snapToGrid/>
        <w:spacing w:before="0" w:line="560" w:lineRule="exact"/>
        <w:ind w:firstLine="560" w:firstLineChars="200"/>
        <w:textAlignment w:val="auto"/>
        <w:rPr>
          <w:rFonts w:hint="eastAsia" w:ascii="仿宋_GB2312" w:hAnsi="仿宋_GB2312" w:eastAsia="仿宋_GB2312" w:cs="仿宋_GB2312"/>
          <w:color w:val="auto"/>
          <w:spacing w:val="-12"/>
          <w:w w:val="95"/>
          <w:sz w:val="32"/>
          <w:szCs w:val="32"/>
          <w:lang w:val="en-US" w:eastAsia="en-US" w:bidi="ar-SA"/>
        </w:rPr>
      </w:pPr>
      <w:r>
        <w:rPr>
          <w:rFonts w:hint="eastAsia" w:ascii="仿宋_GB2312" w:hAnsi="仿宋_GB2312" w:eastAsia="仿宋_GB2312" w:cs="仿宋_GB2312"/>
          <w:color w:val="auto"/>
          <w:spacing w:val="-12"/>
          <w:w w:val="95"/>
          <w:sz w:val="32"/>
          <w:szCs w:val="32"/>
          <w:lang w:val="en-US" w:eastAsia="en-US" w:bidi="ar-SA"/>
        </w:rPr>
        <w:t>本预案适用于发生在我</w:t>
      </w:r>
      <w:r>
        <w:rPr>
          <w:rFonts w:hint="eastAsia" w:ascii="仿宋_GB2312" w:hAnsi="仿宋_GB2312" w:eastAsia="仿宋_GB2312" w:cs="仿宋_GB2312"/>
          <w:color w:val="auto"/>
          <w:spacing w:val="-12"/>
          <w:w w:val="95"/>
          <w:sz w:val="32"/>
          <w:szCs w:val="32"/>
          <w:lang w:val="en-US" w:eastAsia="zh-CN" w:bidi="ar-SA"/>
        </w:rPr>
        <w:t>区</w:t>
      </w:r>
      <w:r>
        <w:rPr>
          <w:rFonts w:hint="eastAsia" w:ascii="仿宋_GB2312" w:hAnsi="仿宋_GB2312" w:eastAsia="仿宋_GB2312" w:cs="仿宋_GB2312"/>
          <w:color w:val="auto"/>
          <w:spacing w:val="-12"/>
          <w:w w:val="95"/>
          <w:sz w:val="32"/>
          <w:szCs w:val="32"/>
          <w:lang w:val="en-US" w:eastAsia="en-US" w:bidi="ar-SA"/>
        </w:rPr>
        <w:t>需要我</w:t>
      </w:r>
      <w:r>
        <w:rPr>
          <w:rFonts w:hint="eastAsia" w:ascii="仿宋_GB2312" w:hAnsi="仿宋_GB2312" w:eastAsia="仿宋_GB2312" w:cs="仿宋_GB2312"/>
          <w:color w:val="auto"/>
          <w:spacing w:val="-12"/>
          <w:w w:val="95"/>
          <w:sz w:val="32"/>
          <w:szCs w:val="32"/>
          <w:lang w:val="en-US" w:eastAsia="zh-CN" w:bidi="ar-SA"/>
        </w:rPr>
        <w:t>区</w:t>
      </w:r>
      <w:r>
        <w:rPr>
          <w:rFonts w:hint="eastAsia" w:ascii="仿宋_GB2312" w:hAnsi="仿宋_GB2312" w:eastAsia="仿宋_GB2312" w:cs="仿宋_GB2312"/>
          <w:color w:val="auto"/>
          <w:spacing w:val="-12"/>
          <w:w w:val="95"/>
          <w:sz w:val="32"/>
          <w:szCs w:val="32"/>
          <w:lang w:val="en-US" w:eastAsia="en-US" w:bidi="ar-SA"/>
        </w:rPr>
        <w:t>配合处置的疫苗安全事件。指导全</w:t>
      </w:r>
      <w:r>
        <w:rPr>
          <w:rFonts w:hint="eastAsia" w:ascii="仿宋_GB2312" w:hAnsi="仿宋_GB2312" w:eastAsia="仿宋_GB2312" w:cs="仿宋_GB2312"/>
          <w:color w:val="auto"/>
          <w:spacing w:val="-12"/>
          <w:w w:val="95"/>
          <w:sz w:val="32"/>
          <w:szCs w:val="32"/>
          <w:lang w:val="en-US" w:eastAsia="zh-CN" w:bidi="ar-SA"/>
        </w:rPr>
        <w:t>区</w:t>
      </w:r>
      <w:r>
        <w:rPr>
          <w:rFonts w:hint="eastAsia" w:ascii="仿宋_GB2312" w:hAnsi="仿宋_GB2312" w:eastAsia="仿宋_GB2312" w:cs="仿宋_GB2312"/>
          <w:color w:val="auto"/>
          <w:spacing w:val="-12"/>
          <w:w w:val="95"/>
          <w:sz w:val="32"/>
          <w:szCs w:val="32"/>
          <w:lang w:val="en-US" w:eastAsia="en-US" w:bidi="ar-SA"/>
        </w:rPr>
        <w:t>的疫苗安全事件应对工作。</w:t>
      </w:r>
    </w:p>
    <w:p w14:paraId="520FABE4">
      <w:pPr>
        <w:pStyle w:val="7"/>
        <w:keepNext w:val="0"/>
        <w:keepLines w:val="0"/>
        <w:pageBreakBefore w:val="0"/>
        <w:widowControl w:val="0"/>
        <w:numPr>
          <w:ilvl w:val="0"/>
          <w:numId w:val="0"/>
        </w:numPr>
        <w:tabs>
          <w:tab w:val="left" w:pos="1332"/>
        </w:tabs>
        <w:kinsoku/>
        <w:wordWrap/>
        <w:overflowPunct/>
        <w:topLinePunct w:val="0"/>
        <w:autoSpaceDE w:val="0"/>
        <w:autoSpaceDN w:val="0"/>
        <w:bidi w:val="0"/>
        <w:adjustRightInd/>
        <w:snapToGrid/>
        <w:spacing w:before="0" w:after="0" w:line="560" w:lineRule="exact"/>
        <w:ind w:right="0" w:rightChars="0" w:firstLine="560" w:firstLineChars="200"/>
        <w:jc w:val="both"/>
        <w:textAlignment w:val="auto"/>
        <w:rPr>
          <w:rFonts w:hint="eastAsia" w:ascii="楷体_GB2312" w:hAnsi="楷体_GB2312" w:eastAsia="楷体_GB2312" w:cs="楷体_GB2312"/>
          <w:color w:val="auto"/>
          <w:spacing w:val="-12"/>
          <w:w w:val="95"/>
          <w:sz w:val="32"/>
          <w:szCs w:val="32"/>
          <w:lang w:val="en-US" w:eastAsia="en-US" w:bidi="ar-SA"/>
        </w:rPr>
      </w:pPr>
      <w:r>
        <w:rPr>
          <w:rFonts w:hint="eastAsia" w:ascii="楷体_GB2312" w:hAnsi="楷体_GB2312" w:eastAsia="楷体_GB2312" w:cs="楷体_GB2312"/>
          <w:color w:val="auto"/>
          <w:spacing w:val="-12"/>
          <w:w w:val="95"/>
          <w:sz w:val="32"/>
          <w:szCs w:val="32"/>
          <w:lang w:val="en-US" w:eastAsia="zh-CN" w:bidi="ar-SA"/>
        </w:rPr>
        <w:t xml:space="preserve">1.5 </w:t>
      </w:r>
      <w:r>
        <w:rPr>
          <w:rFonts w:hint="eastAsia" w:ascii="楷体_GB2312" w:hAnsi="楷体_GB2312" w:eastAsia="楷体_GB2312" w:cs="楷体_GB2312"/>
          <w:color w:val="auto"/>
          <w:spacing w:val="-12"/>
          <w:w w:val="95"/>
          <w:sz w:val="32"/>
          <w:szCs w:val="32"/>
          <w:lang w:val="en-US" w:eastAsia="en-US" w:bidi="ar-SA"/>
        </w:rPr>
        <w:t>处置原则</w:t>
      </w:r>
    </w:p>
    <w:p w14:paraId="778E1E46">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550" w:firstLine="532" w:firstLineChars="200"/>
        <w:textAlignment w:val="auto"/>
        <w:rPr>
          <w:rFonts w:hint="eastAsia" w:ascii="仿宋_GB2312" w:hAnsi="仿宋_GB2312" w:eastAsia="仿宋_GB2312" w:cs="仿宋_GB2312"/>
        </w:rPr>
      </w:pPr>
      <w:r>
        <w:rPr>
          <w:rFonts w:hint="eastAsia" w:ascii="仿宋_GB2312" w:hAnsi="仿宋_GB2312" w:eastAsia="仿宋_GB2312" w:cs="仿宋_GB2312"/>
          <w:spacing w:val="-19"/>
          <w:w w:val="95"/>
        </w:rPr>
        <w:t xml:space="preserve">遵循统一领导、分级负责、预防为主、快速反应、协同应对、 </w:t>
      </w:r>
      <w:r>
        <w:rPr>
          <w:rFonts w:hint="eastAsia" w:ascii="仿宋_GB2312" w:hAnsi="仿宋_GB2312" w:eastAsia="仿宋_GB2312" w:cs="仿宋_GB2312"/>
          <w:spacing w:val="-19"/>
        </w:rPr>
        <w:t>依法规范、科学处置的原则。</w:t>
      </w:r>
    </w:p>
    <w:p w14:paraId="3282F0E6">
      <w:pPr>
        <w:pStyle w:val="7"/>
        <w:numPr>
          <w:ilvl w:val="0"/>
          <w:numId w:val="2"/>
        </w:numPr>
        <w:tabs>
          <w:tab w:val="left" w:pos="1251"/>
          <w:tab w:val="left" w:pos="1252"/>
        </w:tabs>
        <w:spacing w:before="3" w:after="0" w:line="240" w:lineRule="auto"/>
        <w:ind w:left="1252" w:right="0" w:hanging="481"/>
        <w:jc w:val="left"/>
        <w:rPr>
          <w:rFonts w:hint="eastAsia" w:ascii="黑体" w:hAnsi="黑体" w:eastAsia="黑体" w:cs="黑体"/>
          <w:sz w:val="32"/>
        </w:rPr>
      </w:pPr>
      <w:r>
        <w:rPr>
          <w:rFonts w:hint="eastAsia" w:ascii="黑体" w:hAnsi="黑体" w:eastAsia="黑体" w:cs="黑体"/>
          <w:sz w:val="32"/>
        </w:rPr>
        <w:t>组织体系</w:t>
      </w:r>
    </w:p>
    <w:p w14:paraId="4C798EF8">
      <w:pPr>
        <w:pStyle w:val="7"/>
        <w:numPr>
          <w:ilvl w:val="1"/>
          <w:numId w:val="2"/>
        </w:numPr>
        <w:tabs>
          <w:tab w:val="left" w:pos="1332"/>
        </w:tabs>
        <w:spacing w:before="159"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应急指挥体系</w:t>
      </w:r>
    </w:p>
    <w:p w14:paraId="1A6F105C">
      <w:pPr>
        <w:pStyle w:val="3"/>
        <w:spacing w:before="158" w:line="333" w:lineRule="auto"/>
        <w:ind w:left="131" w:right="7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全</w:t>
      </w:r>
      <w:r>
        <w:rPr>
          <w:rFonts w:hint="eastAsia" w:ascii="仿宋_GB2312" w:hAnsi="仿宋_GB2312" w:eastAsia="仿宋_GB2312" w:cs="仿宋_GB2312"/>
          <w:color w:val="auto"/>
          <w:spacing w:val="-7"/>
          <w:lang w:eastAsia="zh-CN"/>
        </w:rPr>
        <w:t>区</w:t>
      </w:r>
      <w:r>
        <w:rPr>
          <w:rFonts w:hint="eastAsia" w:ascii="仿宋_GB2312" w:hAnsi="仿宋_GB2312" w:eastAsia="仿宋_GB2312" w:cs="仿宋_GB2312"/>
          <w:color w:val="auto"/>
          <w:spacing w:val="-7"/>
        </w:rPr>
        <w:t>疫苗安全事件应急指挥体系由</w:t>
      </w:r>
      <w:r>
        <w:rPr>
          <w:rFonts w:hint="eastAsia" w:ascii="仿宋_GB2312" w:hAnsi="仿宋_GB2312" w:eastAsia="仿宋_GB2312" w:cs="仿宋_GB2312"/>
          <w:color w:val="auto"/>
          <w:spacing w:val="-7"/>
          <w:lang w:eastAsia="zh-CN"/>
        </w:rPr>
        <w:t>区</w:t>
      </w:r>
      <w:r>
        <w:rPr>
          <w:rFonts w:hint="eastAsia" w:ascii="仿宋_GB2312" w:hAnsi="仿宋_GB2312" w:eastAsia="仿宋_GB2312" w:cs="仿宋_GB2312"/>
          <w:color w:val="auto"/>
          <w:spacing w:val="-7"/>
        </w:rPr>
        <w:t>疫苗安全事件应</w:t>
      </w:r>
      <w:r>
        <w:rPr>
          <w:rFonts w:hint="eastAsia" w:ascii="仿宋_GB2312" w:hAnsi="仿宋_GB2312" w:eastAsia="仿宋_GB2312" w:cs="仿宋_GB2312"/>
          <w:color w:val="auto"/>
          <w:spacing w:val="-15"/>
          <w:w w:val="95"/>
        </w:rPr>
        <w:t>急指挥部</w:t>
      </w:r>
      <w:r>
        <w:rPr>
          <w:rFonts w:hint="eastAsia" w:ascii="仿宋_GB2312" w:hAnsi="仿宋_GB2312" w:eastAsia="仿宋_GB2312" w:cs="仿宋_GB2312"/>
          <w:color w:val="auto"/>
          <w:w w:val="95"/>
        </w:rPr>
        <w:t>（以下简称应急指挥部</w:t>
      </w:r>
      <w:r>
        <w:rPr>
          <w:rFonts w:hint="eastAsia" w:ascii="仿宋_GB2312" w:hAnsi="仿宋_GB2312" w:eastAsia="仿宋_GB2312" w:cs="仿宋_GB2312"/>
          <w:color w:val="auto"/>
          <w:spacing w:val="-36"/>
          <w:w w:val="95"/>
        </w:rPr>
        <w:t>）</w:t>
      </w:r>
      <w:r>
        <w:rPr>
          <w:rFonts w:hint="eastAsia" w:ascii="仿宋_GB2312" w:hAnsi="仿宋_GB2312" w:eastAsia="仿宋_GB2312" w:cs="仿宋_GB2312"/>
          <w:color w:val="auto"/>
          <w:spacing w:val="-5"/>
          <w:w w:val="95"/>
        </w:rPr>
        <w:t>及其办公室组成，按照分级负</w:t>
      </w:r>
      <w:r>
        <w:rPr>
          <w:rFonts w:hint="eastAsia" w:ascii="仿宋_GB2312" w:hAnsi="仿宋_GB2312" w:eastAsia="仿宋_GB2312" w:cs="仿宋_GB2312"/>
          <w:color w:val="auto"/>
          <w:spacing w:val="-12"/>
        </w:rPr>
        <w:t>责的原则，负责组织、协调和指导相应事件等级的疫苗安全应急处置工作。</w:t>
      </w:r>
    </w:p>
    <w:p w14:paraId="6AD12A9E">
      <w:pPr>
        <w:pStyle w:val="3"/>
        <w:spacing w:before="1" w:line="333" w:lineRule="auto"/>
        <w:ind w:left="131" w:right="610" w:firstLine="616"/>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8"/>
        </w:rPr>
        <w:t>各相关部门应根</w:t>
      </w:r>
      <w:r>
        <w:rPr>
          <w:rFonts w:hint="eastAsia" w:ascii="仿宋_GB2312" w:hAnsi="仿宋_GB2312" w:eastAsia="仿宋_GB2312" w:cs="仿宋_GB2312"/>
          <w:color w:val="auto"/>
          <w:spacing w:val="-12"/>
        </w:rPr>
        <w:t>据本预案，制定疫苗安全事件应急行动方案和保障计划。</w:t>
      </w:r>
    </w:p>
    <w:p w14:paraId="7EEB51FA">
      <w:pPr>
        <w:pStyle w:val="3"/>
        <w:spacing w:line="333" w:lineRule="auto"/>
        <w:ind w:left="131" w:right="708" w:firstLine="640"/>
        <w:jc w:val="both"/>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w w:val="95"/>
          <w:sz w:val="32"/>
          <w:szCs w:val="32"/>
          <w:lang w:eastAsia="zh-CN"/>
        </w:rPr>
        <w:t>区</w:t>
      </w:r>
      <w:r>
        <w:rPr>
          <w:rFonts w:hint="eastAsia" w:ascii="仿宋_GB2312" w:hAnsi="仿宋_GB2312" w:eastAsia="仿宋_GB2312" w:cs="仿宋_GB2312"/>
          <w:color w:val="auto"/>
          <w:spacing w:val="6"/>
          <w:w w:val="95"/>
          <w:sz w:val="32"/>
          <w:szCs w:val="32"/>
        </w:rPr>
        <w:t>应急指挥部负责应在</w:t>
      </w:r>
      <w:r>
        <w:rPr>
          <w:rFonts w:hint="eastAsia" w:ascii="仿宋_GB2312" w:hAnsi="仿宋_GB2312" w:eastAsia="仿宋_GB2312" w:cs="仿宋_GB2312"/>
          <w:color w:val="auto"/>
          <w:spacing w:val="6"/>
          <w:w w:val="95"/>
          <w:sz w:val="32"/>
          <w:szCs w:val="32"/>
          <w:lang w:eastAsia="zh-CN"/>
        </w:rPr>
        <w:t>市</w:t>
      </w:r>
      <w:r>
        <w:rPr>
          <w:rFonts w:hint="eastAsia" w:ascii="仿宋_GB2312" w:hAnsi="仿宋_GB2312" w:eastAsia="仿宋_GB2312" w:cs="仿宋_GB2312"/>
          <w:color w:val="auto"/>
          <w:spacing w:val="6"/>
          <w:w w:val="95"/>
          <w:sz w:val="32"/>
          <w:szCs w:val="32"/>
        </w:rPr>
        <w:t>应急指挥部统一部署下应对本行政区域疫苗安全</w:t>
      </w:r>
      <w:r>
        <w:rPr>
          <w:rFonts w:hint="eastAsia" w:ascii="仿宋_GB2312" w:hAnsi="仿宋_GB2312" w:eastAsia="仿宋_GB2312" w:cs="仿宋_GB2312"/>
          <w:color w:val="auto"/>
          <w:spacing w:val="6"/>
          <w:sz w:val="32"/>
          <w:szCs w:val="32"/>
        </w:rPr>
        <w:t>事件。</w:t>
      </w:r>
    </w:p>
    <w:p w14:paraId="0089CF66">
      <w:pPr>
        <w:pStyle w:val="7"/>
        <w:numPr>
          <w:ilvl w:val="2"/>
          <w:numId w:val="2"/>
        </w:numPr>
        <w:tabs>
          <w:tab w:val="left" w:pos="1572"/>
        </w:tabs>
        <w:spacing w:before="54" w:after="0" w:line="240" w:lineRule="auto"/>
        <w:ind w:left="1571" w:right="0" w:hanging="801"/>
        <w:jc w:val="left"/>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lang w:eastAsia="zh-CN"/>
        </w:rPr>
        <w:t>区</w:t>
      </w:r>
      <w:r>
        <w:rPr>
          <w:rFonts w:hint="eastAsia" w:ascii="楷体_GB2312" w:hAnsi="楷体_GB2312" w:eastAsia="楷体_GB2312" w:cs="楷体_GB2312"/>
          <w:color w:val="auto"/>
          <w:sz w:val="32"/>
        </w:rPr>
        <w:t>应急指挥部</w:t>
      </w:r>
    </w:p>
    <w:p w14:paraId="0D976517">
      <w:pPr>
        <w:pStyle w:val="3"/>
        <w:spacing w:before="159" w:line="333" w:lineRule="auto"/>
        <w:ind w:left="772" w:right="593"/>
        <w:rPr>
          <w:rFonts w:hint="eastAsia" w:ascii="仿宋_GB2312" w:hAnsi="仿宋_GB2312" w:eastAsia="仿宋_GB2312" w:cs="仿宋_GB2312"/>
          <w:color w:val="auto"/>
        </w:rPr>
      </w:pPr>
      <w:r>
        <w:rPr>
          <w:rFonts w:hint="eastAsia" w:ascii="仿宋_GB2312" w:hAnsi="仿宋_GB2312" w:eastAsia="仿宋_GB2312" w:cs="仿宋_GB2312"/>
          <w:color w:val="auto"/>
          <w:w w:val="95"/>
        </w:rPr>
        <w:t>指挥长：</w:t>
      </w:r>
      <w:r>
        <w:rPr>
          <w:rFonts w:hint="eastAsia" w:ascii="仿宋_GB2312" w:hAnsi="仿宋_GB2312" w:eastAsia="仿宋_GB2312" w:cs="仿宋_GB2312"/>
          <w:color w:val="auto"/>
          <w:w w:val="95"/>
          <w:lang w:eastAsia="zh-CN"/>
        </w:rPr>
        <w:t>区</w:t>
      </w:r>
      <w:r>
        <w:rPr>
          <w:rFonts w:hint="eastAsia" w:ascii="仿宋_GB2312" w:hAnsi="仿宋_GB2312" w:eastAsia="仿宋_GB2312" w:cs="仿宋_GB2312"/>
          <w:color w:val="auto"/>
          <w:w w:val="95"/>
        </w:rPr>
        <w:t>人民政府分管副市长、</w:t>
      </w:r>
      <w:r>
        <w:rPr>
          <w:rFonts w:hint="eastAsia" w:ascii="仿宋_GB2312" w:hAnsi="仿宋_GB2312" w:eastAsia="仿宋_GB2312" w:cs="仿宋_GB2312"/>
          <w:color w:val="auto"/>
          <w:w w:val="95"/>
          <w:lang w:eastAsia="zh-CN"/>
        </w:rPr>
        <w:t>区</w:t>
      </w:r>
      <w:r>
        <w:rPr>
          <w:rFonts w:hint="eastAsia" w:ascii="仿宋_GB2312" w:hAnsi="仿宋_GB2312" w:eastAsia="仿宋_GB2312" w:cs="仿宋_GB2312"/>
          <w:color w:val="auto"/>
          <w:w w:val="95"/>
        </w:rPr>
        <w:t xml:space="preserve">药品安全委员会主任。 </w:t>
      </w:r>
      <w:r>
        <w:rPr>
          <w:rFonts w:hint="eastAsia" w:ascii="仿宋_GB2312" w:hAnsi="仿宋_GB2312" w:eastAsia="仿宋_GB2312" w:cs="仿宋_GB2312"/>
          <w:color w:val="auto"/>
          <w:spacing w:val="-10"/>
        </w:rPr>
        <w:t>副指挥长：</w:t>
      </w:r>
      <w:r>
        <w:rPr>
          <w:rFonts w:hint="eastAsia" w:ascii="仿宋_GB2312" w:hAnsi="仿宋_GB2312" w:eastAsia="仿宋_GB2312" w:cs="仿宋_GB2312"/>
          <w:color w:val="auto"/>
          <w:spacing w:val="-10"/>
          <w:lang w:eastAsia="zh-CN"/>
        </w:rPr>
        <w:t>区</w:t>
      </w:r>
      <w:r>
        <w:rPr>
          <w:rFonts w:hint="eastAsia" w:ascii="仿宋_GB2312" w:hAnsi="仿宋_GB2312" w:eastAsia="仿宋_GB2312" w:cs="仿宋_GB2312"/>
          <w:color w:val="auto"/>
          <w:spacing w:val="-10"/>
        </w:rPr>
        <w:t>人民政府协管副</w:t>
      </w:r>
      <w:r>
        <w:rPr>
          <w:rFonts w:hint="eastAsia" w:ascii="仿宋_GB2312" w:hAnsi="仿宋_GB2312" w:eastAsia="仿宋_GB2312" w:cs="仿宋_GB2312"/>
          <w:color w:val="auto"/>
          <w:spacing w:val="-10"/>
          <w:lang w:eastAsia="zh-CN"/>
        </w:rPr>
        <w:t>主任</w:t>
      </w:r>
      <w:r>
        <w:rPr>
          <w:rFonts w:hint="eastAsia" w:ascii="仿宋_GB2312" w:hAnsi="仿宋_GB2312" w:eastAsia="仿宋_GB2312" w:cs="仿宋_GB2312"/>
          <w:color w:val="auto"/>
          <w:spacing w:val="-10"/>
        </w:rPr>
        <w:t>，</w:t>
      </w:r>
      <w:r>
        <w:rPr>
          <w:rFonts w:hint="eastAsia" w:ascii="仿宋_GB2312" w:hAnsi="仿宋_GB2312" w:eastAsia="仿宋_GB2312" w:cs="仿宋_GB2312"/>
          <w:color w:val="auto"/>
          <w:spacing w:val="-10"/>
          <w:lang w:eastAsia="zh-CN"/>
        </w:rPr>
        <w:t>区</w:t>
      </w:r>
      <w:r>
        <w:rPr>
          <w:rFonts w:hint="eastAsia" w:ascii="仿宋_GB2312" w:hAnsi="仿宋_GB2312" w:eastAsia="仿宋_GB2312" w:cs="仿宋_GB2312"/>
          <w:color w:val="auto"/>
          <w:spacing w:val="-10"/>
        </w:rPr>
        <w:t>市场监管局、</w:t>
      </w:r>
      <w:r>
        <w:rPr>
          <w:rFonts w:hint="eastAsia" w:ascii="仿宋_GB2312" w:hAnsi="仿宋_GB2312" w:eastAsia="仿宋_GB2312" w:cs="仿宋_GB2312"/>
          <w:color w:val="auto"/>
          <w:spacing w:val="-10"/>
          <w:lang w:eastAsia="zh-CN"/>
        </w:rPr>
        <w:t>区</w:t>
      </w:r>
      <w:r>
        <w:rPr>
          <w:rFonts w:hint="eastAsia" w:ascii="仿宋_GB2312" w:hAnsi="仿宋_GB2312" w:eastAsia="仿宋_GB2312" w:cs="仿宋_GB2312"/>
          <w:color w:val="auto"/>
          <w:spacing w:val="-10"/>
        </w:rPr>
        <w:t>卫</w:t>
      </w:r>
    </w:p>
    <w:p w14:paraId="1A966973">
      <w:pPr>
        <w:pStyle w:val="3"/>
        <w:ind w:left="131"/>
        <w:rPr>
          <w:rFonts w:hint="eastAsia" w:ascii="仿宋_GB2312" w:hAnsi="仿宋_GB2312" w:eastAsia="仿宋_GB2312" w:cs="仿宋_GB2312"/>
          <w:color w:val="auto"/>
        </w:rPr>
      </w:pPr>
      <w:r>
        <w:rPr>
          <w:rFonts w:hint="eastAsia" w:ascii="仿宋_GB2312" w:hAnsi="仿宋_GB2312" w:eastAsia="仿宋_GB2312" w:cs="仿宋_GB2312"/>
          <w:color w:val="auto"/>
        </w:rPr>
        <w:t>生健康</w:t>
      </w:r>
      <w:r>
        <w:rPr>
          <w:rFonts w:hint="eastAsia" w:ascii="仿宋_GB2312" w:hAnsi="仿宋_GB2312" w:eastAsia="仿宋_GB2312" w:cs="仿宋_GB2312"/>
          <w:color w:val="auto"/>
          <w:lang w:eastAsia="zh-CN"/>
        </w:rPr>
        <w:t>局</w:t>
      </w:r>
      <w:r>
        <w:rPr>
          <w:rFonts w:hint="eastAsia" w:ascii="仿宋_GB2312" w:hAnsi="仿宋_GB2312" w:eastAsia="仿宋_GB2312" w:cs="仿宋_GB2312"/>
          <w:color w:val="auto"/>
        </w:rPr>
        <w:t>主要负责同志。</w:t>
      </w:r>
    </w:p>
    <w:p w14:paraId="690B146F">
      <w:pPr>
        <w:pStyle w:val="3"/>
        <w:spacing w:before="161" w:line="333" w:lineRule="auto"/>
        <w:ind w:left="131" w:right="708" w:firstLine="640"/>
        <w:jc w:val="both"/>
        <w:rPr>
          <w:rFonts w:hint="eastAsia" w:ascii="仿宋_GB2312" w:hAnsi="仿宋_GB2312" w:eastAsia="仿宋_GB2312" w:cs="仿宋_GB2312"/>
          <w:color w:val="auto"/>
          <w:spacing w:val="-12"/>
          <w:w w:val="95"/>
        </w:rPr>
      </w:pPr>
      <w:r>
        <w:rPr>
          <w:rFonts w:hint="eastAsia" w:ascii="仿宋_GB2312" w:hAnsi="仿宋_GB2312" w:eastAsia="仿宋_GB2312" w:cs="仿宋_GB2312"/>
          <w:color w:val="auto"/>
          <w:spacing w:val="-12"/>
        </w:rPr>
        <w:t>成员：</w:t>
      </w:r>
      <w:r>
        <w:rPr>
          <w:rFonts w:hint="eastAsia" w:ascii="仿宋_GB2312" w:hAnsi="仿宋_GB2312" w:eastAsia="仿宋_GB2312" w:cs="仿宋_GB2312"/>
          <w:color w:val="auto"/>
          <w:spacing w:val="-12"/>
          <w:lang w:eastAsia="zh-CN"/>
        </w:rPr>
        <w:t>区</w:t>
      </w:r>
      <w:r>
        <w:rPr>
          <w:rFonts w:hint="eastAsia" w:ascii="仿宋_GB2312" w:hAnsi="仿宋_GB2312" w:eastAsia="仿宋_GB2312" w:cs="仿宋_GB2312"/>
          <w:color w:val="auto"/>
          <w:spacing w:val="-12"/>
        </w:rPr>
        <w:t>委宣传部，</w:t>
      </w:r>
      <w:r>
        <w:rPr>
          <w:rFonts w:hint="eastAsia" w:ascii="仿宋_GB2312" w:hAnsi="仿宋_GB2312" w:eastAsia="仿宋_GB2312" w:cs="仿宋_GB2312"/>
          <w:color w:val="auto"/>
          <w:spacing w:val="-12"/>
          <w:lang w:eastAsia="zh-CN"/>
        </w:rPr>
        <w:t>区</w:t>
      </w:r>
      <w:r>
        <w:rPr>
          <w:rFonts w:hint="eastAsia" w:ascii="仿宋_GB2312" w:hAnsi="仿宋_GB2312" w:eastAsia="仿宋_GB2312" w:cs="仿宋_GB2312"/>
          <w:color w:val="auto"/>
          <w:spacing w:val="-12"/>
        </w:rPr>
        <w:t>教育局、</w:t>
      </w:r>
      <w:r>
        <w:rPr>
          <w:rFonts w:hint="eastAsia" w:ascii="仿宋_GB2312" w:hAnsi="仿宋_GB2312" w:eastAsia="仿宋_GB2312" w:cs="仿宋_GB2312"/>
          <w:color w:val="auto"/>
          <w:spacing w:val="-12"/>
          <w:lang w:eastAsia="zh-CN"/>
        </w:rPr>
        <w:t>区</w:t>
      </w:r>
      <w:r>
        <w:rPr>
          <w:rFonts w:hint="eastAsia" w:ascii="仿宋_GB2312" w:hAnsi="仿宋_GB2312" w:eastAsia="仿宋_GB2312" w:cs="仿宋_GB2312"/>
          <w:color w:val="auto"/>
          <w:spacing w:val="-12"/>
        </w:rPr>
        <w:t>工业和信息化局、</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spacing w:val="-12"/>
          <w:w w:val="95"/>
        </w:rPr>
        <w:t>、</w:t>
      </w:r>
      <w:r>
        <w:rPr>
          <w:rFonts w:hint="eastAsia" w:ascii="仿宋_GB2312" w:hAnsi="仿宋_GB2312" w:eastAsia="仿宋_GB2312" w:cs="仿宋_GB2312"/>
          <w:color w:val="auto"/>
          <w:spacing w:val="-12"/>
          <w:w w:val="95"/>
          <w:lang w:eastAsia="zh-CN"/>
        </w:rPr>
        <w:t>区</w:t>
      </w:r>
      <w:r>
        <w:rPr>
          <w:rFonts w:hint="eastAsia" w:ascii="仿宋_GB2312" w:hAnsi="仿宋_GB2312" w:eastAsia="仿宋_GB2312" w:cs="仿宋_GB2312"/>
          <w:color w:val="auto"/>
          <w:spacing w:val="-12"/>
          <w:w w:val="95"/>
        </w:rPr>
        <w:t>司法局、</w:t>
      </w:r>
      <w:r>
        <w:rPr>
          <w:rFonts w:hint="eastAsia" w:ascii="仿宋_GB2312" w:hAnsi="仿宋_GB2312" w:eastAsia="仿宋_GB2312" w:cs="仿宋_GB2312"/>
          <w:color w:val="auto"/>
          <w:spacing w:val="-12"/>
          <w:w w:val="95"/>
          <w:lang w:eastAsia="zh-CN"/>
        </w:rPr>
        <w:t>区</w:t>
      </w:r>
      <w:r>
        <w:rPr>
          <w:rFonts w:hint="eastAsia" w:ascii="仿宋_GB2312" w:hAnsi="仿宋_GB2312" w:eastAsia="仿宋_GB2312" w:cs="仿宋_GB2312"/>
          <w:color w:val="auto"/>
          <w:spacing w:val="-12"/>
          <w:w w:val="95"/>
        </w:rPr>
        <w:t>财政局、</w:t>
      </w:r>
      <w:r>
        <w:rPr>
          <w:rFonts w:hint="eastAsia" w:ascii="仿宋_GB2312" w:hAnsi="仿宋_GB2312" w:eastAsia="仿宋_GB2312" w:cs="仿宋_GB2312"/>
          <w:color w:val="auto"/>
          <w:spacing w:val="-12"/>
          <w:w w:val="95"/>
          <w:lang w:eastAsia="zh-CN"/>
        </w:rPr>
        <w:t>区</w:t>
      </w:r>
      <w:r>
        <w:rPr>
          <w:rFonts w:hint="eastAsia" w:ascii="仿宋_GB2312" w:hAnsi="仿宋_GB2312" w:eastAsia="仿宋_GB2312" w:cs="仿宋_GB2312"/>
          <w:color w:val="auto"/>
          <w:spacing w:val="-12"/>
          <w:w w:val="95"/>
        </w:rPr>
        <w:t>卫生健康</w:t>
      </w:r>
      <w:r>
        <w:rPr>
          <w:rFonts w:hint="eastAsia" w:ascii="仿宋_GB2312" w:hAnsi="仿宋_GB2312" w:eastAsia="仿宋_GB2312" w:cs="仿宋_GB2312"/>
          <w:color w:val="auto"/>
          <w:spacing w:val="-12"/>
          <w:w w:val="95"/>
          <w:lang w:eastAsia="zh-CN"/>
        </w:rPr>
        <w:t>局</w:t>
      </w:r>
      <w:r>
        <w:rPr>
          <w:rFonts w:hint="eastAsia" w:ascii="仿宋_GB2312" w:hAnsi="仿宋_GB2312" w:eastAsia="仿宋_GB2312" w:cs="仿宋_GB2312"/>
          <w:color w:val="auto"/>
          <w:spacing w:val="-12"/>
          <w:w w:val="95"/>
        </w:rPr>
        <w:t>、</w:t>
      </w:r>
      <w:r>
        <w:rPr>
          <w:rFonts w:hint="eastAsia" w:ascii="仿宋_GB2312" w:hAnsi="仿宋_GB2312" w:eastAsia="仿宋_GB2312" w:cs="仿宋_GB2312"/>
          <w:color w:val="auto"/>
          <w:spacing w:val="-12"/>
          <w:w w:val="95"/>
          <w:lang w:eastAsia="zh-CN"/>
        </w:rPr>
        <w:t>区</w:t>
      </w:r>
      <w:r>
        <w:rPr>
          <w:rFonts w:hint="eastAsia" w:ascii="仿宋_GB2312" w:hAnsi="仿宋_GB2312" w:eastAsia="仿宋_GB2312" w:cs="仿宋_GB2312"/>
          <w:color w:val="auto"/>
          <w:spacing w:val="-12"/>
          <w:w w:val="95"/>
        </w:rPr>
        <w:t>市场监管局、</w:t>
      </w:r>
      <w:r>
        <w:rPr>
          <w:rFonts w:hint="eastAsia" w:ascii="仿宋_GB2312" w:hAnsi="仿宋_GB2312" w:eastAsia="仿宋_GB2312" w:cs="仿宋_GB2312"/>
          <w:color w:val="auto"/>
          <w:spacing w:val="-12"/>
          <w:w w:val="95"/>
          <w:lang w:eastAsia="zh-CN"/>
        </w:rPr>
        <w:t>区外事办、</w:t>
      </w:r>
      <w:r>
        <w:rPr>
          <w:rFonts w:hint="eastAsia" w:ascii="仿宋_GB2312" w:hAnsi="仿宋_GB2312" w:eastAsia="仿宋_GB2312" w:cs="仿宋_GB2312"/>
          <w:color w:val="auto"/>
          <w:spacing w:val="-13"/>
        </w:rPr>
        <w:t>事发地人民政府</w:t>
      </w:r>
      <w:r>
        <w:rPr>
          <w:rFonts w:hint="eastAsia" w:ascii="仿宋_GB2312" w:hAnsi="仿宋_GB2312" w:eastAsia="仿宋_GB2312" w:cs="仿宋_GB2312"/>
          <w:color w:val="auto"/>
          <w:spacing w:val="-13"/>
          <w:lang w:eastAsia="zh-CN"/>
        </w:rPr>
        <w:t>、街道办事处（管委）</w:t>
      </w:r>
      <w:r>
        <w:rPr>
          <w:rFonts w:hint="eastAsia" w:ascii="仿宋_GB2312" w:hAnsi="仿宋_GB2312" w:eastAsia="仿宋_GB2312" w:cs="仿宋_GB2312"/>
          <w:color w:val="auto"/>
          <w:spacing w:val="-13"/>
        </w:rPr>
        <w:t>等单位分管负责同志。</w:t>
      </w:r>
    </w:p>
    <w:p w14:paraId="2C58544D">
      <w:pPr>
        <w:pStyle w:val="3"/>
        <w:spacing w:before="1" w:line="333" w:lineRule="auto"/>
        <w:ind w:left="131" w:right="708" w:firstLine="640"/>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w w:val="95"/>
          <w:sz w:val="32"/>
          <w:szCs w:val="32"/>
        </w:rPr>
        <w:t>指挥长可根据实际情况抽调</w:t>
      </w:r>
      <w:r>
        <w:rPr>
          <w:rFonts w:hint="eastAsia" w:ascii="仿宋_GB2312" w:hAnsi="仿宋_GB2312" w:eastAsia="仿宋_GB2312" w:cs="仿宋_GB2312"/>
          <w:color w:val="auto"/>
          <w:spacing w:val="6"/>
          <w:w w:val="95"/>
          <w:sz w:val="32"/>
          <w:szCs w:val="32"/>
          <w:lang w:eastAsia="zh-CN"/>
        </w:rPr>
        <w:t>区</w:t>
      </w:r>
      <w:r>
        <w:rPr>
          <w:rFonts w:hint="eastAsia" w:ascii="仿宋_GB2312" w:hAnsi="仿宋_GB2312" w:eastAsia="仿宋_GB2312" w:cs="仿宋_GB2312"/>
          <w:color w:val="auto"/>
          <w:spacing w:val="6"/>
          <w:w w:val="95"/>
          <w:sz w:val="32"/>
          <w:szCs w:val="32"/>
        </w:rPr>
        <w:t>有关单位分管负责同志作为</w:t>
      </w:r>
      <w:r>
        <w:rPr>
          <w:rFonts w:hint="eastAsia" w:ascii="仿宋_GB2312" w:hAnsi="仿宋_GB2312" w:eastAsia="仿宋_GB2312" w:cs="仿宋_GB2312"/>
          <w:color w:val="auto"/>
          <w:spacing w:val="6"/>
          <w:sz w:val="32"/>
          <w:szCs w:val="32"/>
        </w:rPr>
        <w:t>成员。</w:t>
      </w:r>
    </w:p>
    <w:p w14:paraId="4BC29E78">
      <w:pPr>
        <w:pStyle w:val="3"/>
        <w:spacing w:line="333" w:lineRule="auto"/>
        <w:ind w:left="131" w:right="708" w:firstLine="640"/>
        <w:rPr>
          <w:rFonts w:hint="eastAsia" w:ascii="仿宋_GB2312" w:hAnsi="仿宋_GB2312" w:eastAsia="仿宋_GB2312" w:cs="仿宋_GB2312"/>
          <w:color w:val="auto"/>
        </w:rPr>
      </w:pPr>
      <w:r>
        <w:rPr>
          <w:rFonts w:hint="eastAsia" w:ascii="仿宋_GB2312" w:hAnsi="仿宋_GB2312" w:eastAsia="仿宋_GB2312" w:cs="仿宋_GB2312"/>
          <w:color w:val="auto"/>
          <w:spacing w:val="-9"/>
        </w:rPr>
        <w:t>各成员单位根据应急响应级别，按照</w:t>
      </w:r>
      <w:r>
        <w:rPr>
          <w:rFonts w:hint="eastAsia" w:ascii="仿宋_GB2312" w:hAnsi="仿宋_GB2312" w:eastAsia="仿宋_GB2312" w:cs="仿宋_GB2312"/>
          <w:color w:val="auto"/>
          <w:spacing w:val="-9"/>
          <w:lang w:eastAsia="zh-CN"/>
        </w:rPr>
        <w:t>区</w:t>
      </w:r>
      <w:r>
        <w:rPr>
          <w:rFonts w:hint="eastAsia" w:ascii="仿宋_GB2312" w:hAnsi="仿宋_GB2312" w:eastAsia="仿宋_GB2312" w:cs="仿宋_GB2312"/>
          <w:color w:val="auto"/>
          <w:spacing w:val="-9"/>
        </w:rPr>
        <w:t>应急指挥部的统一部署，依职责配合做好疫苗安全突发事件应急处置工作。</w:t>
      </w:r>
    </w:p>
    <w:p w14:paraId="1075944F">
      <w:pPr>
        <w:pStyle w:val="3"/>
        <w:spacing w:line="333" w:lineRule="auto"/>
        <w:ind w:right="590" w:firstLine="520" w:firstLineChars="200"/>
        <w:rPr>
          <w:rFonts w:hint="eastAsia" w:ascii="仿宋_GB2312" w:hAnsi="仿宋_GB2312" w:eastAsia="仿宋_GB2312" w:cs="仿宋_GB2312"/>
          <w:color w:val="auto"/>
          <w:spacing w:val="-22"/>
          <w:w w:val="95"/>
          <w:sz w:val="32"/>
          <w:szCs w:val="32"/>
          <w:lang w:val="en-US" w:eastAsia="zh-CN"/>
        </w:rPr>
      </w:pPr>
      <w:r>
        <w:rPr>
          <w:rFonts w:hint="eastAsia" w:ascii="仿宋_GB2312" w:hAnsi="仿宋_GB2312" w:eastAsia="仿宋_GB2312" w:cs="仿宋_GB2312"/>
          <w:color w:val="auto"/>
          <w:spacing w:val="-22"/>
          <w:w w:val="95"/>
          <w:sz w:val="32"/>
          <w:szCs w:val="32"/>
          <w:lang w:eastAsia="zh-CN"/>
        </w:rPr>
        <w:t>区</w:t>
      </w:r>
      <w:r>
        <w:rPr>
          <w:rFonts w:hint="eastAsia" w:ascii="仿宋_GB2312" w:hAnsi="仿宋_GB2312" w:eastAsia="仿宋_GB2312" w:cs="仿宋_GB2312"/>
          <w:color w:val="auto"/>
          <w:spacing w:val="-22"/>
          <w:w w:val="95"/>
          <w:sz w:val="32"/>
          <w:szCs w:val="32"/>
        </w:rPr>
        <w:t>委宣传部：负责</w:t>
      </w:r>
      <w:r>
        <w:rPr>
          <w:rFonts w:hint="eastAsia" w:ascii="仿宋_GB2312" w:hAnsi="仿宋_GB2312" w:eastAsia="仿宋_GB2312" w:cs="仿宋_GB2312"/>
          <w:color w:val="auto"/>
          <w:spacing w:val="-22"/>
          <w:w w:val="95"/>
          <w:sz w:val="32"/>
          <w:szCs w:val="32"/>
          <w:lang w:eastAsia="zh-CN"/>
        </w:rPr>
        <w:t>配合市委宣传部做好</w:t>
      </w:r>
      <w:r>
        <w:rPr>
          <w:rFonts w:hint="eastAsia" w:ascii="仿宋_GB2312" w:hAnsi="仿宋_GB2312" w:eastAsia="仿宋_GB2312" w:cs="仿宋_GB2312"/>
          <w:color w:val="auto"/>
          <w:spacing w:val="-22"/>
          <w:w w:val="95"/>
          <w:sz w:val="32"/>
          <w:szCs w:val="32"/>
        </w:rPr>
        <w:t>疫苗安全事件宣传报道和舆论引导工作。</w:t>
      </w:r>
      <w:r>
        <w:rPr>
          <w:rFonts w:hint="eastAsia" w:ascii="仿宋_GB2312" w:hAnsi="仿宋_GB2312" w:eastAsia="仿宋_GB2312" w:cs="仿宋_GB2312"/>
          <w:color w:val="auto"/>
          <w:spacing w:val="-22"/>
          <w:w w:val="95"/>
          <w:sz w:val="32"/>
          <w:szCs w:val="32"/>
          <w:lang w:val="en-US" w:eastAsia="zh-CN"/>
        </w:rPr>
        <w:t xml:space="preserve"> </w:t>
      </w:r>
    </w:p>
    <w:p w14:paraId="1A10BC50">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590"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2"/>
          <w:w w:val="99"/>
          <w:lang w:eastAsia="zh-CN"/>
        </w:rPr>
        <w:t>区</w:t>
      </w:r>
      <w:r>
        <w:rPr>
          <w:rFonts w:hint="eastAsia" w:ascii="仿宋_GB2312" w:hAnsi="仿宋_GB2312" w:eastAsia="仿宋_GB2312" w:cs="仿宋_GB2312"/>
          <w:color w:val="auto"/>
          <w:spacing w:val="2"/>
          <w:w w:val="99"/>
        </w:rPr>
        <w:t>市场监管局（</w:t>
      </w:r>
      <w:r>
        <w:rPr>
          <w:rFonts w:hint="eastAsia" w:ascii="仿宋_GB2312" w:hAnsi="仿宋_GB2312" w:eastAsia="仿宋_GB2312" w:cs="仿宋_GB2312"/>
          <w:color w:val="auto"/>
          <w:spacing w:val="1"/>
          <w:w w:val="99"/>
          <w:lang w:eastAsia="zh-CN"/>
        </w:rPr>
        <w:t>区</w:t>
      </w:r>
      <w:r>
        <w:rPr>
          <w:rFonts w:hint="eastAsia" w:ascii="仿宋_GB2312" w:hAnsi="仿宋_GB2312" w:eastAsia="仿宋_GB2312" w:cs="仿宋_GB2312"/>
          <w:color w:val="auto"/>
          <w:spacing w:val="1"/>
          <w:w w:val="99"/>
        </w:rPr>
        <w:t>药品安全委员会办公室</w:t>
      </w:r>
      <w:r>
        <w:rPr>
          <w:rFonts w:hint="eastAsia" w:ascii="仿宋_GB2312" w:hAnsi="仿宋_GB2312" w:eastAsia="仿宋_GB2312" w:cs="仿宋_GB2312"/>
          <w:color w:val="auto"/>
          <w:spacing w:val="-156"/>
          <w:w w:val="99"/>
        </w:rPr>
        <w:t>）</w:t>
      </w:r>
      <w:r>
        <w:rPr>
          <w:rFonts w:hint="eastAsia" w:ascii="仿宋_GB2312" w:hAnsi="仿宋_GB2312" w:eastAsia="仿宋_GB2312" w:cs="仿宋_GB2312"/>
          <w:color w:val="auto"/>
          <w:spacing w:val="1"/>
          <w:w w:val="99"/>
        </w:rPr>
        <w:t>：负责</w:t>
      </w:r>
      <w:r>
        <w:rPr>
          <w:rFonts w:hint="eastAsia" w:ascii="仿宋_GB2312" w:hAnsi="仿宋_GB2312" w:eastAsia="仿宋_GB2312" w:cs="仿宋_GB2312"/>
          <w:color w:val="auto"/>
          <w:spacing w:val="1"/>
          <w:w w:val="99"/>
          <w:lang w:eastAsia="zh-CN"/>
        </w:rPr>
        <w:t>区</w:t>
      </w:r>
      <w:r>
        <w:rPr>
          <w:rFonts w:hint="eastAsia" w:ascii="仿宋_GB2312" w:hAnsi="仿宋_GB2312" w:eastAsia="仿宋_GB2312" w:cs="仿宋_GB2312"/>
          <w:color w:val="auto"/>
          <w:spacing w:val="1"/>
          <w:w w:val="99"/>
        </w:rPr>
        <w:t>应急指挥</w:t>
      </w:r>
      <w:r>
        <w:rPr>
          <w:rFonts w:hint="eastAsia" w:ascii="仿宋_GB2312" w:hAnsi="仿宋_GB2312" w:eastAsia="仿宋_GB2312" w:cs="仿宋_GB2312"/>
          <w:color w:val="auto"/>
          <w:spacing w:val="-9"/>
        </w:rPr>
        <w:t>部办公室日常工作；负责控制突发事件所涉及的相关疫苗；负责</w:t>
      </w:r>
      <w:r>
        <w:rPr>
          <w:rFonts w:hint="eastAsia" w:ascii="仿宋_GB2312" w:hAnsi="仿宋_GB2312" w:eastAsia="仿宋_GB2312" w:cs="仿宋_GB2312"/>
          <w:color w:val="auto"/>
          <w:spacing w:val="-15"/>
          <w:w w:val="95"/>
        </w:rPr>
        <w:t>收集和上报疫苗安全事件信息；负责对疫苗质量安全事件进行调</w:t>
      </w:r>
      <w:r>
        <w:rPr>
          <w:rFonts w:hint="eastAsia" w:ascii="仿宋_GB2312" w:hAnsi="仿宋_GB2312" w:eastAsia="仿宋_GB2312" w:cs="仿宋_GB2312"/>
          <w:color w:val="auto"/>
          <w:spacing w:val="-17"/>
        </w:rPr>
        <w:t>查处理和相关技术鉴定等；负责疫苗安全事件的应急值守、信息</w:t>
      </w:r>
      <w:r>
        <w:rPr>
          <w:rFonts w:hint="eastAsia" w:ascii="仿宋_GB2312" w:hAnsi="仿宋_GB2312" w:eastAsia="仿宋_GB2312" w:cs="仿宋_GB2312"/>
          <w:color w:val="auto"/>
          <w:spacing w:val="-13"/>
          <w:w w:val="95"/>
        </w:rPr>
        <w:t xml:space="preserve">报告、综合协调等应急管理工作；负责拟定、修改预防和控制疫 </w:t>
      </w:r>
      <w:r>
        <w:rPr>
          <w:rFonts w:hint="eastAsia" w:ascii="仿宋_GB2312" w:hAnsi="仿宋_GB2312" w:eastAsia="仿宋_GB2312" w:cs="仿宋_GB2312"/>
          <w:color w:val="auto"/>
          <w:spacing w:val="-18"/>
        </w:rPr>
        <w:t>苗安全事件的应急救援预案等专项应急预案和部门预案，组织检查和督导疫苗安全事件应急预案的落实。</w:t>
      </w:r>
    </w:p>
    <w:p w14:paraId="2BC8AEB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right="708"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1"/>
          <w:lang w:eastAsia="zh-CN"/>
        </w:rPr>
        <w:t>区</w:t>
      </w:r>
      <w:r>
        <w:rPr>
          <w:rFonts w:hint="eastAsia" w:ascii="仿宋_GB2312" w:hAnsi="仿宋_GB2312" w:eastAsia="仿宋_GB2312" w:cs="仿宋_GB2312"/>
          <w:color w:val="auto"/>
          <w:spacing w:val="-11"/>
        </w:rPr>
        <w:t>卫生健康</w:t>
      </w:r>
      <w:r>
        <w:rPr>
          <w:rFonts w:hint="eastAsia" w:ascii="仿宋_GB2312" w:hAnsi="仿宋_GB2312" w:eastAsia="仿宋_GB2312" w:cs="仿宋_GB2312"/>
          <w:color w:val="auto"/>
          <w:spacing w:val="-11"/>
          <w:lang w:eastAsia="zh-CN"/>
        </w:rPr>
        <w:t>局</w:t>
      </w:r>
      <w:r>
        <w:rPr>
          <w:rFonts w:hint="eastAsia" w:ascii="仿宋_GB2312" w:hAnsi="仿宋_GB2312" w:eastAsia="仿宋_GB2312" w:cs="仿宋_GB2312"/>
          <w:color w:val="auto"/>
          <w:spacing w:val="-11"/>
        </w:rPr>
        <w:t>：负责组织协调相关医疗机构、疾病预防控制机构和疫苗接种单位，开展疫苗安全事件患者医疗救治。</w:t>
      </w:r>
    </w:p>
    <w:p w14:paraId="0C18019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教育局：负责协助</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有关部门对发生在学校（含托幼机构）的疫苗安全事件进行调查以及组织应急处置工作。</w:t>
      </w:r>
    </w:p>
    <w:p w14:paraId="116481A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72"/>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区</w:t>
      </w:r>
      <w:r>
        <w:rPr>
          <w:rFonts w:hint="eastAsia" w:ascii="仿宋_GB2312" w:hAnsi="仿宋_GB2312" w:eastAsia="仿宋_GB2312" w:cs="仿宋_GB2312"/>
          <w:b w:val="0"/>
          <w:bCs w:val="0"/>
          <w:color w:val="auto"/>
          <w:sz w:val="32"/>
          <w:szCs w:val="32"/>
        </w:rPr>
        <w:t>教育局：</w:t>
      </w:r>
      <w:r>
        <w:rPr>
          <w:rFonts w:hint="eastAsia" w:ascii="仿宋_GB2312" w:hAnsi="仿宋_GB2312" w:eastAsia="仿宋_GB2312" w:cs="仿宋_GB2312"/>
          <w:color w:val="auto"/>
          <w:sz w:val="32"/>
          <w:szCs w:val="32"/>
        </w:rPr>
        <w:t>负责协助</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有关部门对发生在学校（含托幼机构）</w:t>
      </w:r>
    </w:p>
    <w:p w14:paraId="642C7893">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的疫苗安全事件进行调查以及组织应急处置工作。</w:t>
      </w:r>
    </w:p>
    <w:p w14:paraId="76870BC6">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610" w:firstLine="560" w:firstLineChars="200"/>
        <w:jc w:val="left"/>
        <w:textAlignment w:val="auto"/>
        <w:rPr>
          <w:rFonts w:hint="eastAsia" w:ascii="仿宋_GB2312" w:hAnsi="仿宋_GB2312" w:eastAsia="仿宋_GB2312" w:cs="仿宋_GB2312"/>
          <w:color w:val="auto"/>
          <w:spacing w:val="-12"/>
          <w:w w:val="95"/>
          <w:sz w:val="32"/>
          <w:szCs w:val="32"/>
          <w:lang w:val="en-US" w:eastAsia="zh-CN"/>
        </w:rPr>
      </w:pPr>
      <w:r>
        <w:rPr>
          <w:rFonts w:hint="eastAsia" w:ascii="仿宋_GB2312" w:hAnsi="仿宋_GB2312" w:eastAsia="仿宋_GB2312" w:cs="仿宋_GB2312"/>
          <w:color w:val="auto"/>
          <w:spacing w:val="-12"/>
          <w:w w:val="95"/>
          <w:sz w:val="32"/>
          <w:szCs w:val="32"/>
          <w:lang w:eastAsia="zh-CN"/>
        </w:rPr>
        <w:t>区</w:t>
      </w:r>
      <w:r>
        <w:rPr>
          <w:rFonts w:hint="eastAsia" w:ascii="仿宋_GB2312" w:hAnsi="仿宋_GB2312" w:eastAsia="仿宋_GB2312" w:cs="仿宋_GB2312"/>
          <w:color w:val="auto"/>
          <w:spacing w:val="-12"/>
          <w:w w:val="95"/>
          <w:sz w:val="32"/>
          <w:szCs w:val="32"/>
        </w:rPr>
        <w:t>工业和信息化局：负责组织协调各电信运营企业支持做好应急指挥通信保障工作，保障应急指挥系统通信畅通。</w:t>
      </w:r>
      <w:r>
        <w:rPr>
          <w:rFonts w:hint="eastAsia" w:ascii="仿宋_GB2312" w:hAnsi="仿宋_GB2312" w:eastAsia="仿宋_GB2312" w:cs="仿宋_GB2312"/>
          <w:color w:val="auto"/>
          <w:spacing w:val="-12"/>
          <w:w w:val="95"/>
          <w:sz w:val="32"/>
          <w:szCs w:val="32"/>
          <w:lang w:val="en-US" w:eastAsia="zh-CN"/>
        </w:rPr>
        <w:t xml:space="preserve">          </w:t>
      </w:r>
      <w:r>
        <w:rPr>
          <w:rFonts w:hint="eastAsia" w:ascii="仿宋_GB2312" w:hAnsi="仿宋_GB2312" w:eastAsia="仿宋_GB2312" w:cs="仿宋_GB2312"/>
          <w:color w:val="auto"/>
          <w:spacing w:val="-12"/>
          <w:w w:val="95"/>
          <w:sz w:val="32"/>
          <w:szCs w:val="32"/>
        </w:rPr>
        <w:t xml:space="preserve"> </w:t>
      </w:r>
      <w:r>
        <w:rPr>
          <w:rFonts w:hint="eastAsia" w:ascii="仿宋_GB2312" w:hAnsi="仿宋_GB2312" w:eastAsia="仿宋_GB2312" w:cs="仿宋_GB2312"/>
          <w:color w:val="auto"/>
          <w:spacing w:val="-12"/>
          <w:w w:val="95"/>
          <w:sz w:val="32"/>
          <w:szCs w:val="32"/>
          <w:lang w:val="en-US" w:eastAsia="zh-CN"/>
        </w:rPr>
        <w:t xml:space="preserve">             </w:t>
      </w:r>
    </w:p>
    <w:p w14:paraId="4B89A96C">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61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spacing w:val="-14"/>
          <w:w w:val="95"/>
        </w:rPr>
        <w:t>：负责事发地治安秩序维护工作；做好周边道路交</w:t>
      </w:r>
      <w:r>
        <w:rPr>
          <w:rFonts w:hint="eastAsia" w:ascii="仿宋_GB2312" w:hAnsi="仿宋_GB2312" w:eastAsia="仿宋_GB2312" w:cs="仿宋_GB2312"/>
          <w:color w:val="auto"/>
          <w:spacing w:val="-10"/>
          <w:w w:val="95"/>
        </w:rPr>
        <w:t>通管制，保障应急救援道路畅通和城市公共客运通行；做好涉嫌</w:t>
      </w:r>
      <w:r>
        <w:rPr>
          <w:rFonts w:hint="eastAsia" w:ascii="仿宋_GB2312" w:hAnsi="仿宋_GB2312" w:eastAsia="仿宋_GB2312" w:cs="仿宋_GB2312"/>
          <w:color w:val="auto"/>
          <w:spacing w:val="-10"/>
        </w:rPr>
        <w:t>犯罪案件的侦查工作，依法严厉打击危害疫苗安全犯罪行为。</w:t>
      </w:r>
    </w:p>
    <w:p w14:paraId="3580223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right="708"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2"/>
          <w:lang w:eastAsia="zh-CN"/>
        </w:rPr>
        <w:t>区</w:t>
      </w:r>
      <w:r>
        <w:rPr>
          <w:rFonts w:hint="eastAsia" w:ascii="仿宋_GB2312" w:hAnsi="仿宋_GB2312" w:eastAsia="仿宋_GB2312" w:cs="仿宋_GB2312"/>
          <w:color w:val="auto"/>
          <w:spacing w:val="-12"/>
        </w:rPr>
        <w:t>司法局：协助疫苗安全突发事件调查处置中有关法律规定适用的审查。</w:t>
      </w:r>
    </w:p>
    <w:p w14:paraId="5188A3C3">
      <w:pPr>
        <w:pStyle w:val="3"/>
        <w:keepNext w:val="0"/>
        <w:keepLines w:val="0"/>
        <w:pageBreakBefore w:val="0"/>
        <w:widowControl w:val="0"/>
        <w:kinsoku/>
        <w:wordWrap/>
        <w:overflowPunct/>
        <w:topLinePunct w:val="0"/>
        <w:autoSpaceDE w:val="0"/>
        <w:autoSpaceDN w:val="0"/>
        <w:bidi w:val="0"/>
        <w:adjustRightInd/>
        <w:snapToGrid/>
        <w:spacing w:line="560" w:lineRule="exact"/>
        <w:ind w:left="1018" w:leftChars="339" w:right="542" w:hanging="272" w:hangingChars="110"/>
        <w:textAlignment w:val="auto"/>
        <w:rPr>
          <w:rFonts w:hint="eastAsia" w:ascii="仿宋_GB2312" w:hAnsi="仿宋_GB2312" w:eastAsia="仿宋_GB2312" w:cs="仿宋_GB2312"/>
          <w:color w:val="auto"/>
          <w:spacing w:val="-28"/>
          <w:w w:val="95"/>
          <w:lang w:val="en-US" w:eastAsia="zh-CN"/>
        </w:rPr>
      </w:pPr>
      <w:r>
        <w:rPr>
          <w:rFonts w:hint="eastAsia" w:ascii="仿宋_GB2312" w:hAnsi="仿宋_GB2312" w:eastAsia="仿宋_GB2312" w:cs="仿宋_GB2312"/>
          <w:color w:val="auto"/>
          <w:spacing w:val="-28"/>
          <w:w w:val="95"/>
          <w:lang w:eastAsia="zh-CN"/>
        </w:rPr>
        <w:t>区</w:t>
      </w:r>
      <w:r>
        <w:rPr>
          <w:rFonts w:hint="eastAsia" w:ascii="仿宋_GB2312" w:hAnsi="仿宋_GB2312" w:eastAsia="仿宋_GB2312" w:cs="仿宋_GB2312"/>
          <w:color w:val="auto"/>
          <w:spacing w:val="-28"/>
          <w:w w:val="95"/>
        </w:rPr>
        <w:t xml:space="preserve">财政局：负责疫苗安全事件应急救援、应急处置的资金保障。 </w:t>
      </w:r>
      <w:r>
        <w:rPr>
          <w:rFonts w:hint="eastAsia" w:ascii="仿宋_GB2312" w:hAnsi="仿宋_GB2312" w:eastAsia="仿宋_GB2312" w:cs="仿宋_GB2312"/>
          <w:color w:val="auto"/>
          <w:spacing w:val="-28"/>
          <w:w w:val="95"/>
          <w:lang w:val="en-US" w:eastAsia="zh-CN"/>
        </w:rPr>
        <w:t xml:space="preserve">   </w:t>
      </w:r>
    </w:p>
    <w:p w14:paraId="23C8E78D">
      <w:pPr>
        <w:pStyle w:val="3"/>
        <w:keepNext w:val="0"/>
        <w:keepLines w:val="0"/>
        <w:pageBreakBefore w:val="0"/>
        <w:widowControl w:val="0"/>
        <w:kinsoku/>
        <w:wordWrap/>
        <w:overflowPunct/>
        <w:topLinePunct w:val="0"/>
        <w:autoSpaceDE w:val="0"/>
        <w:autoSpaceDN w:val="0"/>
        <w:bidi w:val="0"/>
        <w:adjustRightInd/>
        <w:snapToGrid/>
        <w:spacing w:line="560" w:lineRule="exact"/>
        <w:ind w:left="131" w:right="708" w:firstLine="640"/>
        <w:jc w:val="both"/>
        <w:textAlignment w:val="auto"/>
      </w:pPr>
      <w:r>
        <w:rPr>
          <w:rFonts w:hint="eastAsia" w:ascii="仿宋_GB2312" w:hAnsi="仿宋_GB2312" w:eastAsia="仿宋_GB2312" w:cs="仿宋_GB2312"/>
          <w:color w:val="auto"/>
          <w:spacing w:val="-28"/>
          <w:sz w:val="32"/>
          <w:szCs w:val="32"/>
          <w:lang w:eastAsia="zh-CN"/>
        </w:rPr>
        <w:t>区</w:t>
      </w:r>
      <w:r>
        <w:rPr>
          <w:rFonts w:hint="eastAsia" w:ascii="仿宋_GB2312" w:hAnsi="仿宋_GB2312" w:eastAsia="仿宋_GB2312" w:cs="仿宋_GB2312"/>
          <w:color w:val="auto"/>
          <w:spacing w:val="-28"/>
          <w:sz w:val="32"/>
          <w:szCs w:val="32"/>
        </w:rPr>
        <w:t xml:space="preserve">外事办：负责疫苗安全突发事件应急处置的涉外事务。 </w:t>
      </w:r>
      <w:r>
        <w:rPr>
          <w:rFonts w:hint="eastAsia" w:ascii="仿宋_GB2312" w:hAnsi="仿宋_GB2312" w:eastAsia="仿宋_GB2312" w:cs="仿宋_GB2312"/>
          <w:color w:val="auto"/>
          <w:spacing w:val="-28"/>
          <w:sz w:val="32"/>
          <w:szCs w:val="32"/>
          <w:lang w:val="en-US" w:eastAsia="zh-CN"/>
        </w:rPr>
        <w:t xml:space="preserve">   </w:t>
      </w:r>
      <w:r>
        <w:rPr>
          <w:rFonts w:hint="eastAsia"/>
          <w:color w:val="FF0000"/>
          <w:spacing w:val="-28"/>
          <w:lang w:val="en-US" w:eastAsia="zh-CN"/>
        </w:rPr>
        <w:t xml:space="preserve">    </w:t>
      </w:r>
    </w:p>
    <w:p w14:paraId="39F44505">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right="610" w:firstLine="640"/>
        <w:jc w:val="left"/>
        <w:textAlignment w:val="auto"/>
        <w:rPr>
          <w:rFonts w:hint="eastAsia" w:ascii="仿宋_GB2312" w:hAnsi="仿宋_GB2312" w:eastAsia="仿宋_GB2312" w:cs="仿宋_GB2312"/>
          <w:color w:val="FF0000"/>
          <w:spacing w:val="-12"/>
          <w:w w:val="95"/>
          <w:lang w:val="en-US" w:eastAsia="zh-CN"/>
        </w:rPr>
      </w:pPr>
      <w:r>
        <w:rPr>
          <w:rFonts w:hint="eastAsia" w:ascii="仿宋_GB2312" w:hAnsi="仿宋_GB2312" w:eastAsia="仿宋_GB2312" w:cs="仿宋_GB2312"/>
          <w:color w:val="auto"/>
          <w:spacing w:val="2"/>
          <w:w w:val="99"/>
        </w:rPr>
        <w:t>事发地</w:t>
      </w:r>
      <w:r>
        <w:rPr>
          <w:rFonts w:hint="eastAsia" w:ascii="仿宋_GB2312" w:hAnsi="仿宋_GB2312" w:eastAsia="仿宋_GB2312" w:cs="仿宋_GB2312"/>
          <w:color w:val="auto"/>
          <w:spacing w:val="2"/>
          <w:w w:val="99"/>
          <w:lang w:eastAsia="zh-CN"/>
        </w:rPr>
        <w:t>镇（街道）人民政府（办事处）</w:t>
      </w:r>
      <w:r>
        <w:rPr>
          <w:rFonts w:hint="eastAsia" w:ascii="仿宋_GB2312" w:hAnsi="仿宋_GB2312" w:eastAsia="仿宋_GB2312" w:cs="仿宋_GB2312"/>
          <w:color w:val="auto"/>
          <w:spacing w:val="1"/>
          <w:w w:val="99"/>
        </w:rPr>
        <w:t>：在</w:t>
      </w:r>
      <w:r>
        <w:rPr>
          <w:rFonts w:hint="eastAsia" w:ascii="仿宋_GB2312" w:hAnsi="仿宋_GB2312" w:eastAsia="仿宋_GB2312" w:cs="仿宋_GB2312"/>
          <w:color w:val="auto"/>
          <w:spacing w:val="1"/>
          <w:w w:val="99"/>
          <w:lang w:eastAsia="zh-CN"/>
        </w:rPr>
        <w:t>区</w:t>
      </w:r>
      <w:r>
        <w:rPr>
          <w:rFonts w:hint="eastAsia" w:ascii="仿宋_GB2312" w:hAnsi="仿宋_GB2312" w:eastAsia="仿宋_GB2312" w:cs="仿宋_GB2312"/>
          <w:color w:val="auto"/>
          <w:spacing w:val="1"/>
          <w:w w:val="99"/>
        </w:rPr>
        <w:t>人民政府的领导下成立相关</w:t>
      </w:r>
      <w:r>
        <w:rPr>
          <w:rFonts w:hint="eastAsia" w:ascii="仿宋_GB2312" w:hAnsi="仿宋_GB2312" w:eastAsia="仿宋_GB2312" w:cs="仿宋_GB2312"/>
          <w:color w:val="auto"/>
          <w:spacing w:val="-12"/>
          <w:w w:val="95"/>
        </w:rPr>
        <w:t>组织领导机构，负责处理辖区内的疫苗安全突发事件的有关工作。</w:t>
      </w:r>
      <w:r>
        <w:rPr>
          <w:rFonts w:hint="eastAsia" w:ascii="仿宋_GB2312" w:hAnsi="仿宋_GB2312" w:eastAsia="仿宋_GB2312" w:cs="仿宋_GB2312"/>
          <w:color w:val="auto"/>
          <w:spacing w:val="-12"/>
          <w:w w:val="95"/>
          <w:lang w:val="en-US" w:eastAsia="zh-CN"/>
        </w:rPr>
        <w:t xml:space="preserve">  </w:t>
      </w:r>
      <w:r>
        <w:rPr>
          <w:rFonts w:hint="eastAsia" w:ascii="仿宋_GB2312" w:hAnsi="仿宋_GB2312" w:eastAsia="仿宋_GB2312" w:cs="仿宋_GB2312"/>
          <w:color w:val="FF0000"/>
          <w:spacing w:val="-12"/>
          <w:w w:val="95"/>
          <w:lang w:val="en-US" w:eastAsia="zh-CN"/>
        </w:rPr>
        <w:t xml:space="preserve">            </w:t>
      </w:r>
    </w:p>
    <w:p w14:paraId="07EF103A">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right="610" w:firstLine="64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w w:val="95"/>
        </w:rPr>
        <w:t>疫苗安全事件处置中发现涉及的违法违规互联网站和应用</w:t>
      </w:r>
      <w:r>
        <w:rPr>
          <w:rFonts w:hint="eastAsia" w:ascii="仿宋_GB2312" w:hAnsi="仿宋_GB2312" w:eastAsia="仿宋_GB2312" w:cs="仿宋_GB2312"/>
          <w:color w:val="auto"/>
          <w:sz w:val="32"/>
          <w:szCs w:val="32"/>
        </w:rPr>
        <w:t>程序由</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应急指挥部通报</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通信管理局调查处置。</w:t>
      </w:r>
    </w:p>
    <w:p w14:paraId="5BC7625E">
      <w:pPr>
        <w:pStyle w:val="7"/>
        <w:keepNext w:val="0"/>
        <w:keepLines w:val="0"/>
        <w:pageBreakBefore w:val="0"/>
        <w:widowControl w:val="0"/>
        <w:numPr>
          <w:ilvl w:val="2"/>
          <w:numId w:val="2"/>
        </w:numPr>
        <w:tabs>
          <w:tab w:val="left" w:pos="1572"/>
        </w:tabs>
        <w:kinsoku/>
        <w:wordWrap/>
        <w:overflowPunct/>
        <w:topLinePunct w:val="0"/>
        <w:autoSpaceDE w:val="0"/>
        <w:autoSpaceDN w:val="0"/>
        <w:bidi w:val="0"/>
        <w:adjustRightInd/>
        <w:snapToGrid/>
        <w:spacing w:before="0" w:after="0" w:line="560" w:lineRule="exact"/>
        <w:ind w:left="1571" w:right="0" w:hanging="801"/>
        <w:jc w:val="left"/>
        <w:textAlignment w:val="auto"/>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lang w:eastAsia="zh-CN"/>
        </w:rPr>
        <w:t>区</w:t>
      </w:r>
      <w:r>
        <w:rPr>
          <w:rFonts w:hint="eastAsia" w:ascii="楷体_GB2312" w:hAnsi="楷体_GB2312" w:eastAsia="楷体_GB2312" w:cs="楷体_GB2312"/>
          <w:color w:val="auto"/>
          <w:sz w:val="32"/>
        </w:rPr>
        <w:t>应急指挥部办公室</w:t>
      </w:r>
    </w:p>
    <w:p w14:paraId="28A987D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1" w:right="712"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8"/>
          <w:lang w:eastAsia="zh-CN"/>
        </w:rPr>
        <w:t>区</w:t>
      </w:r>
      <w:r>
        <w:rPr>
          <w:rFonts w:hint="eastAsia" w:ascii="仿宋_GB2312" w:hAnsi="仿宋_GB2312" w:eastAsia="仿宋_GB2312" w:cs="仿宋_GB2312"/>
          <w:color w:val="auto"/>
          <w:spacing w:val="-8"/>
        </w:rPr>
        <w:t>应急指挥部办公室设在</w:t>
      </w:r>
      <w:r>
        <w:rPr>
          <w:rFonts w:hint="eastAsia" w:ascii="仿宋_GB2312" w:hAnsi="仿宋_GB2312" w:eastAsia="仿宋_GB2312" w:cs="仿宋_GB2312"/>
          <w:color w:val="auto"/>
          <w:spacing w:val="-8"/>
          <w:lang w:eastAsia="zh-CN"/>
        </w:rPr>
        <w:t>区</w:t>
      </w:r>
      <w:r>
        <w:rPr>
          <w:rFonts w:hint="eastAsia" w:ascii="仿宋_GB2312" w:hAnsi="仿宋_GB2312" w:eastAsia="仿宋_GB2312" w:cs="仿宋_GB2312"/>
          <w:color w:val="auto"/>
          <w:spacing w:val="-8"/>
        </w:rPr>
        <w:t>市场监管局，该局主要负责同志</w:t>
      </w:r>
      <w:r>
        <w:rPr>
          <w:rFonts w:hint="eastAsia" w:ascii="仿宋_GB2312" w:hAnsi="仿宋_GB2312" w:eastAsia="仿宋_GB2312" w:cs="仿宋_GB2312"/>
          <w:color w:val="auto"/>
        </w:rPr>
        <w:t>兼任办公室主任。</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rPr>
        <w:t>应急指挥部办公室职责如下：</w:t>
      </w:r>
    </w:p>
    <w:p w14:paraId="03C581AB">
      <w:pPr>
        <w:pStyle w:val="7"/>
        <w:numPr>
          <w:ilvl w:val="0"/>
          <w:numId w:val="3"/>
        </w:numPr>
        <w:tabs>
          <w:tab w:val="left" w:pos="1576"/>
        </w:tabs>
        <w:spacing w:before="3" w:after="0" w:line="333" w:lineRule="auto"/>
        <w:ind w:left="131" w:right="708" w:firstLine="640"/>
        <w:jc w:val="both"/>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承担</w:t>
      </w:r>
      <w:r>
        <w:rPr>
          <w:rFonts w:hint="eastAsia" w:ascii="仿宋_GB2312" w:hAnsi="仿宋_GB2312" w:eastAsia="仿宋_GB2312" w:cs="仿宋_GB2312"/>
          <w:color w:val="auto"/>
          <w:sz w:val="32"/>
          <w:lang w:eastAsia="zh-CN"/>
        </w:rPr>
        <w:t>区</w:t>
      </w:r>
      <w:r>
        <w:rPr>
          <w:rFonts w:hint="eastAsia" w:ascii="仿宋_GB2312" w:hAnsi="仿宋_GB2312" w:eastAsia="仿宋_GB2312" w:cs="仿宋_GB2312"/>
          <w:color w:val="auto"/>
          <w:sz w:val="32"/>
        </w:rPr>
        <w:t>应急指挥部日常工作，组织落实</w:t>
      </w:r>
      <w:r>
        <w:rPr>
          <w:rFonts w:hint="eastAsia" w:ascii="仿宋_GB2312" w:hAnsi="仿宋_GB2312" w:eastAsia="仿宋_GB2312" w:cs="仿宋_GB2312"/>
          <w:color w:val="auto"/>
          <w:sz w:val="32"/>
          <w:lang w:eastAsia="zh-CN"/>
        </w:rPr>
        <w:t>区</w:t>
      </w:r>
      <w:r>
        <w:rPr>
          <w:rFonts w:hint="eastAsia" w:ascii="仿宋_GB2312" w:hAnsi="仿宋_GB2312" w:eastAsia="仿宋_GB2312" w:cs="仿宋_GB2312"/>
          <w:color w:val="auto"/>
          <w:sz w:val="32"/>
        </w:rPr>
        <w:t>应急指挥部</w:t>
      </w:r>
      <w:r>
        <w:rPr>
          <w:rFonts w:hint="eastAsia" w:ascii="仿宋_GB2312" w:hAnsi="仿宋_GB2312" w:eastAsia="仿宋_GB2312" w:cs="仿宋_GB2312"/>
          <w:color w:val="auto"/>
          <w:spacing w:val="-9"/>
          <w:sz w:val="32"/>
        </w:rPr>
        <w:t>的各项工作部署，建立疫苗安全事件应急处置发文、会商、信息发布、专家组管理和工作督查等工作机制；</w:t>
      </w:r>
    </w:p>
    <w:p w14:paraId="2F67D8D3">
      <w:pPr>
        <w:pStyle w:val="7"/>
        <w:numPr>
          <w:ilvl w:val="0"/>
          <w:numId w:val="3"/>
        </w:numPr>
        <w:tabs>
          <w:tab w:val="left" w:pos="1576"/>
        </w:tabs>
        <w:spacing w:before="0" w:after="0" w:line="333" w:lineRule="auto"/>
        <w:ind w:left="131" w:right="708" w:firstLine="640"/>
        <w:jc w:val="left"/>
        <w:rPr>
          <w:sz w:val="20"/>
        </w:rPr>
      </w:pPr>
      <w:r>
        <w:rPr>
          <w:rFonts w:hint="eastAsia" w:ascii="仿宋_GB2312" w:hAnsi="仿宋_GB2312" w:eastAsia="仿宋_GB2312" w:cs="仿宋_GB2312"/>
          <w:color w:val="auto"/>
          <w:sz w:val="32"/>
        </w:rPr>
        <w:t>检查督促相关部门做好各项应急处置</w:t>
      </w:r>
      <w:r>
        <w:rPr>
          <w:rFonts w:hint="eastAsia" w:ascii="仿宋_GB2312" w:hAnsi="仿宋_GB2312" w:eastAsia="仿宋_GB2312" w:cs="仿宋_GB2312"/>
          <w:sz w:val="32"/>
        </w:rPr>
        <w:t>工作，及时有效控制危害，防止事态蔓延扩大；</w:t>
      </w:r>
    </w:p>
    <w:p w14:paraId="3E717CFB">
      <w:pPr>
        <w:pStyle w:val="7"/>
        <w:numPr>
          <w:ilvl w:val="0"/>
          <w:numId w:val="3"/>
        </w:numPr>
        <w:tabs>
          <w:tab w:val="left" w:pos="1572"/>
        </w:tabs>
        <w:spacing w:before="0" w:after="0" w:line="333" w:lineRule="auto"/>
        <w:ind w:left="131" w:right="550" w:firstLine="640"/>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收集汇总分析各相关部门疫苗安全事件应急处置信息，及时向</w:t>
      </w:r>
      <w:r>
        <w:rPr>
          <w:rFonts w:hint="eastAsia" w:ascii="仿宋_GB2312" w:hAnsi="仿宋_GB2312" w:eastAsia="仿宋_GB2312" w:cs="仿宋_GB2312"/>
          <w:color w:val="auto"/>
          <w:sz w:val="32"/>
          <w:lang w:eastAsia="zh-CN"/>
        </w:rPr>
        <w:t>区</w:t>
      </w:r>
      <w:r>
        <w:rPr>
          <w:rFonts w:hint="eastAsia" w:ascii="仿宋_GB2312" w:hAnsi="仿宋_GB2312" w:eastAsia="仿宋_GB2312" w:cs="仿宋_GB2312"/>
          <w:color w:val="auto"/>
          <w:sz w:val="32"/>
        </w:rPr>
        <w:t>应急指挥部报告、通报应急处置工作情况；</w:t>
      </w:r>
    </w:p>
    <w:p w14:paraId="3DEAD8C8">
      <w:pPr>
        <w:pStyle w:val="7"/>
        <w:numPr>
          <w:ilvl w:val="0"/>
          <w:numId w:val="3"/>
        </w:numPr>
        <w:tabs>
          <w:tab w:val="left" w:pos="1576"/>
        </w:tabs>
        <w:spacing w:before="0" w:after="0" w:line="333" w:lineRule="auto"/>
        <w:ind w:left="131" w:right="708" w:firstLine="640"/>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组织协调全</w:t>
      </w:r>
      <w:r>
        <w:rPr>
          <w:rFonts w:hint="eastAsia" w:ascii="仿宋_GB2312" w:hAnsi="仿宋_GB2312" w:eastAsia="仿宋_GB2312" w:cs="仿宋_GB2312"/>
          <w:color w:val="auto"/>
          <w:sz w:val="32"/>
          <w:lang w:eastAsia="zh-CN"/>
        </w:rPr>
        <w:t>区</w:t>
      </w:r>
      <w:r>
        <w:rPr>
          <w:rFonts w:hint="eastAsia" w:ascii="仿宋_GB2312" w:hAnsi="仿宋_GB2312" w:eastAsia="仿宋_GB2312" w:cs="仿宋_GB2312"/>
          <w:color w:val="auto"/>
          <w:sz w:val="32"/>
        </w:rPr>
        <w:t>疫苗安全事件的预防、预警和应急处置工作，组织相关宣传培训；</w:t>
      </w:r>
    </w:p>
    <w:p w14:paraId="0AEEBF2C">
      <w:pPr>
        <w:pStyle w:val="7"/>
        <w:numPr>
          <w:ilvl w:val="0"/>
          <w:numId w:val="3"/>
        </w:numPr>
        <w:tabs>
          <w:tab w:val="left" w:pos="1572"/>
        </w:tabs>
        <w:spacing w:before="0" w:after="0" w:line="240" w:lineRule="auto"/>
        <w:ind w:left="1572" w:right="0" w:hanging="800"/>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组织修订疫苗安全事件应急预案；</w:t>
      </w:r>
    </w:p>
    <w:p w14:paraId="5902F1E1">
      <w:pPr>
        <w:pStyle w:val="7"/>
        <w:numPr>
          <w:ilvl w:val="0"/>
          <w:numId w:val="3"/>
        </w:numPr>
        <w:tabs>
          <w:tab w:val="left" w:pos="1572"/>
        </w:tabs>
        <w:spacing w:before="161" w:after="0" w:line="240" w:lineRule="auto"/>
        <w:ind w:left="1572" w:right="0" w:hanging="800"/>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组织建立和管理疫苗安全事件应急处置专家组；</w:t>
      </w:r>
    </w:p>
    <w:p w14:paraId="17EB860D">
      <w:pPr>
        <w:pStyle w:val="7"/>
        <w:numPr>
          <w:ilvl w:val="0"/>
          <w:numId w:val="3"/>
        </w:numPr>
        <w:tabs>
          <w:tab w:val="left" w:pos="1572"/>
        </w:tabs>
        <w:spacing w:before="159" w:after="0" w:line="240" w:lineRule="auto"/>
        <w:ind w:left="1572" w:right="0" w:hanging="800"/>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完成</w:t>
      </w:r>
      <w:r>
        <w:rPr>
          <w:rFonts w:hint="eastAsia" w:ascii="仿宋_GB2312" w:hAnsi="仿宋_GB2312" w:eastAsia="仿宋_GB2312" w:cs="仿宋_GB2312"/>
          <w:color w:val="auto"/>
          <w:sz w:val="32"/>
          <w:lang w:eastAsia="zh-CN"/>
        </w:rPr>
        <w:t>区</w:t>
      </w:r>
      <w:r>
        <w:rPr>
          <w:rFonts w:hint="eastAsia" w:ascii="仿宋_GB2312" w:hAnsi="仿宋_GB2312" w:eastAsia="仿宋_GB2312" w:cs="仿宋_GB2312"/>
          <w:color w:val="auto"/>
          <w:sz w:val="32"/>
        </w:rPr>
        <w:t>应急指挥部交办的其他任务。</w:t>
      </w:r>
    </w:p>
    <w:p w14:paraId="2FEAE63A">
      <w:pPr>
        <w:pStyle w:val="7"/>
        <w:numPr>
          <w:ilvl w:val="2"/>
          <w:numId w:val="2"/>
        </w:numPr>
        <w:tabs>
          <w:tab w:val="left" w:pos="1572"/>
        </w:tabs>
        <w:spacing w:before="2" w:after="0" w:line="240" w:lineRule="auto"/>
        <w:ind w:left="1571" w:right="0" w:hanging="801"/>
        <w:jc w:val="both"/>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现场指挥机构（工作组）职责和组成</w:t>
      </w:r>
    </w:p>
    <w:p w14:paraId="70CBB05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0" w:right="610" w:firstLine="641"/>
        <w:jc w:val="left"/>
        <w:textAlignment w:val="auto"/>
        <w:rPr>
          <w:rFonts w:hint="eastAsia" w:ascii="仿宋_GB2312" w:hAnsi="仿宋_GB2312" w:eastAsia="仿宋_GB2312" w:cs="仿宋_GB2312"/>
          <w:color w:val="auto"/>
          <w:spacing w:val="-3"/>
          <w:w w:val="95"/>
          <w:lang w:val="en-US" w:eastAsia="zh-CN"/>
        </w:rPr>
      </w:pPr>
      <w:r>
        <w:rPr>
          <w:rFonts w:hint="eastAsia" w:ascii="仿宋_GB2312" w:hAnsi="仿宋_GB2312" w:eastAsia="仿宋_GB2312" w:cs="仿宋_GB2312"/>
          <w:color w:val="auto"/>
          <w:spacing w:val="-8"/>
          <w:w w:val="95"/>
        </w:rPr>
        <w:t>发生一般及以上疫苗安全事件后，</w:t>
      </w:r>
      <w:r>
        <w:rPr>
          <w:rFonts w:hint="eastAsia" w:ascii="仿宋_GB2312" w:hAnsi="仿宋_GB2312" w:eastAsia="仿宋_GB2312" w:cs="仿宋_GB2312"/>
          <w:color w:val="auto"/>
          <w:spacing w:val="-8"/>
          <w:w w:val="95"/>
          <w:lang w:eastAsia="zh-CN"/>
        </w:rPr>
        <w:t>区</w:t>
      </w:r>
      <w:r>
        <w:rPr>
          <w:rFonts w:hint="eastAsia" w:ascii="仿宋_GB2312" w:hAnsi="仿宋_GB2312" w:eastAsia="仿宋_GB2312" w:cs="仿宋_GB2312"/>
          <w:color w:val="auto"/>
          <w:spacing w:val="-8"/>
          <w:w w:val="95"/>
        </w:rPr>
        <w:t>人民政府设立由</w:t>
      </w:r>
      <w:r>
        <w:rPr>
          <w:rFonts w:hint="eastAsia" w:ascii="仿宋_GB2312" w:hAnsi="仿宋_GB2312" w:eastAsia="仿宋_GB2312" w:cs="仿宋_GB2312"/>
          <w:color w:val="auto"/>
          <w:spacing w:val="-8"/>
          <w:w w:val="95"/>
          <w:lang w:eastAsia="zh-CN"/>
        </w:rPr>
        <w:t>区</w:t>
      </w:r>
      <w:r>
        <w:rPr>
          <w:rFonts w:hint="eastAsia" w:ascii="仿宋_GB2312" w:hAnsi="仿宋_GB2312" w:eastAsia="仿宋_GB2312" w:cs="仿宋_GB2312"/>
          <w:color w:val="auto"/>
          <w:spacing w:val="-8"/>
          <w:w w:val="95"/>
        </w:rPr>
        <w:t>药品</w:t>
      </w:r>
      <w:r>
        <w:rPr>
          <w:rFonts w:hint="eastAsia" w:ascii="仿宋_GB2312" w:hAnsi="仿宋_GB2312" w:eastAsia="仿宋_GB2312" w:cs="仿宋_GB2312"/>
          <w:color w:val="auto"/>
          <w:spacing w:val="-14"/>
          <w:w w:val="95"/>
        </w:rPr>
        <w:t>安全委员会主任、副主任及相关部门负责同志组成的</w:t>
      </w:r>
      <w:r>
        <w:rPr>
          <w:rFonts w:hint="eastAsia" w:ascii="仿宋_GB2312" w:hAnsi="仿宋_GB2312" w:eastAsia="仿宋_GB2312" w:cs="仿宋_GB2312"/>
          <w:color w:val="auto"/>
          <w:spacing w:val="-14"/>
          <w:w w:val="95"/>
          <w:lang w:eastAsia="zh-CN"/>
        </w:rPr>
        <w:t>区</w:t>
      </w:r>
      <w:r>
        <w:rPr>
          <w:rFonts w:hint="eastAsia" w:ascii="仿宋_GB2312" w:hAnsi="仿宋_GB2312" w:eastAsia="仿宋_GB2312" w:cs="仿宋_GB2312"/>
          <w:color w:val="auto"/>
          <w:spacing w:val="-14"/>
          <w:w w:val="95"/>
        </w:rPr>
        <w:t>级现场指</w:t>
      </w:r>
      <w:r>
        <w:rPr>
          <w:rFonts w:hint="eastAsia" w:ascii="仿宋_GB2312" w:hAnsi="仿宋_GB2312" w:eastAsia="仿宋_GB2312" w:cs="仿宋_GB2312"/>
          <w:color w:val="auto"/>
          <w:spacing w:val="-13"/>
          <w:w w:val="95"/>
        </w:rPr>
        <w:t>挥机构，统一组织、指挥、协调突发事件现场应急处置工作，事</w:t>
      </w:r>
      <w:r>
        <w:rPr>
          <w:rFonts w:hint="eastAsia" w:ascii="仿宋_GB2312" w:hAnsi="仿宋_GB2312" w:eastAsia="仿宋_GB2312" w:cs="仿宋_GB2312"/>
          <w:color w:val="auto"/>
          <w:spacing w:val="-16"/>
          <w:w w:val="95"/>
        </w:rPr>
        <w:t>发地人民政府</w:t>
      </w:r>
      <w:r>
        <w:rPr>
          <w:rFonts w:hint="eastAsia" w:ascii="仿宋_GB2312" w:hAnsi="仿宋_GB2312" w:eastAsia="仿宋_GB2312" w:cs="仿宋_GB2312"/>
          <w:color w:val="auto"/>
          <w:spacing w:val="-16"/>
          <w:w w:val="95"/>
          <w:lang w:eastAsia="zh-CN"/>
        </w:rPr>
        <w:t>、街道办事处</w:t>
      </w:r>
      <w:r>
        <w:rPr>
          <w:rFonts w:hint="eastAsia" w:ascii="仿宋_GB2312" w:hAnsi="仿宋_GB2312" w:eastAsia="仿宋_GB2312" w:cs="仿宋_GB2312"/>
          <w:color w:val="auto"/>
          <w:w w:val="95"/>
          <w:lang w:eastAsia="zh-CN"/>
        </w:rPr>
        <w:t>、</w:t>
      </w:r>
      <w:r>
        <w:rPr>
          <w:rFonts w:hint="eastAsia" w:ascii="仿宋_GB2312" w:hAnsi="仿宋_GB2312" w:eastAsia="仿宋_GB2312" w:cs="仿宋_GB2312"/>
          <w:color w:val="auto"/>
          <w:w w:val="95"/>
        </w:rPr>
        <w:t>管委</w:t>
      </w:r>
      <w:r>
        <w:rPr>
          <w:rFonts w:hint="eastAsia" w:ascii="仿宋_GB2312" w:hAnsi="仿宋_GB2312" w:eastAsia="仿宋_GB2312" w:cs="仿宋_GB2312"/>
          <w:color w:val="auto"/>
          <w:w w:val="95"/>
          <w:lang w:eastAsia="zh-CN"/>
        </w:rPr>
        <w:t>会</w:t>
      </w:r>
      <w:r>
        <w:rPr>
          <w:rFonts w:hint="eastAsia" w:ascii="仿宋_GB2312" w:hAnsi="仿宋_GB2312" w:eastAsia="仿宋_GB2312" w:cs="仿宋_GB2312"/>
          <w:color w:val="auto"/>
          <w:spacing w:val="-3"/>
          <w:w w:val="95"/>
        </w:rPr>
        <w:t>设立相应的现场指挥机构。</w:t>
      </w:r>
      <w:r>
        <w:rPr>
          <w:rFonts w:hint="eastAsia" w:ascii="仿宋_GB2312" w:hAnsi="仿宋_GB2312" w:eastAsia="仿宋_GB2312" w:cs="仿宋_GB2312"/>
          <w:color w:val="auto"/>
          <w:spacing w:val="-3"/>
          <w:w w:val="95"/>
          <w:lang w:val="en-US" w:eastAsia="zh-CN"/>
        </w:rPr>
        <w:t xml:space="preserve">  </w:t>
      </w:r>
    </w:p>
    <w:p w14:paraId="78C9D09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0" w:right="708" w:firstLine="641"/>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w w:val="95"/>
          <w:sz w:val="32"/>
          <w:szCs w:val="32"/>
        </w:rPr>
        <w:t>现场指挥</w:t>
      </w:r>
      <w:r>
        <w:rPr>
          <w:rFonts w:hint="eastAsia" w:ascii="仿宋_GB2312" w:hAnsi="仿宋_GB2312" w:eastAsia="仿宋_GB2312" w:cs="仿宋_GB2312"/>
          <w:color w:val="auto"/>
          <w:spacing w:val="-7"/>
          <w:sz w:val="32"/>
          <w:szCs w:val="32"/>
        </w:rPr>
        <w:t>机构可根据应急处置需要设立综合协调组、事件调查组、危害控</w:t>
      </w:r>
      <w:r>
        <w:rPr>
          <w:rFonts w:hint="eastAsia" w:ascii="仿宋_GB2312" w:hAnsi="仿宋_GB2312" w:eastAsia="仿宋_GB2312" w:cs="仿宋_GB2312"/>
          <w:color w:val="auto"/>
          <w:spacing w:val="-12"/>
          <w:w w:val="95"/>
          <w:sz w:val="32"/>
          <w:szCs w:val="32"/>
        </w:rPr>
        <w:t>制组、医疗救治组、应急保障组和宣传报道组，并可视情况调整</w:t>
      </w:r>
      <w:r>
        <w:rPr>
          <w:rFonts w:hint="eastAsia" w:ascii="仿宋_GB2312" w:hAnsi="仿宋_GB2312" w:eastAsia="仿宋_GB2312" w:cs="仿宋_GB2312"/>
          <w:color w:val="auto"/>
          <w:spacing w:val="-15"/>
          <w:sz w:val="32"/>
          <w:szCs w:val="32"/>
        </w:rPr>
        <w:t>其设置及人员组成，也可吸收</w:t>
      </w:r>
      <w:r>
        <w:rPr>
          <w:rFonts w:hint="eastAsia" w:ascii="仿宋_GB2312" w:hAnsi="仿宋_GB2312" w:eastAsia="仿宋_GB2312" w:cs="仿宋_GB2312"/>
          <w:color w:val="auto"/>
          <w:spacing w:val="-15"/>
          <w:sz w:val="32"/>
          <w:szCs w:val="32"/>
          <w:lang w:eastAsia="zh-CN"/>
        </w:rPr>
        <w:t>乡镇（街道）</w:t>
      </w:r>
      <w:r>
        <w:rPr>
          <w:rFonts w:hint="eastAsia" w:ascii="仿宋_GB2312" w:hAnsi="仿宋_GB2312" w:eastAsia="仿宋_GB2312" w:cs="仿宋_GB2312"/>
          <w:color w:val="auto"/>
          <w:spacing w:val="-15"/>
          <w:sz w:val="32"/>
          <w:szCs w:val="32"/>
        </w:rPr>
        <w:t>应急指挥部人员和专家、应急处置队伍负责人、事件发生单位负责人等参加。</w:t>
      </w:r>
    </w:p>
    <w:p w14:paraId="030A727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130" w:right="708" w:firstLine="641"/>
        <w:jc w:val="both"/>
        <w:textAlignment w:val="auto"/>
        <w:rPr>
          <w:rFonts w:hint="eastAsia" w:ascii="仿宋_GB2312" w:hAnsi="仿宋_GB2312" w:eastAsia="仿宋_GB2312" w:cs="仿宋_GB2312"/>
          <w:color w:val="auto"/>
          <w:spacing w:val="-3"/>
          <w:w w:val="95"/>
          <w:lang w:val="en-US" w:eastAsia="zh-CN"/>
        </w:rPr>
      </w:pPr>
      <w:r>
        <w:rPr>
          <w:rFonts w:hint="eastAsia" w:ascii="仿宋_GB2312" w:hAnsi="仿宋_GB2312" w:eastAsia="仿宋_GB2312" w:cs="仿宋_GB2312"/>
          <w:color w:val="auto"/>
          <w:spacing w:val="-10"/>
          <w:w w:val="95"/>
        </w:rPr>
        <w:t>综合协调组：由</w:t>
      </w:r>
      <w:r>
        <w:rPr>
          <w:rFonts w:hint="eastAsia" w:ascii="仿宋_GB2312" w:hAnsi="仿宋_GB2312" w:eastAsia="仿宋_GB2312" w:cs="仿宋_GB2312"/>
          <w:color w:val="auto"/>
          <w:spacing w:val="-10"/>
          <w:w w:val="95"/>
          <w:lang w:eastAsia="zh-CN"/>
        </w:rPr>
        <w:t>区</w:t>
      </w:r>
      <w:r>
        <w:rPr>
          <w:rFonts w:hint="eastAsia" w:ascii="仿宋_GB2312" w:hAnsi="仿宋_GB2312" w:eastAsia="仿宋_GB2312" w:cs="仿宋_GB2312"/>
          <w:color w:val="auto"/>
          <w:spacing w:val="-10"/>
          <w:w w:val="95"/>
        </w:rPr>
        <w:t>市场监管局牵头，</w:t>
      </w:r>
      <w:r>
        <w:rPr>
          <w:rFonts w:hint="eastAsia" w:ascii="仿宋_GB2312" w:hAnsi="仿宋_GB2312" w:eastAsia="仿宋_GB2312" w:cs="仿宋_GB2312"/>
          <w:color w:val="auto"/>
          <w:spacing w:val="-10"/>
          <w:w w:val="95"/>
          <w:lang w:eastAsia="zh-CN"/>
        </w:rPr>
        <w:t>区</w:t>
      </w:r>
      <w:r>
        <w:rPr>
          <w:rFonts w:hint="eastAsia" w:ascii="仿宋_GB2312" w:hAnsi="仿宋_GB2312" w:eastAsia="仿宋_GB2312" w:cs="仿宋_GB2312"/>
          <w:color w:val="auto"/>
          <w:spacing w:val="-10"/>
          <w:w w:val="95"/>
        </w:rPr>
        <w:t>卫生健康</w:t>
      </w:r>
      <w:r>
        <w:rPr>
          <w:rFonts w:hint="eastAsia" w:ascii="仿宋_GB2312" w:hAnsi="仿宋_GB2312" w:eastAsia="仿宋_GB2312" w:cs="仿宋_GB2312"/>
          <w:color w:val="auto"/>
          <w:spacing w:val="-10"/>
          <w:w w:val="95"/>
          <w:lang w:eastAsia="zh-CN"/>
        </w:rPr>
        <w:t>局</w:t>
      </w:r>
      <w:r>
        <w:rPr>
          <w:rFonts w:hint="eastAsia" w:ascii="仿宋_GB2312" w:hAnsi="仿宋_GB2312" w:eastAsia="仿宋_GB2312" w:cs="仿宋_GB2312"/>
          <w:color w:val="auto"/>
          <w:spacing w:val="-10"/>
          <w:w w:val="95"/>
        </w:rPr>
        <w:t>、</w:t>
      </w:r>
      <w:r>
        <w:rPr>
          <w:rFonts w:hint="eastAsia" w:ascii="仿宋_GB2312" w:hAnsi="仿宋_GB2312" w:eastAsia="仿宋_GB2312" w:cs="仿宋_GB2312"/>
          <w:color w:val="auto"/>
          <w:spacing w:val="-10"/>
          <w:w w:val="95"/>
          <w:lang w:eastAsia="zh-CN"/>
        </w:rPr>
        <w:t>区</w:t>
      </w:r>
      <w:r>
        <w:rPr>
          <w:rFonts w:hint="eastAsia" w:ascii="仿宋_GB2312" w:hAnsi="仿宋_GB2312" w:eastAsia="仿宋_GB2312" w:cs="仿宋_GB2312"/>
          <w:color w:val="auto"/>
          <w:spacing w:val="-10"/>
          <w:w w:val="95"/>
        </w:rPr>
        <w:t>财政</w:t>
      </w:r>
      <w:r>
        <w:rPr>
          <w:rFonts w:hint="eastAsia" w:ascii="仿宋_GB2312" w:hAnsi="仿宋_GB2312" w:eastAsia="仿宋_GB2312" w:cs="仿宋_GB2312"/>
          <w:color w:val="auto"/>
          <w:spacing w:val="-13"/>
        </w:rPr>
        <w:t>局等部门配合。负责现场指挥机构日常工作；收集、整理、上报</w:t>
      </w:r>
      <w:r>
        <w:rPr>
          <w:rFonts w:hint="eastAsia" w:ascii="仿宋_GB2312" w:hAnsi="仿宋_GB2312" w:eastAsia="仿宋_GB2312" w:cs="仿宋_GB2312"/>
          <w:color w:val="auto"/>
          <w:spacing w:val="-17"/>
        </w:rPr>
        <w:t>疫苗质量安全事件处置信息；组织召开专家组会议；协调提供必</w:t>
      </w:r>
      <w:r>
        <w:rPr>
          <w:rFonts w:hint="eastAsia" w:ascii="仿宋_GB2312" w:hAnsi="仿宋_GB2312" w:eastAsia="仿宋_GB2312" w:cs="仿宋_GB2312"/>
          <w:color w:val="auto"/>
          <w:spacing w:val="-16"/>
        </w:rPr>
        <w:t>要的经费保障；经现场指挥机构授权，发布处置工作动态；承担现场指挥机构交办的其他工作。</w:t>
      </w:r>
    </w:p>
    <w:p w14:paraId="01477C7B">
      <w:pPr>
        <w:pStyle w:val="3"/>
        <w:spacing w:line="333" w:lineRule="auto"/>
        <w:ind w:left="131" w:right="550" w:firstLine="640"/>
        <w:rPr>
          <w:rFonts w:hint="eastAsia" w:ascii="仿宋_GB2312" w:hAnsi="仿宋_GB2312" w:eastAsia="仿宋_GB2312" w:cs="仿宋_GB2312"/>
          <w:color w:val="auto"/>
          <w:spacing w:val="-16"/>
        </w:rPr>
      </w:pPr>
      <w:r>
        <w:rPr>
          <w:rFonts w:hint="eastAsia" w:ascii="仿宋_GB2312" w:hAnsi="仿宋_GB2312" w:eastAsia="仿宋_GB2312" w:cs="仿宋_GB2312"/>
          <w:color w:val="auto"/>
          <w:spacing w:val="-10"/>
        </w:rPr>
        <w:t>事件调查组：由</w:t>
      </w:r>
      <w:r>
        <w:rPr>
          <w:rFonts w:hint="eastAsia" w:ascii="仿宋_GB2312" w:hAnsi="仿宋_GB2312" w:eastAsia="仿宋_GB2312" w:cs="仿宋_GB2312"/>
          <w:color w:val="auto"/>
          <w:spacing w:val="-10"/>
          <w:lang w:eastAsia="zh-CN"/>
        </w:rPr>
        <w:t>区</w:t>
      </w:r>
      <w:r>
        <w:rPr>
          <w:rFonts w:hint="eastAsia" w:ascii="仿宋_GB2312" w:hAnsi="仿宋_GB2312" w:eastAsia="仿宋_GB2312" w:cs="仿宋_GB2312"/>
          <w:color w:val="auto"/>
          <w:spacing w:val="-10"/>
        </w:rPr>
        <w:t>市场监管局牵头，</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spacing w:val="-10"/>
        </w:rPr>
        <w:t>、市卫生健康</w:t>
      </w:r>
      <w:r>
        <w:rPr>
          <w:rFonts w:hint="eastAsia" w:ascii="仿宋_GB2312" w:hAnsi="仿宋_GB2312" w:eastAsia="仿宋_GB2312" w:cs="仿宋_GB2312"/>
          <w:color w:val="auto"/>
          <w:spacing w:val="-12"/>
        </w:rPr>
        <w:t>委、自治区药监局钦州检查分局等部门配合对引发疫苗安全事件</w:t>
      </w:r>
      <w:r>
        <w:rPr>
          <w:rFonts w:hint="eastAsia" w:ascii="仿宋_GB2312" w:hAnsi="仿宋_GB2312" w:eastAsia="仿宋_GB2312" w:cs="仿宋_GB2312"/>
          <w:color w:val="auto"/>
          <w:spacing w:val="-14"/>
        </w:rPr>
        <w:t>的医疗行为、事件发生的原因和质量进行全面调查，提出调查结</w:t>
      </w:r>
      <w:r>
        <w:rPr>
          <w:rFonts w:hint="eastAsia" w:ascii="仿宋_GB2312" w:hAnsi="仿宋_GB2312" w:eastAsia="仿宋_GB2312" w:cs="仿宋_GB2312"/>
          <w:color w:val="auto"/>
          <w:spacing w:val="-15"/>
        </w:rPr>
        <w:t>论和处理意见，组织对相关疫苗进行监督抽样和应急检验；对涉</w:t>
      </w:r>
      <w:r>
        <w:rPr>
          <w:rFonts w:hint="eastAsia" w:ascii="仿宋_GB2312" w:hAnsi="仿宋_GB2312" w:eastAsia="仿宋_GB2312" w:cs="仿宋_GB2312"/>
          <w:color w:val="auto"/>
          <w:spacing w:val="-20"/>
          <w:w w:val="95"/>
        </w:rPr>
        <w:t xml:space="preserve">嫌犯罪的，由市公安局负责督促、指导涉案地公安机关立案侦办， </w:t>
      </w:r>
      <w:r>
        <w:rPr>
          <w:rFonts w:hint="eastAsia" w:ascii="仿宋_GB2312" w:hAnsi="仿宋_GB2312" w:eastAsia="仿宋_GB2312" w:cs="仿宋_GB2312"/>
          <w:color w:val="auto"/>
          <w:spacing w:val="-16"/>
        </w:rPr>
        <w:t>查清事实，依法追究刑事责任。根据实际需要，事件调查组可设置在事发地或派员赴现场开展调查。</w:t>
      </w:r>
    </w:p>
    <w:p w14:paraId="1F1B8A69">
      <w:pPr>
        <w:pStyle w:val="3"/>
        <w:spacing w:before="2" w:line="333" w:lineRule="auto"/>
        <w:ind w:left="131" w:right="593" w:firstLine="640"/>
        <w:rPr>
          <w:rFonts w:hint="eastAsia" w:ascii="仿宋_GB2312" w:hAnsi="仿宋_GB2312" w:eastAsia="仿宋_GB2312" w:cs="仿宋_GB2312"/>
          <w:color w:val="auto"/>
          <w:spacing w:val="-3"/>
          <w:w w:val="95"/>
          <w:lang w:val="en-US" w:eastAsia="zh-CN"/>
        </w:rPr>
      </w:pPr>
      <w:r>
        <w:rPr>
          <w:rFonts w:hint="eastAsia" w:ascii="仿宋_GB2312" w:hAnsi="仿宋_GB2312" w:eastAsia="仿宋_GB2312" w:cs="仿宋_GB2312"/>
          <w:color w:val="auto"/>
        </w:rPr>
        <w:t>危害控制组：由</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rPr>
        <w:t>市场监管局牵头，负责</w:t>
      </w:r>
      <w:r>
        <w:rPr>
          <w:rFonts w:hint="eastAsia" w:ascii="仿宋_GB2312" w:hAnsi="仿宋_GB2312" w:eastAsia="仿宋_GB2312" w:cs="仿宋_GB2312"/>
          <w:color w:val="auto"/>
          <w:lang w:eastAsia="zh-CN"/>
        </w:rPr>
        <w:t>组织</w:t>
      </w:r>
      <w:r>
        <w:rPr>
          <w:rFonts w:hint="eastAsia" w:ascii="仿宋_GB2312" w:hAnsi="仿宋_GB2312" w:eastAsia="仿宋_GB2312" w:cs="仿宋_GB2312"/>
          <w:color w:val="auto"/>
        </w:rPr>
        <w:t>应急队伍，监督、指导事发地人民政府有关部门召回、下架、封存涉事疫苗、原料及相关产品，严格控制流通渠道，防止危害蔓延扩大。</w:t>
      </w:r>
    </w:p>
    <w:p w14:paraId="0A8C0836">
      <w:pPr>
        <w:pStyle w:val="3"/>
        <w:spacing w:line="333" w:lineRule="auto"/>
        <w:ind w:left="131" w:right="708" w:firstLine="640"/>
        <w:jc w:val="both"/>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1"/>
          <w:w w:val="95"/>
          <w:sz w:val="32"/>
          <w:szCs w:val="32"/>
        </w:rPr>
        <w:t>医疗救治组：由</w:t>
      </w:r>
      <w:r>
        <w:rPr>
          <w:rFonts w:hint="eastAsia" w:ascii="仿宋_GB2312" w:hAnsi="仿宋_GB2312" w:eastAsia="仿宋_GB2312" w:cs="仿宋_GB2312"/>
          <w:color w:val="auto"/>
          <w:spacing w:val="-11"/>
          <w:w w:val="95"/>
          <w:sz w:val="32"/>
          <w:szCs w:val="32"/>
          <w:lang w:eastAsia="zh-CN"/>
        </w:rPr>
        <w:t>区</w:t>
      </w:r>
      <w:r>
        <w:rPr>
          <w:rFonts w:hint="eastAsia" w:ascii="仿宋_GB2312" w:hAnsi="仿宋_GB2312" w:eastAsia="仿宋_GB2312" w:cs="仿宋_GB2312"/>
          <w:color w:val="auto"/>
          <w:spacing w:val="-11"/>
          <w:w w:val="95"/>
          <w:sz w:val="32"/>
          <w:szCs w:val="32"/>
        </w:rPr>
        <w:t>卫生健康</w:t>
      </w:r>
      <w:r>
        <w:rPr>
          <w:rFonts w:hint="eastAsia" w:ascii="仿宋_GB2312" w:hAnsi="仿宋_GB2312" w:eastAsia="仿宋_GB2312" w:cs="仿宋_GB2312"/>
          <w:color w:val="auto"/>
          <w:spacing w:val="-11"/>
          <w:w w:val="95"/>
          <w:sz w:val="32"/>
          <w:szCs w:val="32"/>
          <w:lang w:eastAsia="zh-CN"/>
        </w:rPr>
        <w:t>局</w:t>
      </w:r>
      <w:r>
        <w:rPr>
          <w:rFonts w:hint="eastAsia" w:ascii="仿宋_GB2312" w:hAnsi="仿宋_GB2312" w:eastAsia="仿宋_GB2312" w:cs="仿宋_GB2312"/>
          <w:color w:val="auto"/>
          <w:spacing w:val="-11"/>
          <w:w w:val="95"/>
          <w:sz w:val="32"/>
          <w:szCs w:val="32"/>
        </w:rPr>
        <w:t>牵头，负责组织协调相关医疗</w:t>
      </w:r>
      <w:r>
        <w:rPr>
          <w:rFonts w:hint="eastAsia" w:ascii="仿宋_GB2312" w:hAnsi="仿宋_GB2312" w:eastAsia="仿宋_GB2312" w:cs="仿宋_GB2312"/>
          <w:color w:val="auto"/>
          <w:spacing w:val="-13"/>
          <w:sz w:val="32"/>
          <w:szCs w:val="32"/>
        </w:rPr>
        <w:t>机构，调派医疗救治和公共卫生专家，实施疫苗安全事件患者救</w:t>
      </w:r>
      <w:r>
        <w:rPr>
          <w:rFonts w:hint="eastAsia" w:ascii="仿宋_GB2312" w:hAnsi="仿宋_GB2312" w:eastAsia="仿宋_GB2312" w:cs="仿宋_GB2312"/>
          <w:color w:val="auto"/>
          <w:spacing w:val="-12"/>
          <w:sz w:val="32"/>
          <w:szCs w:val="32"/>
        </w:rPr>
        <w:t>治，协助有关部门对事件现场进行卫生处理，组织</w:t>
      </w:r>
      <w:r>
        <w:rPr>
          <w:rFonts w:hint="eastAsia" w:ascii="仿宋_GB2312" w:hAnsi="仿宋_GB2312" w:eastAsia="仿宋_GB2312" w:cs="仿宋_GB2312"/>
          <w:color w:val="auto"/>
          <w:spacing w:val="-12"/>
          <w:sz w:val="32"/>
          <w:szCs w:val="32"/>
          <w:lang w:eastAsia="zh-CN"/>
        </w:rPr>
        <w:t>区</w:t>
      </w:r>
      <w:r>
        <w:rPr>
          <w:rFonts w:hint="eastAsia" w:ascii="仿宋_GB2312" w:hAnsi="仿宋_GB2312" w:eastAsia="仿宋_GB2312" w:cs="仿宋_GB2312"/>
          <w:color w:val="auto"/>
          <w:spacing w:val="-12"/>
          <w:sz w:val="32"/>
          <w:szCs w:val="32"/>
        </w:rPr>
        <w:t>级应急医药储备调拨和保障，加强疫苗使用管理。</w:t>
      </w:r>
    </w:p>
    <w:p w14:paraId="0A782D17">
      <w:pPr>
        <w:pStyle w:val="3"/>
        <w:spacing w:before="54" w:line="333" w:lineRule="auto"/>
        <w:ind w:left="131" w:right="593" w:firstLine="640"/>
        <w:rPr>
          <w:rFonts w:hint="eastAsia" w:ascii="仿宋_GB2312" w:hAnsi="仿宋_GB2312" w:eastAsia="仿宋_GB2312" w:cs="仿宋_GB2312"/>
          <w:strike/>
          <w:dstrike w:val="0"/>
          <w:color w:val="auto"/>
          <w:sz w:val="32"/>
          <w:szCs w:val="32"/>
          <w:lang w:eastAsia="zh-CN"/>
        </w:rPr>
      </w:pPr>
      <w:r>
        <w:rPr>
          <w:rFonts w:hint="eastAsia" w:ascii="仿宋_GB2312" w:hAnsi="仿宋_GB2312" w:eastAsia="仿宋_GB2312" w:cs="仿宋_GB2312"/>
          <w:color w:val="auto"/>
          <w:spacing w:val="-11"/>
          <w:sz w:val="32"/>
          <w:szCs w:val="32"/>
        </w:rPr>
        <w:t>应急保障组：由</w:t>
      </w:r>
      <w:r>
        <w:rPr>
          <w:rFonts w:hint="eastAsia" w:ascii="仿宋_GB2312" w:hAnsi="仿宋_GB2312" w:eastAsia="仿宋_GB2312" w:cs="仿宋_GB2312"/>
          <w:color w:val="auto"/>
          <w:spacing w:val="-11"/>
          <w:sz w:val="32"/>
          <w:szCs w:val="32"/>
          <w:lang w:eastAsia="zh-CN"/>
        </w:rPr>
        <w:t>区</w:t>
      </w:r>
      <w:r>
        <w:rPr>
          <w:rFonts w:hint="eastAsia" w:ascii="仿宋_GB2312" w:hAnsi="仿宋_GB2312" w:eastAsia="仿宋_GB2312" w:cs="仿宋_GB2312"/>
          <w:color w:val="auto"/>
          <w:spacing w:val="-11"/>
          <w:sz w:val="32"/>
          <w:szCs w:val="32"/>
        </w:rPr>
        <w:t>市场监管局、</w:t>
      </w:r>
      <w:r>
        <w:rPr>
          <w:rFonts w:hint="eastAsia" w:ascii="仿宋_GB2312" w:hAnsi="仿宋_GB2312" w:eastAsia="仿宋_GB2312" w:cs="仿宋_GB2312"/>
          <w:color w:val="auto"/>
          <w:spacing w:val="-11"/>
          <w:sz w:val="32"/>
          <w:szCs w:val="32"/>
          <w:lang w:eastAsia="zh-CN"/>
        </w:rPr>
        <w:t>区</w:t>
      </w:r>
      <w:r>
        <w:rPr>
          <w:rFonts w:hint="eastAsia" w:ascii="仿宋_GB2312" w:hAnsi="仿宋_GB2312" w:eastAsia="仿宋_GB2312" w:cs="仿宋_GB2312"/>
          <w:color w:val="auto"/>
          <w:spacing w:val="-11"/>
          <w:sz w:val="32"/>
          <w:szCs w:val="32"/>
        </w:rPr>
        <w:t>财政局等部门牵头，</w:t>
      </w:r>
      <w:r>
        <w:rPr>
          <w:rFonts w:hint="eastAsia" w:ascii="仿宋_GB2312" w:hAnsi="仿宋_GB2312" w:eastAsia="仿宋_GB2312" w:cs="仿宋_GB2312"/>
          <w:color w:val="auto"/>
          <w:sz w:val="32"/>
          <w:szCs w:val="32"/>
          <w:lang w:val="en-US" w:eastAsia="zh-CN"/>
        </w:rPr>
        <w:t>钦州市公安局钦北分局</w:t>
      </w:r>
      <w:r>
        <w:rPr>
          <w:rFonts w:hint="eastAsia" w:ascii="仿宋_GB2312" w:hAnsi="仿宋_GB2312" w:eastAsia="仿宋_GB2312" w:cs="仿宋_GB2312"/>
          <w:color w:val="auto"/>
          <w:spacing w:val="-11"/>
          <w:sz w:val="32"/>
          <w:szCs w:val="32"/>
        </w:rPr>
        <w:t>等部门配合，提供应急救援资金、</w:t>
      </w:r>
      <w:r>
        <w:rPr>
          <w:rFonts w:hint="eastAsia" w:ascii="仿宋_GB2312" w:hAnsi="仿宋_GB2312" w:eastAsia="仿宋_GB2312" w:cs="仿宋_GB2312"/>
          <w:color w:val="auto"/>
          <w:spacing w:val="-15"/>
          <w:sz w:val="32"/>
          <w:szCs w:val="32"/>
        </w:rPr>
        <w:t>征用交通工具；负责协调组织调运应急救援设施，妥善安置受影</w:t>
      </w:r>
      <w:r>
        <w:rPr>
          <w:rFonts w:hint="eastAsia" w:ascii="仿宋_GB2312" w:hAnsi="仿宋_GB2312" w:eastAsia="仿宋_GB2312" w:cs="仿宋_GB2312"/>
          <w:color w:val="auto"/>
          <w:spacing w:val="-14"/>
          <w:sz w:val="32"/>
          <w:szCs w:val="32"/>
        </w:rPr>
        <w:t>响人群；维护应急现场安全和救援秩序，加强治安管理，维护社会稳定</w:t>
      </w:r>
      <w:r>
        <w:rPr>
          <w:rFonts w:hint="eastAsia" w:ascii="仿宋_GB2312" w:hAnsi="仿宋_GB2312" w:eastAsia="仿宋_GB2312" w:cs="仿宋_GB2312"/>
          <w:color w:val="auto"/>
          <w:spacing w:val="-14"/>
          <w:sz w:val="32"/>
          <w:szCs w:val="32"/>
          <w:lang w:eastAsia="zh-CN"/>
        </w:rPr>
        <w:t>。</w:t>
      </w:r>
    </w:p>
    <w:p w14:paraId="1FFCD866">
      <w:pPr>
        <w:pStyle w:val="3"/>
        <w:spacing w:line="333" w:lineRule="auto"/>
        <w:ind w:left="131" w:right="708" w:firstLine="640"/>
        <w:jc w:val="both"/>
        <w:rPr>
          <w:rFonts w:hint="eastAsia" w:ascii="仿宋_GB2312" w:hAnsi="仿宋_GB2312" w:eastAsia="仿宋_GB2312" w:cs="仿宋_GB2312"/>
          <w:color w:val="auto"/>
          <w:spacing w:val="-12"/>
          <w:sz w:val="32"/>
          <w:szCs w:val="32"/>
        </w:rPr>
      </w:pPr>
      <w:r>
        <w:rPr>
          <w:rFonts w:hint="eastAsia" w:ascii="仿宋_GB2312" w:hAnsi="仿宋_GB2312" w:eastAsia="仿宋_GB2312" w:cs="仿宋_GB2312"/>
          <w:color w:val="auto"/>
          <w:spacing w:val="-11"/>
          <w:w w:val="95"/>
        </w:rPr>
        <w:t>宣传报道组：由</w:t>
      </w:r>
      <w:r>
        <w:rPr>
          <w:rFonts w:hint="eastAsia" w:ascii="仿宋_GB2312" w:hAnsi="仿宋_GB2312" w:eastAsia="仿宋_GB2312" w:cs="仿宋_GB2312"/>
          <w:color w:val="auto"/>
          <w:spacing w:val="-11"/>
          <w:w w:val="95"/>
          <w:lang w:eastAsia="zh-CN"/>
        </w:rPr>
        <w:t>区</w:t>
      </w:r>
      <w:r>
        <w:rPr>
          <w:rFonts w:hint="eastAsia" w:ascii="仿宋_GB2312" w:hAnsi="仿宋_GB2312" w:eastAsia="仿宋_GB2312" w:cs="仿宋_GB2312"/>
          <w:color w:val="auto"/>
          <w:spacing w:val="-11"/>
          <w:w w:val="95"/>
        </w:rPr>
        <w:t>委宣传部牵头，</w:t>
      </w:r>
      <w:r>
        <w:rPr>
          <w:rFonts w:hint="eastAsia" w:ascii="仿宋_GB2312" w:hAnsi="仿宋_GB2312" w:eastAsia="仿宋_GB2312" w:cs="仿宋_GB2312"/>
          <w:color w:val="auto"/>
          <w:spacing w:val="-11"/>
          <w:w w:val="95"/>
          <w:lang w:eastAsia="zh-CN"/>
        </w:rPr>
        <w:t>区</w:t>
      </w:r>
      <w:r>
        <w:rPr>
          <w:rFonts w:hint="eastAsia" w:ascii="仿宋_GB2312" w:hAnsi="仿宋_GB2312" w:eastAsia="仿宋_GB2312" w:cs="仿宋_GB2312"/>
          <w:color w:val="auto"/>
          <w:spacing w:val="-11"/>
          <w:w w:val="95"/>
        </w:rPr>
        <w:t>市场监管局、</w:t>
      </w:r>
      <w:r>
        <w:rPr>
          <w:rFonts w:hint="eastAsia" w:ascii="仿宋_GB2312" w:hAnsi="仿宋_GB2312" w:eastAsia="仿宋_GB2312" w:cs="仿宋_GB2312"/>
          <w:color w:val="auto"/>
          <w:spacing w:val="-11"/>
          <w:w w:val="95"/>
          <w:lang w:eastAsia="zh-CN"/>
        </w:rPr>
        <w:t>区</w:t>
      </w:r>
      <w:r>
        <w:rPr>
          <w:rFonts w:hint="eastAsia" w:ascii="仿宋_GB2312" w:hAnsi="仿宋_GB2312" w:eastAsia="仿宋_GB2312" w:cs="仿宋_GB2312"/>
          <w:color w:val="auto"/>
          <w:spacing w:val="-11"/>
          <w:w w:val="95"/>
        </w:rPr>
        <w:t>卫生健</w:t>
      </w:r>
      <w:r>
        <w:rPr>
          <w:rFonts w:hint="eastAsia" w:ascii="仿宋_GB2312" w:hAnsi="仿宋_GB2312" w:eastAsia="仿宋_GB2312" w:cs="仿宋_GB2312"/>
          <w:color w:val="auto"/>
          <w:spacing w:val="-13"/>
        </w:rPr>
        <w:t>康</w:t>
      </w:r>
      <w:r>
        <w:rPr>
          <w:rFonts w:hint="eastAsia" w:ascii="仿宋_GB2312" w:hAnsi="仿宋_GB2312" w:eastAsia="仿宋_GB2312" w:cs="仿宋_GB2312"/>
          <w:color w:val="auto"/>
          <w:spacing w:val="-13"/>
          <w:lang w:eastAsia="zh-CN"/>
        </w:rPr>
        <w:t>局</w:t>
      </w:r>
      <w:r>
        <w:rPr>
          <w:rFonts w:hint="eastAsia" w:ascii="仿宋_GB2312" w:hAnsi="仿宋_GB2312" w:eastAsia="仿宋_GB2312" w:cs="仿宋_GB2312"/>
          <w:color w:val="auto"/>
          <w:spacing w:val="-13"/>
        </w:rPr>
        <w:t>、</w:t>
      </w:r>
      <w:r>
        <w:rPr>
          <w:rFonts w:hint="eastAsia" w:ascii="仿宋_GB2312" w:hAnsi="仿宋_GB2312" w:eastAsia="仿宋_GB2312" w:cs="仿宋_GB2312"/>
          <w:color w:val="auto"/>
          <w:spacing w:val="-13"/>
          <w:lang w:eastAsia="zh-CN"/>
        </w:rPr>
        <w:t>区</w:t>
      </w:r>
      <w:r>
        <w:rPr>
          <w:rFonts w:hint="eastAsia" w:ascii="仿宋_GB2312" w:hAnsi="仿宋_GB2312" w:eastAsia="仿宋_GB2312" w:cs="仿宋_GB2312"/>
          <w:color w:val="auto"/>
          <w:spacing w:val="-13"/>
        </w:rPr>
        <w:t>工业和信息化局等部门配合，根据现场指挥机构发布的</w:t>
      </w:r>
      <w:r>
        <w:rPr>
          <w:rFonts w:hint="eastAsia" w:ascii="仿宋_GB2312" w:hAnsi="仿宋_GB2312" w:eastAsia="仿宋_GB2312" w:cs="仿宋_GB2312"/>
          <w:color w:val="auto"/>
          <w:spacing w:val="6"/>
          <w:w w:val="95"/>
        </w:rPr>
        <w:t>信息，组织协调新闻媒体做好疫苗安全事件应急处置的新闻报</w:t>
      </w:r>
      <w:r>
        <w:rPr>
          <w:rFonts w:hint="eastAsia" w:ascii="仿宋_GB2312" w:hAnsi="仿宋_GB2312" w:eastAsia="仿宋_GB2312" w:cs="仿宋_GB2312"/>
          <w:color w:val="auto"/>
          <w:spacing w:val="6"/>
        </w:rPr>
        <w:t>道，积极引导舆论。</w:t>
      </w:r>
    </w:p>
    <w:p w14:paraId="50898EEA">
      <w:pPr>
        <w:pStyle w:val="7"/>
        <w:numPr>
          <w:ilvl w:val="1"/>
          <w:numId w:val="2"/>
        </w:numPr>
        <w:tabs>
          <w:tab w:val="left" w:pos="1332"/>
        </w:tabs>
        <w:spacing w:before="2" w:after="0" w:line="240" w:lineRule="auto"/>
        <w:ind w:left="1331" w:right="0" w:hanging="561"/>
        <w:jc w:val="both"/>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专家组</w:t>
      </w:r>
    </w:p>
    <w:p w14:paraId="46ABB9EB">
      <w:pPr>
        <w:pStyle w:val="3"/>
        <w:spacing w:before="159" w:line="333" w:lineRule="auto"/>
        <w:ind w:left="131" w:right="7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7"/>
        </w:rPr>
        <w:t>一般及以上级别疫苗安全事件发生后，由</w:t>
      </w:r>
      <w:r>
        <w:rPr>
          <w:rFonts w:hint="eastAsia" w:ascii="仿宋_GB2312" w:hAnsi="仿宋_GB2312" w:eastAsia="仿宋_GB2312" w:cs="仿宋_GB2312"/>
          <w:color w:val="auto"/>
          <w:spacing w:val="-7"/>
          <w:lang w:eastAsia="zh-CN"/>
        </w:rPr>
        <w:t>区</w:t>
      </w:r>
      <w:r>
        <w:rPr>
          <w:rFonts w:hint="eastAsia" w:ascii="仿宋_GB2312" w:hAnsi="仿宋_GB2312" w:eastAsia="仿宋_GB2312" w:cs="仿宋_GB2312"/>
          <w:color w:val="auto"/>
          <w:spacing w:val="-7"/>
        </w:rPr>
        <w:t>市场监管局会同</w:t>
      </w:r>
      <w:r>
        <w:rPr>
          <w:rFonts w:hint="eastAsia" w:ascii="仿宋_GB2312" w:hAnsi="仿宋_GB2312" w:eastAsia="仿宋_GB2312" w:cs="仿宋_GB2312"/>
          <w:color w:val="auto"/>
          <w:spacing w:val="6"/>
          <w:w w:val="95"/>
          <w:lang w:eastAsia="zh-CN"/>
        </w:rPr>
        <w:t>区</w:t>
      </w:r>
      <w:r>
        <w:rPr>
          <w:rFonts w:hint="eastAsia" w:ascii="仿宋_GB2312" w:hAnsi="仿宋_GB2312" w:eastAsia="仿宋_GB2312" w:cs="仿宋_GB2312"/>
          <w:color w:val="auto"/>
          <w:spacing w:val="6"/>
          <w:w w:val="95"/>
        </w:rPr>
        <w:t>卫生健康</w:t>
      </w:r>
      <w:r>
        <w:rPr>
          <w:rFonts w:hint="eastAsia" w:ascii="仿宋_GB2312" w:hAnsi="仿宋_GB2312" w:eastAsia="仿宋_GB2312" w:cs="仿宋_GB2312"/>
          <w:color w:val="auto"/>
          <w:spacing w:val="6"/>
          <w:w w:val="95"/>
          <w:lang w:eastAsia="zh-CN"/>
        </w:rPr>
        <w:t>局</w:t>
      </w:r>
      <w:r>
        <w:rPr>
          <w:rFonts w:hint="eastAsia" w:ascii="仿宋_GB2312" w:hAnsi="仿宋_GB2312" w:eastAsia="仿宋_GB2312" w:cs="仿宋_GB2312"/>
          <w:color w:val="auto"/>
          <w:spacing w:val="6"/>
          <w:w w:val="95"/>
        </w:rPr>
        <w:t>等相关部门遴选相关专家成立</w:t>
      </w:r>
      <w:r>
        <w:rPr>
          <w:rFonts w:hint="eastAsia" w:ascii="仿宋_GB2312" w:hAnsi="仿宋_GB2312" w:eastAsia="仿宋_GB2312" w:cs="仿宋_GB2312"/>
          <w:color w:val="auto"/>
          <w:spacing w:val="6"/>
          <w:w w:val="95"/>
          <w:lang w:eastAsia="zh-CN"/>
        </w:rPr>
        <w:t>区</w:t>
      </w:r>
      <w:r>
        <w:rPr>
          <w:rFonts w:hint="eastAsia" w:ascii="仿宋_GB2312" w:hAnsi="仿宋_GB2312" w:eastAsia="仿宋_GB2312" w:cs="仿宋_GB2312"/>
          <w:color w:val="auto"/>
          <w:spacing w:val="6"/>
          <w:w w:val="95"/>
        </w:rPr>
        <w:t>疫苗安全应急专</w:t>
      </w:r>
      <w:r>
        <w:rPr>
          <w:rFonts w:hint="eastAsia" w:ascii="仿宋_GB2312" w:hAnsi="仿宋_GB2312" w:eastAsia="仿宋_GB2312" w:cs="仿宋_GB2312"/>
          <w:color w:val="auto"/>
          <w:spacing w:val="-11"/>
          <w:w w:val="95"/>
        </w:rPr>
        <w:t>家组。完善相关咨询机制，为一般及以上级别疫苗安全事件应急</w:t>
      </w:r>
      <w:r>
        <w:rPr>
          <w:rFonts w:hint="eastAsia" w:ascii="仿宋_GB2312" w:hAnsi="仿宋_GB2312" w:eastAsia="仿宋_GB2312" w:cs="仿宋_GB2312"/>
          <w:color w:val="auto"/>
          <w:spacing w:val="-11"/>
        </w:rPr>
        <w:t>工作提供技术支持。</w:t>
      </w:r>
    </w:p>
    <w:p w14:paraId="4BF0B2D5">
      <w:pPr>
        <w:pStyle w:val="7"/>
        <w:numPr>
          <w:ilvl w:val="1"/>
          <w:numId w:val="2"/>
        </w:numPr>
        <w:tabs>
          <w:tab w:val="left" w:pos="1332"/>
        </w:tabs>
        <w:spacing w:before="0" w:after="0" w:line="240" w:lineRule="auto"/>
        <w:ind w:left="1331" w:right="0" w:hanging="561"/>
        <w:jc w:val="both"/>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技术支撑机构</w:t>
      </w:r>
    </w:p>
    <w:p w14:paraId="127BEF71">
      <w:pPr>
        <w:pStyle w:val="3"/>
        <w:spacing w:before="159" w:line="333" w:lineRule="auto"/>
        <w:ind w:left="131" w:right="593" w:firstLine="640"/>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rPr>
        <w:t>市场监管局直属单位或受委托单位依职责开展应急抽样、</w:t>
      </w:r>
      <w:r>
        <w:rPr>
          <w:rFonts w:hint="eastAsia" w:ascii="仿宋_GB2312" w:hAnsi="仿宋_GB2312" w:eastAsia="仿宋_GB2312" w:cs="仿宋_GB2312"/>
          <w:color w:val="auto"/>
          <w:spacing w:val="-10"/>
        </w:rPr>
        <w:t>检验检测、数据和信息收集与分析工作。根据授权或委托，组织</w:t>
      </w:r>
      <w:r>
        <w:rPr>
          <w:rFonts w:hint="eastAsia" w:ascii="仿宋_GB2312" w:hAnsi="仿宋_GB2312" w:eastAsia="仿宋_GB2312" w:cs="仿宋_GB2312"/>
          <w:color w:val="auto"/>
          <w:spacing w:val="-15"/>
        </w:rPr>
        <w:t>开展事件的性质、发展趋势、危害影响等评估研判。</w:t>
      </w:r>
      <w:r>
        <w:rPr>
          <w:rFonts w:hint="eastAsia" w:ascii="仿宋_GB2312" w:hAnsi="仿宋_GB2312" w:eastAsia="仿宋_GB2312" w:cs="仿宋_GB2312"/>
          <w:color w:val="auto"/>
          <w:spacing w:val="-15"/>
          <w:lang w:eastAsia="zh-CN"/>
        </w:rPr>
        <w:t>区</w:t>
      </w:r>
      <w:r>
        <w:rPr>
          <w:rFonts w:hint="eastAsia" w:ascii="仿宋_GB2312" w:hAnsi="仿宋_GB2312" w:eastAsia="仿宋_GB2312" w:cs="仿宋_GB2312"/>
          <w:color w:val="auto"/>
          <w:spacing w:val="-15"/>
        </w:rPr>
        <w:t>市场监管局直属单位应指定相关</w:t>
      </w:r>
      <w:r>
        <w:rPr>
          <w:rFonts w:hint="eastAsia" w:ascii="仿宋_GB2312" w:hAnsi="仿宋_GB2312" w:eastAsia="仿宋_GB2312" w:cs="仿宋_GB2312"/>
          <w:color w:val="auto"/>
          <w:spacing w:val="-15"/>
          <w:lang w:eastAsia="zh-CN"/>
        </w:rPr>
        <w:t>股</w:t>
      </w:r>
      <w:r>
        <w:rPr>
          <w:rFonts w:hint="eastAsia" w:ascii="仿宋_GB2312" w:hAnsi="仿宋_GB2312" w:eastAsia="仿宋_GB2312" w:cs="仿宋_GB2312"/>
          <w:color w:val="auto"/>
          <w:spacing w:val="-15"/>
        </w:rPr>
        <w:t>室负责疫苗安全事件应急工作。</w:t>
      </w:r>
    </w:p>
    <w:p w14:paraId="439B2F25">
      <w:pPr>
        <w:pStyle w:val="7"/>
        <w:numPr>
          <w:ilvl w:val="0"/>
          <w:numId w:val="2"/>
        </w:numPr>
        <w:tabs>
          <w:tab w:val="left" w:pos="1251"/>
          <w:tab w:val="left" w:pos="1252"/>
        </w:tabs>
        <w:spacing w:before="3" w:after="0" w:line="240" w:lineRule="auto"/>
        <w:ind w:left="1252" w:right="0" w:hanging="481"/>
        <w:jc w:val="left"/>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监测、预警、报告和评估</w:t>
      </w:r>
    </w:p>
    <w:p w14:paraId="48B4756C">
      <w:pPr>
        <w:pStyle w:val="7"/>
        <w:numPr>
          <w:ilvl w:val="1"/>
          <w:numId w:val="2"/>
        </w:numPr>
        <w:tabs>
          <w:tab w:val="left" w:pos="1332"/>
        </w:tabs>
        <w:spacing w:before="159" w:after="0" w:line="240" w:lineRule="auto"/>
        <w:ind w:left="1331" w:right="0" w:hanging="561"/>
        <w:jc w:val="left"/>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监测</w:t>
      </w:r>
    </w:p>
    <w:p w14:paraId="5C8A48A3">
      <w:pPr>
        <w:pStyle w:val="3"/>
        <w:spacing w:before="158" w:line="333" w:lineRule="auto"/>
        <w:ind w:left="131" w:right="708"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w w:val="95"/>
          <w:sz w:val="32"/>
          <w:szCs w:val="32"/>
        </w:rPr>
        <w:t>疫苗管理部门依职责开展日常疫苗安全监督检查、抽样检 验、风险监测、舆情监测等工作，收集、分析和研判可能导致疫</w:t>
      </w:r>
    </w:p>
    <w:p w14:paraId="0B470ED5">
      <w:pPr>
        <w:pStyle w:val="3"/>
        <w:spacing w:before="54" w:line="333" w:lineRule="auto"/>
        <w:ind w:left="131" w:right="70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w w:val="95"/>
          <w:sz w:val="32"/>
          <w:szCs w:val="32"/>
        </w:rPr>
        <w:t>苗安全事件的风险隐患信息，必要时向有关部门和</w:t>
      </w:r>
      <w:r>
        <w:rPr>
          <w:rFonts w:hint="eastAsia" w:ascii="仿宋_GB2312" w:hAnsi="仿宋_GB2312" w:eastAsia="仿宋_GB2312" w:cs="仿宋_GB2312"/>
          <w:color w:val="auto"/>
          <w:spacing w:val="-7"/>
          <w:w w:val="95"/>
          <w:sz w:val="32"/>
          <w:szCs w:val="32"/>
          <w:lang w:eastAsia="zh-CN"/>
        </w:rPr>
        <w:t>乡镇（街道）</w:t>
      </w:r>
      <w:r>
        <w:rPr>
          <w:rFonts w:hint="eastAsia" w:ascii="仿宋_GB2312" w:hAnsi="仿宋_GB2312" w:eastAsia="仿宋_GB2312" w:cs="仿宋_GB2312"/>
          <w:color w:val="auto"/>
          <w:spacing w:val="-7"/>
          <w:w w:val="95"/>
          <w:sz w:val="32"/>
          <w:szCs w:val="32"/>
        </w:rPr>
        <w:t>通报，有</w:t>
      </w:r>
      <w:r>
        <w:rPr>
          <w:rFonts w:hint="eastAsia" w:ascii="仿宋_GB2312" w:hAnsi="仿宋_GB2312" w:eastAsia="仿宋_GB2312" w:cs="仿宋_GB2312"/>
          <w:color w:val="auto"/>
          <w:spacing w:val="-7"/>
          <w:sz w:val="32"/>
          <w:szCs w:val="32"/>
        </w:rPr>
        <w:t>关监管部门依法采取有效控制措施。</w:t>
      </w:r>
    </w:p>
    <w:p w14:paraId="3C11C529">
      <w:pPr>
        <w:pStyle w:val="3"/>
        <w:spacing w:line="333" w:lineRule="auto"/>
        <w:ind w:left="131" w:right="55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1"/>
          <w:sz w:val="32"/>
          <w:szCs w:val="32"/>
        </w:rPr>
        <w:t>疫苗上市许可持有人、疫苗委托储存配送单位应当依法落实</w:t>
      </w:r>
      <w:r>
        <w:rPr>
          <w:rFonts w:hint="eastAsia" w:ascii="仿宋_GB2312" w:hAnsi="仿宋_GB2312" w:eastAsia="仿宋_GB2312" w:cs="仿宋_GB2312"/>
          <w:color w:val="auto"/>
          <w:spacing w:val="-22"/>
          <w:w w:val="95"/>
          <w:sz w:val="32"/>
          <w:szCs w:val="32"/>
        </w:rPr>
        <w:t>疫苗安全主体责任，建立健全风险监测防控措施，定期开展自查，</w:t>
      </w:r>
      <w:r>
        <w:rPr>
          <w:rFonts w:hint="eastAsia" w:ascii="仿宋_GB2312" w:hAnsi="仿宋_GB2312" w:eastAsia="仿宋_GB2312" w:cs="仿宋_GB2312"/>
          <w:color w:val="auto"/>
          <w:spacing w:val="-22"/>
          <w:sz w:val="32"/>
          <w:szCs w:val="32"/>
        </w:rPr>
        <w:t>认真排查和消除疫苗安全风险隐患。疾病预防控制机构和预防接</w:t>
      </w:r>
      <w:r>
        <w:rPr>
          <w:rFonts w:hint="eastAsia" w:ascii="仿宋_GB2312" w:hAnsi="仿宋_GB2312" w:eastAsia="仿宋_GB2312" w:cs="仿宋_GB2312"/>
          <w:color w:val="auto"/>
          <w:spacing w:val="-21"/>
          <w:sz w:val="32"/>
          <w:szCs w:val="32"/>
        </w:rPr>
        <w:t>种单位加强疫苗接种规范管理，加强接种人员专业培训，提升预</w:t>
      </w:r>
      <w:r>
        <w:rPr>
          <w:rFonts w:hint="eastAsia" w:ascii="仿宋_GB2312" w:hAnsi="仿宋_GB2312" w:eastAsia="仿宋_GB2312" w:cs="仿宋_GB2312"/>
          <w:color w:val="auto"/>
          <w:spacing w:val="-18"/>
          <w:sz w:val="32"/>
          <w:szCs w:val="32"/>
        </w:rPr>
        <w:t>防接种服务水平。出现疫苗安全事件隐患时，要立即报告当地市场监管部门和相关业务监管部门。</w:t>
      </w:r>
    </w:p>
    <w:p w14:paraId="78174081">
      <w:pPr>
        <w:pStyle w:val="7"/>
        <w:numPr>
          <w:ilvl w:val="2"/>
          <w:numId w:val="2"/>
        </w:numPr>
        <w:tabs>
          <w:tab w:val="left" w:pos="1572"/>
        </w:tabs>
        <w:spacing w:before="1" w:after="0" w:line="240" w:lineRule="auto"/>
        <w:ind w:left="1571" w:right="0" w:hanging="801"/>
        <w:jc w:val="left"/>
        <w:rPr>
          <w:rFonts w:hint="eastAsia" w:ascii="楷体_GB2312" w:hAnsi="楷体_GB2312" w:eastAsia="楷体_GB2312" w:cs="楷体_GB2312"/>
          <w:sz w:val="32"/>
        </w:rPr>
      </w:pPr>
      <w:r>
        <w:rPr>
          <w:rFonts w:hint="eastAsia" w:ascii="楷体_GB2312" w:hAnsi="楷体_GB2312" w:eastAsia="楷体_GB2312" w:cs="楷体_GB2312"/>
          <w:sz w:val="32"/>
        </w:rPr>
        <w:t>报告责任主体</w:t>
      </w:r>
    </w:p>
    <w:p w14:paraId="0D5F5CBD">
      <w:pPr>
        <w:pStyle w:val="3"/>
        <w:spacing w:before="161"/>
        <w:ind w:left="772"/>
        <w:rPr>
          <w:rFonts w:hint="eastAsia" w:ascii="仿宋_GB2312" w:hAnsi="仿宋_GB2312" w:eastAsia="仿宋_GB2312" w:cs="仿宋_GB2312"/>
        </w:rPr>
      </w:pPr>
      <w:r>
        <w:t>（</w:t>
      </w:r>
      <w:r>
        <w:rPr>
          <w:rFonts w:hint="eastAsia" w:ascii="仿宋_GB2312" w:hAnsi="仿宋_GB2312" w:eastAsia="仿宋_GB2312" w:cs="仿宋_GB2312"/>
        </w:rPr>
        <w:t>1）发生疫苗安全突发事件的疾病预防控制机构、接种单位；</w:t>
      </w:r>
    </w:p>
    <w:p w14:paraId="6BE88B4E">
      <w:pPr>
        <w:pStyle w:val="3"/>
        <w:spacing w:before="159"/>
        <w:ind w:left="772"/>
        <w:rPr>
          <w:rFonts w:hint="eastAsia" w:ascii="仿宋_GB2312" w:hAnsi="仿宋_GB2312" w:eastAsia="仿宋_GB2312" w:cs="仿宋_GB2312"/>
        </w:rPr>
      </w:pPr>
      <w:r>
        <w:rPr>
          <w:rFonts w:hint="eastAsia" w:ascii="仿宋_GB2312" w:hAnsi="仿宋_GB2312" w:eastAsia="仿宋_GB2312" w:cs="仿宋_GB2312"/>
        </w:rPr>
        <w:t>（2）A</w:t>
      </w:r>
      <w:r>
        <w:rPr>
          <w:rFonts w:hint="eastAsia" w:ascii="仿宋_GB2312" w:hAnsi="仿宋_GB2312" w:eastAsia="仿宋_GB2312" w:cs="仿宋_GB2312"/>
          <w:spacing w:val="-91"/>
        </w:rPr>
        <w:t xml:space="preserve"> </w:t>
      </w:r>
      <w:r>
        <w:rPr>
          <w:rFonts w:hint="eastAsia" w:ascii="仿宋_GB2312" w:hAnsi="仿宋_GB2312" w:eastAsia="仿宋_GB2312" w:cs="仿宋_GB2312"/>
        </w:rPr>
        <w:t>EFI（疑似预防接种异常反应）监测机构；</w:t>
      </w:r>
    </w:p>
    <w:p w14:paraId="50C4A8E7">
      <w:pPr>
        <w:pStyle w:val="7"/>
        <w:numPr>
          <w:ilvl w:val="0"/>
          <w:numId w:val="4"/>
        </w:numPr>
        <w:tabs>
          <w:tab w:val="left" w:pos="1572"/>
        </w:tabs>
        <w:spacing w:before="159"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其他单位和个人。</w:t>
      </w:r>
    </w:p>
    <w:p w14:paraId="4350214B">
      <w:pPr>
        <w:pStyle w:val="7"/>
        <w:numPr>
          <w:ilvl w:val="2"/>
          <w:numId w:val="2"/>
        </w:numPr>
        <w:tabs>
          <w:tab w:val="left" w:pos="1731"/>
          <w:tab w:val="left" w:pos="1732"/>
        </w:tabs>
        <w:spacing w:before="161" w:after="0" w:line="240" w:lineRule="auto"/>
        <w:ind w:left="1732" w:right="0" w:hanging="961"/>
        <w:jc w:val="left"/>
        <w:rPr>
          <w:rFonts w:hint="eastAsia" w:ascii="楷体_GB2312" w:hAnsi="楷体_GB2312" w:eastAsia="楷体_GB2312" w:cs="楷体_GB2312"/>
          <w:sz w:val="32"/>
        </w:rPr>
      </w:pPr>
      <w:r>
        <w:rPr>
          <w:rFonts w:hint="eastAsia" w:ascii="楷体_GB2312" w:hAnsi="楷体_GB2312" w:eastAsia="楷体_GB2312" w:cs="楷体_GB2312"/>
          <w:sz w:val="32"/>
        </w:rPr>
        <w:t>疫苗安全事件信息内容</w:t>
      </w:r>
    </w:p>
    <w:p w14:paraId="493438CF">
      <w:pPr>
        <w:pStyle w:val="7"/>
        <w:numPr>
          <w:ilvl w:val="0"/>
          <w:numId w:val="5"/>
        </w:numPr>
        <w:tabs>
          <w:tab w:val="left" w:pos="1576"/>
        </w:tabs>
        <w:spacing w:before="159" w:after="0" w:line="333" w:lineRule="auto"/>
        <w:ind w:left="131" w:right="708"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发生疑似疫苗预防接种异常反应，经组织调查怀疑与疫苗有关的信息；</w:t>
      </w:r>
    </w:p>
    <w:p w14:paraId="19D50AE5">
      <w:pPr>
        <w:pStyle w:val="7"/>
        <w:numPr>
          <w:ilvl w:val="0"/>
          <w:numId w:val="5"/>
        </w:numPr>
        <w:tabs>
          <w:tab w:val="left" w:pos="1572"/>
        </w:tabs>
        <w:spacing w:before="0"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日常监督检查和风险监测中发现的疫苗安全事件信息；</w:t>
      </w:r>
    </w:p>
    <w:p w14:paraId="5711427F">
      <w:pPr>
        <w:pStyle w:val="7"/>
        <w:numPr>
          <w:ilvl w:val="0"/>
          <w:numId w:val="5"/>
        </w:numPr>
        <w:tabs>
          <w:tab w:val="left" w:pos="1572"/>
        </w:tabs>
        <w:spacing w:before="161"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上级领导对疫苗安全事件作出的批示；</w:t>
      </w:r>
    </w:p>
    <w:p w14:paraId="4AB3B041">
      <w:pPr>
        <w:pStyle w:val="7"/>
        <w:numPr>
          <w:ilvl w:val="0"/>
          <w:numId w:val="5"/>
        </w:numPr>
        <w:tabs>
          <w:tab w:val="left" w:pos="1572"/>
        </w:tabs>
        <w:spacing w:before="159"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w w:val="95"/>
          <w:sz w:val="32"/>
        </w:rPr>
        <w:t>上级部门交办或督办的疫苗安全事件信息；</w:t>
      </w:r>
    </w:p>
    <w:p w14:paraId="12D6DE24">
      <w:pPr>
        <w:pStyle w:val="7"/>
        <w:numPr>
          <w:ilvl w:val="0"/>
          <w:numId w:val="5"/>
        </w:numPr>
        <w:tabs>
          <w:tab w:val="left" w:pos="1572"/>
        </w:tabs>
        <w:spacing w:before="161"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w w:val="95"/>
          <w:sz w:val="32"/>
        </w:rPr>
        <w:t>国内外有关部门通报的疫苗安全事件信息；</w:t>
      </w:r>
    </w:p>
    <w:p w14:paraId="2C588539">
      <w:pPr>
        <w:pStyle w:val="7"/>
        <w:numPr>
          <w:ilvl w:val="0"/>
          <w:numId w:val="5"/>
        </w:numPr>
        <w:tabs>
          <w:tab w:val="left" w:pos="1572"/>
        </w:tabs>
        <w:spacing w:before="159"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群众投诉举报反映的疫苗安全事件信息；</w:t>
      </w:r>
    </w:p>
    <w:p w14:paraId="077AE3A6">
      <w:pPr>
        <w:pStyle w:val="7"/>
        <w:numPr>
          <w:ilvl w:val="0"/>
          <w:numId w:val="5"/>
        </w:numPr>
        <w:tabs>
          <w:tab w:val="left" w:pos="1572"/>
        </w:tabs>
        <w:spacing w:before="161"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属于或可能形成疫苗安全事件的舆情信息；</w:t>
      </w:r>
    </w:p>
    <w:p w14:paraId="426C42A7">
      <w:pPr>
        <w:pStyle w:val="7"/>
        <w:numPr>
          <w:ilvl w:val="0"/>
          <w:numId w:val="5"/>
        </w:numPr>
        <w:tabs>
          <w:tab w:val="left" w:pos="1572"/>
        </w:tabs>
        <w:spacing w:before="159"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其他渠道获取的疫苗安全事件信息。</w:t>
      </w:r>
    </w:p>
    <w:p w14:paraId="74CB2F32">
      <w:pPr>
        <w:pStyle w:val="7"/>
        <w:numPr>
          <w:ilvl w:val="1"/>
          <w:numId w:val="2"/>
        </w:numPr>
        <w:tabs>
          <w:tab w:val="left" w:pos="1332"/>
        </w:tabs>
        <w:spacing w:before="54" w:after="0" w:line="240" w:lineRule="auto"/>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预警</w:t>
      </w:r>
    </w:p>
    <w:p w14:paraId="623A7776">
      <w:pPr>
        <w:pStyle w:val="3"/>
        <w:spacing w:before="159" w:line="333" w:lineRule="auto"/>
        <w:ind w:left="131" w:right="7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6"/>
          <w:w w:val="95"/>
          <w:lang w:eastAsia="zh-CN"/>
        </w:rPr>
        <w:t>区市场监督管理局</w:t>
      </w:r>
      <w:r>
        <w:rPr>
          <w:rFonts w:hint="eastAsia" w:ascii="仿宋_GB2312" w:hAnsi="仿宋_GB2312" w:eastAsia="仿宋_GB2312" w:cs="仿宋_GB2312"/>
          <w:color w:val="auto"/>
          <w:spacing w:val="6"/>
          <w:w w:val="95"/>
        </w:rPr>
        <w:t>及卫生健康等相关部门建立健全疫苗安全风</w:t>
      </w:r>
      <w:r>
        <w:rPr>
          <w:rFonts w:hint="eastAsia" w:ascii="仿宋_GB2312" w:hAnsi="仿宋_GB2312" w:eastAsia="仿宋_GB2312" w:cs="仿宋_GB2312"/>
          <w:color w:val="auto"/>
          <w:spacing w:val="-5"/>
          <w:w w:val="95"/>
        </w:rPr>
        <w:t>险分析评估制度，对可以预警的疫苗安全事件，根据风险分析结</w:t>
      </w:r>
      <w:r>
        <w:rPr>
          <w:rFonts w:hint="eastAsia" w:ascii="仿宋_GB2312" w:hAnsi="仿宋_GB2312" w:eastAsia="仿宋_GB2312" w:cs="仿宋_GB2312"/>
          <w:color w:val="auto"/>
          <w:spacing w:val="-5"/>
        </w:rPr>
        <w:t>果进行预警。</w:t>
      </w:r>
    </w:p>
    <w:p w14:paraId="6B4BA83C">
      <w:pPr>
        <w:pStyle w:val="3"/>
        <w:spacing w:before="1" w:line="333" w:lineRule="auto"/>
        <w:ind w:left="131" w:right="708" w:firstLine="640"/>
        <w:jc w:val="both"/>
        <w:rPr>
          <w:rFonts w:hint="eastAsia" w:ascii="仿宋_GB2312" w:hAnsi="仿宋_GB2312" w:eastAsia="仿宋_GB2312" w:cs="仿宋_GB2312"/>
          <w:sz w:val="32"/>
        </w:rPr>
      </w:pPr>
      <w:r>
        <w:rPr>
          <w:rFonts w:hint="eastAsia" w:ascii="仿宋_GB2312" w:hAnsi="仿宋_GB2312" w:eastAsia="仿宋_GB2312" w:cs="仿宋_GB2312"/>
          <w:color w:val="auto"/>
          <w:spacing w:val="6"/>
          <w:w w:val="95"/>
          <w:lang w:eastAsia="zh-CN"/>
        </w:rPr>
        <w:t>区市场监督管理局</w:t>
      </w:r>
      <w:r>
        <w:rPr>
          <w:rFonts w:hint="eastAsia" w:ascii="仿宋_GB2312" w:hAnsi="仿宋_GB2312" w:eastAsia="仿宋_GB2312" w:cs="仿宋_GB2312"/>
          <w:color w:val="auto"/>
          <w:spacing w:val="6"/>
          <w:w w:val="95"/>
        </w:rPr>
        <w:t>会</w:t>
      </w:r>
      <w:r>
        <w:rPr>
          <w:rFonts w:hint="eastAsia" w:ascii="仿宋_GB2312" w:hAnsi="仿宋_GB2312" w:eastAsia="仿宋_GB2312" w:cs="仿宋_GB2312"/>
          <w:spacing w:val="6"/>
          <w:w w:val="95"/>
        </w:rPr>
        <w:t>同卫生健康等疫苗安全事件应急部门</w:t>
      </w:r>
      <w:r>
        <w:rPr>
          <w:rFonts w:hint="eastAsia" w:ascii="仿宋_GB2312" w:hAnsi="仿宋_GB2312" w:eastAsia="仿宋_GB2312" w:cs="仿宋_GB2312"/>
          <w:spacing w:val="-2"/>
        </w:rPr>
        <w:t>应发挥专家组和技术支撑机构作用，对疫苗安全事件相关危险因</w:t>
      </w:r>
      <w:r>
        <w:rPr>
          <w:rFonts w:hint="eastAsia" w:ascii="仿宋_GB2312" w:hAnsi="仿宋_GB2312" w:eastAsia="仿宋_GB2312" w:cs="仿宋_GB2312"/>
          <w:spacing w:val="-11"/>
        </w:rPr>
        <w:t>素进行分析，对可能危害公众健康的风险因素、风险级别、影响</w:t>
      </w:r>
      <w:r>
        <w:rPr>
          <w:rFonts w:hint="eastAsia" w:ascii="仿宋_GB2312" w:hAnsi="仿宋_GB2312" w:eastAsia="仿宋_GB2312" w:cs="仿宋_GB2312"/>
          <w:spacing w:val="-12"/>
          <w:w w:val="95"/>
        </w:rPr>
        <w:t>范围、紧急程度和可能存在的危害提出分析评估意见。可能发生</w:t>
      </w:r>
      <w:r>
        <w:rPr>
          <w:rFonts w:hint="eastAsia" w:ascii="仿宋_GB2312" w:hAnsi="仿宋_GB2312" w:eastAsia="仿宋_GB2312" w:cs="仿宋_GB2312"/>
          <w:spacing w:val="-17"/>
        </w:rPr>
        <w:t>疫苗安全事件或接收到有关信息，应通过应急指挥部办公室发布</w:t>
      </w:r>
      <w:r>
        <w:rPr>
          <w:rFonts w:hint="eastAsia" w:ascii="仿宋_GB2312" w:hAnsi="仿宋_GB2312" w:eastAsia="仿宋_GB2312" w:cs="仿宋_GB2312"/>
          <w:spacing w:val="-18"/>
        </w:rPr>
        <w:t>疫苗风险预警或指导信息，通知下一级应急部门和可能发生事件</w:t>
      </w:r>
      <w:r>
        <w:rPr>
          <w:rFonts w:hint="eastAsia" w:ascii="仿宋_GB2312" w:hAnsi="仿宋_GB2312" w:eastAsia="仿宋_GB2312" w:cs="仿宋_GB2312"/>
          <w:spacing w:val="-18"/>
          <w:w w:val="95"/>
        </w:rPr>
        <w:t>单位采取针对性防范措施。同时，针对可能发生事件的特点、危</w:t>
      </w:r>
      <w:r>
        <w:rPr>
          <w:rFonts w:hint="eastAsia" w:ascii="仿宋_GB2312" w:hAnsi="仿宋_GB2312" w:eastAsia="仿宋_GB2312" w:cs="仿宋_GB2312"/>
          <w:spacing w:val="6"/>
          <w:w w:val="95"/>
        </w:rPr>
        <w:t>害程度和发展态势，指令应急处置队伍和有关单位进入待命状</w:t>
      </w:r>
      <w:r>
        <w:rPr>
          <w:rFonts w:hint="eastAsia" w:ascii="仿宋_GB2312" w:hAnsi="仿宋_GB2312" w:eastAsia="仿宋_GB2312" w:cs="仿宋_GB2312"/>
          <w:spacing w:val="-11"/>
        </w:rPr>
        <w:t>态，视情况派出工作组进行现场督导，检查预防性处置措施执行情况。</w:t>
      </w:r>
    </w:p>
    <w:p w14:paraId="6120C449">
      <w:pPr>
        <w:pStyle w:val="7"/>
        <w:numPr>
          <w:ilvl w:val="2"/>
          <w:numId w:val="2"/>
        </w:numPr>
        <w:tabs>
          <w:tab w:val="left" w:pos="1572"/>
        </w:tabs>
        <w:spacing w:before="1" w:after="0" w:line="240" w:lineRule="auto"/>
        <w:ind w:left="1571" w:right="0" w:hanging="801"/>
        <w:jc w:val="both"/>
        <w:rPr>
          <w:rFonts w:hint="eastAsia" w:ascii="楷体_GB2312" w:hAnsi="楷体_GB2312" w:eastAsia="楷体_GB2312" w:cs="楷体_GB2312"/>
          <w:sz w:val="32"/>
        </w:rPr>
      </w:pPr>
      <w:r>
        <w:rPr>
          <w:rFonts w:hint="eastAsia" w:ascii="楷体_GB2312" w:hAnsi="楷体_GB2312" w:eastAsia="楷体_GB2312" w:cs="楷体_GB2312"/>
          <w:sz w:val="32"/>
        </w:rPr>
        <w:t>预警分级</w:t>
      </w:r>
    </w:p>
    <w:p w14:paraId="33C47CBF">
      <w:pPr>
        <w:pStyle w:val="3"/>
        <w:spacing w:before="159" w:line="333" w:lineRule="auto"/>
        <w:ind w:left="131" w:right="706" w:firstLine="640"/>
        <w:jc w:val="both"/>
        <w:rPr>
          <w:rFonts w:hint="eastAsia" w:ascii="仿宋_GB2312" w:hAnsi="仿宋_GB2312" w:eastAsia="仿宋_GB2312" w:cs="仿宋_GB2312"/>
        </w:rPr>
      </w:pPr>
      <w:r>
        <w:rPr>
          <w:rFonts w:hint="eastAsia" w:ascii="仿宋_GB2312" w:hAnsi="仿宋_GB2312" w:eastAsia="仿宋_GB2312" w:cs="仿宋_GB2312"/>
          <w:spacing w:val="-9"/>
        </w:rPr>
        <w:t>对可以预警的疫苗安全事件，根据风险评估结果进行分级预</w:t>
      </w:r>
      <w:r>
        <w:rPr>
          <w:rFonts w:hint="eastAsia" w:ascii="仿宋_GB2312" w:hAnsi="仿宋_GB2312" w:eastAsia="仿宋_GB2312" w:cs="仿宋_GB2312"/>
          <w:spacing w:val="-12"/>
        </w:rPr>
        <w:t>警，一般划分为一级、二级、三级、四级。一级、二级预警由国</w:t>
      </w:r>
      <w:r>
        <w:rPr>
          <w:rFonts w:hint="eastAsia" w:ascii="仿宋_GB2312" w:hAnsi="仿宋_GB2312" w:eastAsia="仿宋_GB2312" w:cs="仿宋_GB2312"/>
          <w:spacing w:val="-10"/>
          <w:w w:val="95"/>
        </w:rPr>
        <w:t>家药监局确定发布，三级、四级预警分别由自治区、市人民政府</w:t>
      </w:r>
      <w:r>
        <w:rPr>
          <w:rFonts w:hint="eastAsia" w:ascii="仿宋_GB2312" w:hAnsi="仿宋_GB2312" w:eastAsia="仿宋_GB2312" w:cs="仿宋_GB2312"/>
          <w:spacing w:val="-10"/>
        </w:rPr>
        <w:t>及其相关部门确定发布，并采取相应措施。</w:t>
      </w:r>
    </w:p>
    <w:p w14:paraId="686C2877">
      <w:pPr>
        <w:pStyle w:val="7"/>
        <w:numPr>
          <w:ilvl w:val="2"/>
          <w:numId w:val="2"/>
        </w:numPr>
        <w:tabs>
          <w:tab w:val="left" w:pos="1572"/>
        </w:tabs>
        <w:spacing w:before="3" w:after="0" w:line="240" w:lineRule="auto"/>
        <w:ind w:left="1571" w:right="0" w:hanging="801"/>
        <w:jc w:val="both"/>
        <w:rPr>
          <w:rFonts w:hint="eastAsia" w:ascii="楷体_GB2312" w:hAnsi="楷体_GB2312" w:eastAsia="楷体_GB2312" w:cs="楷体_GB2312"/>
          <w:sz w:val="32"/>
        </w:rPr>
      </w:pPr>
      <w:r>
        <w:rPr>
          <w:rFonts w:hint="eastAsia" w:ascii="楷体_GB2312" w:hAnsi="楷体_GB2312" w:eastAsia="楷体_GB2312" w:cs="楷体_GB2312"/>
          <w:sz w:val="32"/>
        </w:rPr>
        <w:t>预警措施</w:t>
      </w:r>
    </w:p>
    <w:p w14:paraId="4BA05983">
      <w:pPr>
        <w:pStyle w:val="3"/>
        <w:spacing w:before="159" w:line="333" w:lineRule="auto"/>
        <w:ind w:left="131" w:right="708" w:firstLine="640"/>
        <w:rPr>
          <w:rFonts w:hint="eastAsia" w:ascii="仿宋_GB2312" w:hAnsi="仿宋_GB2312" w:eastAsia="仿宋_GB2312" w:cs="仿宋_GB2312"/>
        </w:rPr>
      </w:pPr>
      <w:r>
        <w:rPr>
          <w:rFonts w:hint="eastAsia" w:ascii="仿宋_GB2312" w:hAnsi="仿宋_GB2312" w:eastAsia="仿宋_GB2312" w:cs="仿宋_GB2312"/>
          <w:spacing w:val="-11"/>
          <w:w w:val="95"/>
        </w:rPr>
        <w:t>发布四级预警后，根据可能发生的安全事件情况，及时采取</w:t>
      </w:r>
      <w:r>
        <w:rPr>
          <w:rFonts w:hint="eastAsia" w:ascii="仿宋_GB2312" w:hAnsi="仿宋_GB2312" w:eastAsia="仿宋_GB2312" w:cs="仿宋_GB2312"/>
          <w:spacing w:val="-11"/>
        </w:rPr>
        <w:t>相关措施。</w:t>
      </w:r>
    </w:p>
    <w:p w14:paraId="6ACEDD4B">
      <w:pPr>
        <w:pStyle w:val="7"/>
        <w:numPr>
          <w:ilvl w:val="0"/>
          <w:numId w:val="6"/>
        </w:numPr>
        <w:tabs>
          <w:tab w:val="left" w:pos="1572"/>
        </w:tabs>
        <w:spacing w:before="0"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做好启动应急响应的准备；</w:t>
      </w:r>
    </w:p>
    <w:p w14:paraId="645E242F">
      <w:pPr>
        <w:spacing w:after="0" w:line="240" w:lineRule="auto"/>
        <w:jc w:val="left"/>
        <w:rPr>
          <w:sz w:val="32"/>
        </w:rPr>
        <w:sectPr>
          <w:footerReference r:id="rId7" w:type="default"/>
          <w:footerReference r:id="rId8" w:type="even"/>
          <w:pgSz w:w="11910" w:h="16840"/>
          <w:pgMar w:top="1580" w:right="820" w:bottom="1420" w:left="1400" w:header="0" w:footer="1236" w:gutter="0"/>
          <w:cols w:space="720" w:num="1"/>
        </w:sectPr>
      </w:pPr>
    </w:p>
    <w:p w14:paraId="7502EC38">
      <w:pPr>
        <w:pStyle w:val="3"/>
        <w:spacing w:before="5"/>
        <w:rPr>
          <w:rFonts w:hint="eastAsia" w:ascii="仿宋_GB2312" w:hAnsi="仿宋_GB2312" w:eastAsia="仿宋_GB2312" w:cs="仿宋_GB2312"/>
          <w:color w:val="FF0000"/>
          <w:sz w:val="32"/>
          <w:szCs w:val="32"/>
        </w:rPr>
      </w:pPr>
    </w:p>
    <w:p w14:paraId="465C4580">
      <w:pPr>
        <w:pStyle w:val="3"/>
        <w:keepNext w:val="0"/>
        <w:keepLines w:val="0"/>
        <w:pageBreakBefore w:val="0"/>
        <w:widowControl w:val="0"/>
        <w:kinsoku/>
        <w:wordWrap/>
        <w:overflowPunct/>
        <w:topLinePunct w:val="0"/>
        <w:autoSpaceDE w:val="0"/>
        <w:autoSpaceDN w:val="0"/>
        <w:bidi w:val="0"/>
        <w:adjustRightInd/>
        <w:snapToGrid/>
        <w:spacing w:line="20" w:lineRule="exact"/>
        <w:textAlignment w:val="auto"/>
        <w:rPr>
          <w:sz w:val="20"/>
        </w:rPr>
      </w:pPr>
    </w:p>
    <w:p w14:paraId="76B7DE50">
      <w:pPr>
        <w:pStyle w:val="3"/>
        <w:keepNext w:val="0"/>
        <w:keepLines w:val="0"/>
        <w:pageBreakBefore w:val="0"/>
        <w:widowControl w:val="0"/>
        <w:kinsoku/>
        <w:wordWrap/>
        <w:overflowPunct/>
        <w:topLinePunct w:val="0"/>
        <w:autoSpaceDE w:val="0"/>
        <w:autoSpaceDN w:val="0"/>
        <w:bidi w:val="0"/>
        <w:adjustRightInd/>
        <w:snapToGrid/>
        <w:spacing w:before="0" w:line="20" w:lineRule="exact"/>
        <w:textAlignment w:val="auto"/>
        <w:rPr>
          <w:sz w:val="25"/>
        </w:rPr>
      </w:pPr>
    </w:p>
    <w:p w14:paraId="0787C3F6">
      <w:pPr>
        <w:pStyle w:val="3"/>
        <w:keepNext w:val="0"/>
        <w:keepLines w:val="0"/>
        <w:pageBreakBefore w:val="0"/>
        <w:widowControl w:val="0"/>
        <w:kinsoku/>
        <w:wordWrap/>
        <w:overflowPunct/>
        <w:topLinePunct w:val="0"/>
        <w:autoSpaceDE w:val="0"/>
        <w:autoSpaceDN w:val="0"/>
        <w:bidi w:val="0"/>
        <w:adjustRightInd/>
        <w:snapToGrid/>
        <w:spacing w:before="0" w:line="20" w:lineRule="exact"/>
        <w:textAlignment w:val="auto"/>
        <w:rPr>
          <w:sz w:val="20"/>
        </w:rPr>
      </w:pPr>
    </w:p>
    <w:p w14:paraId="5F127D81">
      <w:pPr>
        <w:pStyle w:val="3"/>
        <w:keepNext w:val="0"/>
        <w:keepLines w:val="0"/>
        <w:pageBreakBefore w:val="0"/>
        <w:widowControl w:val="0"/>
        <w:kinsoku/>
        <w:wordWrap/>
        <w:overflowPunct/>
        <w:topLinePunct w:val="0"/>
        <w:autoSpaceDE w:val="0"/>
        <w:autoSpaceDN w:val="0"/>
        <w:bidi w:val="0"/>
        <w:adjustRightInd/>
        <w:snapToGrid/>
        <w:spacing w:before="0" w:line="20" w:lineRule="exact"/>
        <w:textAlignment w:val="auto"/>
        <w:rPr>
          <w:sz w:val="25"/>
        </w:rPr>
      </w:pPr>
    </w:p>
    <w:p w14:paraId="5CD14C4F">
      <w:pPr>
        <w:pStyle w:val="7"/>
        <w:numPr>
          <w:ilvl w:val="0"/>
          <w:numId w:val="6"/>
        </w:numPr>
        <w:tabs>
          <w:tab w:val="left" w:pos="1576"/>
        </w:tabs>
        <w:spacing w:before="54" w:after="0" w:line="333" w:lineRule="auto"/>
        <w:ind w:left="131" w:right="708"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组织对事件情况的动态监测、分析评估，根据情况调整预警级别；</w:t>
      </w:r>
    </w:p>
    <w:p w14:paraId="0DB7AC51">
      <w:pPr>
        <w:pStyle w:val="7"/>
        <w:numPr>
          <w:ilvl w:val="0"/>
          <w:numId w:val="6"/>
        </w:numPr>
        <w:tabs>
          <w:tab w:val="left" w:pos="1576"/>
        </w:tabs>
        <w:spacing w:before="0" w:after="0" w:line="333" w:lineRule="auto"/>
        <w:ind w:left="131" w:right="708"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及时向社会发布所涉及警示，宣传避免、减少危害的科学常识，公布咨询电话；</w:t>
      </w:r>
    </w:p>
    <w:p w14:paraId="461D850D">
      <w:pPr>
        <w:pStyle w:val="7"/>
        <w:numPr>
          <w:ilvl w:val="0"/>
          <w:numId w:val="6"/>
        </w:numPr>
        <w:tabs>
          <w:tab w:val="left" w:pos="1572"/>
        </w:tabs>
        <w:spacing w:before="0"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及时向外市通报预警信息。</w:t>
      </w:r>
    </w:p>
    <w:p w14:paraId="771BF454">
      <w:pPr>
        <w:pStyle w:val="7"/>
        <w:numPr>
          <w:ilvl w:val="2"/>
          <w:numId w:val="2"/>
        </w:numPr>
        <w:tabs>
          <w:tab w:val="left" w:pos="1572"/>
        </w:tabs>
        <w:spacing w:before="162" w:after="0" w:line="240" w:lineRule="auto"/>
        <w:ind w:left="1571" w:right="0" w:hanging="801"/>
        <w:jc w:val="left"/>
        <w:rPr>
          <w:rFonts w:hint="eastAsia" w:ascii="楷体_GB2312" w:hAnsi="楷体_GB2312" w:eastAsia="楷体_GB2312" w:cs="楷体_GB2312"/>
          <w:sz w:val="32"/>
        </w:rPr>
      </w:pPr>
      <w:r>
        <w:rPr>
          <w:rFonts w:hint="eastAsia" w:ascii="楷体_GB2312" w:hAnsi="楷体_GB2312" w:eastAsia="楷体_GB2312" w:cs="楷体_GB2312"/>
          <w:sz w:val="32"/>
        </w:rPr>
        <w:t>预警级别调整和解除</w:t>
      </w:r>
    </w:p>
    <w:p w14:paraId="2BD7D668">
      <w:pPr>
        <w:pStyle w:val="3"/>
        <w:spacing w:before="158" w:line="333" w:lineRule="auto"/>
        <w:ind w:left="131" w:right="708" w:firstLine="640"/>
        <w:rPr>
          <w:rFonts w:hint="eastAsia" w:ascii="仿宋_GB2312" w:hAnsi="仿宋_GB2312" w:eastAsia="仿宋_GB2312" w:cs="仿宋_GB2312"/>
        </w:rPr>
      </w:pPr>
      <w:r>
        <w:rPr>
          <w:rFonts w:hint="eastAsia" w:ascii="仿宋_GB2312" w:hAnsi="仿宋_GB2312" w:eastAsia="仿宋_GB2312" w:cs="仿宋_GB2312"/>
          <w:spacing w:val="-11"/>
        </w:rPr>
        <w:t>根据评估结果，认为预警可能发生的突发事件的趋势好转或可能性消除，应及时宣布降低或解除预警。</w:t>
      </w:r>
    </w:p>
    <w:p w14:paraId="58571173">
      <w:pPr>
        <w:pStyle w:val="7"/>
        <w:numPr>
          <w:ilvl w:val="1"/>
          <w:numId w:val="2"/>
        </w:numPr>
        <w:tabs>
          <w:tab w:val="left" w:pos="1332"/>
        </w:tabs>
        <w:spacing w:before="1"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事件报告</w:t>
      </w:r>
    </w:p>
    <w:p w14:paraId="68E0ECDA">
      <w:pPr>
        <w:pStyle w:val="7"/>
        <w:numPr>
          <w:ilvl w:val="2"/>
          <w:numId w:val="2"/>
        </w:numPr>
        <w:tabs>
          <w:tab w:val="left" w:pos="1572"/>
        </w:tabs>
        <w:spacing w:before="161" w:after="0" w:line="240" w:lineRule="auto"/>
        <w:ind w:left="1571" w:right="0" w:hanging="801"/>
        <w:jc w:val="left"/>
        <w:rPr>
          <w:rFonts w:hint="eastAsia" w:ascii="仿宋_GB2312" w:hAnsi="仿宋_GB2312" w:eastAsia="仿宋_GB2312" w:cs="仿宋_GB2312"/>
          <w:sz w:val="32"/>
        </w:rPr>
      </w:pPr>
      <w:r>
        <w:rPr>
          <w:rFonts w:hint="eastAsia" w:ascii="仿宋_GB2312" w:hAnsi="仿宋_GB2312" w:eastAsia="仿宋_GB2312" w:cs="仿宋_GB2312"/>
          <w:sz w:val="32"/>
        </w:rPr>
        <w:t>报告程序和时限</w:t>
      </w:r>
    </w:p>
    <w:p w14:paraId="69DFC5CB">
      <w:pPr>
        <w:pStyle w:val="3"/>
        <w:spacing w:before="159" w:line="333" w:lineRule="auto"/>
        <w:ind w:left="131" w:right="708" w:firstLine="640"/>
        <w:rPr>
          <w:rFonts w:hint="eastAsia" w:ascii="仿宋_GB2312" w:hAnsi="仿宋_GB2312" w:eastAsia="仿宋_GB2312" w:cs="仿宋_GB2312"/>
          <w:color w:val="auto"/>
        </w:rPr>
      </w:pPr>
      <w:r>
        <w:rPr>
          <w:rFonts w:hint="eastAsia" w:ascii="仿宋_GB2312" w:hAnsi="仿宋_GB2312" w:eastAsia="仿宋_GB2312" w:cs="仿宋_GB2312"/>
          <w:color w:val="auto"/>
          <w:spacing w:val="-9"/>
        </w:rPr>
        <w:t>按照由下至上逐级报告的原则，各责任主体应及时报告疫苗安全事件，紧急情况可同时越级报告。</w:t>
      </w:r>
    </w:p>
    <w:p w14:paraId="500DB271">
      <w:pPr>
        <w:pStyle w:val="7"/>
        <w:numPr>
          <w:ilvl w:val="0"/>
          <w:numId w:val="7"/>
        </w:numPr>
        <w:tabs>
          <w:tab w:val="left" w:pos="1576"/>
        </w:tabs>
        <w:spacing w:before="0" w:after="0" w:line="333" w:lineRule="auto"/>
        <w:ind w:left="131" w:right="593" w:firstLine="640"/>
        <w:jc w:val="left"/>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rPr>
        <w:t>疾病预防控制机构、接种单位和药品生产配送、储运</w:t>
      </w:r>
      <w:r>
        <w:rPr>
          <w:rFonts w:hint="eastAsia" w:ascii="仿宋_GB2312" w:hAnsi="仿宋_GB2312" w:eastAsia="仿宋_GB2312" w:cs="仿宋_GB2312"/>
          <w:color w:val="auto"/>
          <w:spacing w:val="-12"/>
          <w:sz w:val="32"/>
        </w:rPr>
        <w:t>单位、医疗卫生机构等责任报告单位及其责任报告人发现或获知疫苗安全事件，应当立即如实向所在地</w:t>
      </w:r>
      <w:r>
        <w:rPr>
          <w:rFonts w:hint="eastAsia" w:ascii="仿宋_GB2312" w:hAnsi="仿宋_GB2312" w:eastAsia="仿宋_GB2312" w:cs="仿宋_GB2312"/>
          <w:color w:val="auto"/>
          <w:spacing w:val="-12"/>
          <w:sz w:val="32"/>
          <w:lang w:eastAsia="zh-CN"/>
        </w:rPr>
        <w:t>药品</w:t>
      </w:r>
      <w:r>
        <w:rPr>
          <w:rFonts w:hint="eastAsia" w:ascii="仿宋_GB2312" w:hAnsi="仿宋_GB2312" w:eastAsia="仿宋_GB2312" w:cs="仿宋_GB2312"/>
          <w:color w:val="auto"/>
          <w:spacing w:val="-12"/>
          <w:sz w:val="32"/>
        </w:rPr>
        <w:t>监督管理部门报告。</w:t>
      </w:r>
      <w:r>
        <w:rPr>
          <w:rFonts w:hint="eastAsia" w:ascii="仿宋_GB2312" w:hAnsi="仿宋_GB2312" w:eastAsia="仿宋_GB2312" w:cs="仿宋_GB2312"/>
          <w:color w:val="auto"/>
          <w:spacing w:val="6"/>
          <w:sz w:val="32"/>
          <w:lang w:eastAsia="zh-CN"/>
        </w:rPr>
        <w:t>区药品</w:t>
      </w:r>
      <w:r>
        <w:rPr>
          <w:rFonts w:hint="eastAsia" w:ascii="仿宋_GB2312" w:hAnsi="仿宋_GB2312" w:eastAsia="仿宋_GB2312" w:cs="仿宋_GB2312"/>
          <w:color w:val="auto"/>
          <w:spacing w:val="6"/>
          <w:sz w:val="32"/>
        </w:rPr>
        <w:t>监督管理</w:t>
      </w:r>
      <w:r>
        <w:rPr>
          <w:rFonts w:hint="eastAsia" w:ascii="仿宋_GB2312" w:hAnsi="仿宋_GB2312" w:eastAsia="仿宋_GB2312" w:cs="仿宋_GB2312"/>
          <w:color w:val="auto"/>
          <w:spacing w:val="6"/>
          <w:sz w:val="32"/>
          <w:lang w:eastAsia="zh-CN"/>
        </w:rPr>
        <w:t>部门</w:t>
      </w:r>
      <w:r>
        <w:rPr>
          <w:rFonts w:hint="eastAsia" w:ascii="仿宋_GB2312" w:hAnsi="仿宋_GB2312" w:eastAsia="仿宋_GB2312" w:cs="仿宋_GB2312"/>
          <w:color w:val="auto"/>
          <w:spacing w:val="6"/>
          <w:sz w:val="32"/>
        </w:rPr>
        <w:t>在接到报告后应立即组织有关人</w:t>
      </w:r>
      <w:r>
        <w:rPr>
          <w:rFonts w:hint="eastAsia" w:ascii="仿宋_GB2312" w:hAnsi="仿宋_GB2312" w:eastAsia="仿宋_GB2312" w:cs="仿宋_GB2312"/>
          <w:color w:val="auto"/>
          <w:spacing w:val="-6"/>
          <w:sz w:val="32"/>
        </w:rPr>
        <w:t>员赴现场调查、核实事件情况，研判事件发展趋势，并根据核实</w:t>
      </w:r>
      <w:r>
        <w:rPr>
          <w:rFonts w:hint="eastAsia" w:ascii="仿宋_GB2312" w:hAnsi="仿宋_GB2312" w:eastAsia="仿宋_GB2312" w:cs="仿宋_GB2312"/>
          <w:color w:val="auto"/>
          <w:spacing w:val="-10"/>
          <w:sz w:val="32"/>
        </w:rPr>
        <w:t>情况和评估结果，对评估为一般事件</w:t>
      </w:r>
      <w:r>
        <w:rPr>
          <w:rFonts w:hint="eastAsia" w:ascii="仿宋_GB2312" w:hAnsi="仿宋_GB2312" w:eastAsia="仿宋_GB2312" w:cs="仿宋_GB2312"/>
          <w:color w:val="auto"/>
          <w:sz w:val="32"/>
        </w:rPr>
        <w:t>（Ⅳ级</w:t>
      </w:r>
      <w:r>
        <w:rPr>
          <w:rFonts w:hint="eastAsia" w:ascii="仿宋_GB2312" w:hAnsi="仿宋_GB2312" w:eastAsia="仿宋_GB2312" w:cs="仿宋_GB2312"/>
          <w:color w:val="auto"/>
          <w:spacing w:val="-29"/>
          <w:sz w:val="32"/>
        </w:rPr>
        <w:t>）</w:t>
      </w:r>
      <w:r>
        <w:rPr>
          <w:rFonts w:hint="eastAsia" w:ascii="仿宋_GB2312" w:hAnsi="仿宋_GB2312" w:eastAsia="仿宋_GB2312" w:cs="仿宋_GB2312"/>
          <w:color w:val="auto"/>
          <w:spacing w:val="-5"/>
          <w:sz w:val="32"/>
        </w:rPr>
        <w:t>以上的，向本级人民政府、</w:t>
      </w:r>
      <w:r>
        <w:rPr>
          <w:rFonts w:hint="eastAsia" w:ascii="仿宋_GB2312" w:hAnsi="仿宋_GB2312" w:eastAsia="仿宋_GB2312" w:cs="仿宋_GB2312"/>
          <w:color w:val="auto"/>
          <w:spacing w:val="-5"/>
          <w:sz w:val="32"/>
          <w:lang w:eastAsia="zh-CN"/>
        </w:rPr>
        <w:t>区市场监管部门</w:t>
      </w:r>
      <w:r>
        <w:rPr>
          <w:rFonts w:hint="eastAsia" w:ascii="仿宋_GB2312" w:hAnsi="仿宋_GB2312" w:eastAsia="仿宋_GB2312" w:cs="仿宋_GB2312"/>
          <w:color w:val="auto"/>
          <w:spacing w:val="-5"/>
          <w:sz w:val="32"/>
        </w:rPr>
        <w:t>或卫生健康部门报告。</w:t>
      </w:r>
    </w:p>
    <w:p w14:paraId="1A9F3A76">
      <w:pPr>
        <w:pStyle w:val="7"/>
        <w:numPr>
          <w:ilvl w:val="0"/>
          <w:numId w:val="7"/>
        </w:numPr>
        <w:tabs>
          <w:tab w:val="left" w:pos="1576"/>
        </w:tabs>
        <w:spacing w:before="2" w:after="0" w:line="333" w:lineRule="auto"/>
        <w:ind w:left="131" w:right="708"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疫苗安全事件报至市级后，市级药品监督管理等</w:t>
      </w:r>
      <w:r>
        <w:rPr>
          <w:rFonts w:hint="eastAsia" w:ascii="仿宋_GB2312" w:hAnsi="仿宋_GB2312" w:eastAsia="仿宋_GB2312" w:cs="仿宋_GB2312"/>
          <w:color w:val="auto"/>
          <w:sz w:val="32"/>
          <w:szCs w:val="32"/>
          <w:lang w:val="en-US" w:eastAsia="zh-CN"/>
        </w:rPr>
        <w:t>部门立即如实向市人民政府和自治区药监局报告。</w:t>
      </w:r>
      <w:r>
        <w:rPr>
          <w:rFonts w:hint="eastAsia" w:ascii="仿宋_GB2312" w:hAnsi="仿宋_GB2312" w:eastAsia="仿宋_GB2312" w:cs="仿宋_GB2312"/>
          <w:color w:val="auto"/>
          <w:spacing w:val="-6"/>
          <w:sz w:val="32"/>
          <w:szCs w:val="32"/>
        </w:rPr>
        <w:t>特殊情况需要</w:t>
      </w:r>
      <w:r>
        <w:rPr>
          <w:rFonts w:hint="eastAsia" w:ascii="仿宋_GB2312" w:hAnsi="仿宋_GB2312" w:eastAsia="仿宋_GB2312" w:cs="仿宋_GB2312"/>
          <w:color w:val="auto"/>
          <w:spacing w:val="-18"/>
          <w:sz w:val="32"/>
          <w:szCs w:val="32"/>
        </w:rPr>
        <w:t>对事件进行进一步核实的，</w:t>
      </w:r>
      <w:r>
        <w:rPr>
          <w:rFonts w:hint="eastAsia" w:ascii="仿宋_GB2312" w:hAnsi="仿宋_GB2312" w:eastAsia="仿宋_GB2312" w:cs="仿宋_GB2312"/>
          <w:color w:val="auto"/>
          <w:spacing w:val="-18"/>
          <w:sz w:val="32"/>
          <w:szCs w:val="32"/>
          <w:lang w:eastAsia="zh-CN"/>
        </w:rPr>
        <w:t>区级部门应当配合市级相关部门在接到</w:t>
      </w:r>
      <w:r>
        <w:rPr>
          <w:rFonts w:hint="eastAsia" w:ascii="仿宋_GB2312" w:hAnsi="仿宋_GB2312" w:eastAsia="仿宋_GB2312" w:cs="仿宋_GB2312"/>
          <w:color w:val="auto"/>
          <w:spacing w:val="-18"/>
          <w:sz w:val="32"/>
          <w:szCs w:val="32"/>
        </w:rPr>
        <w:t xml:space="preserve">事件报告后 </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15"/>
          <w:sz w:val="32"/>
          <w:szCs w:val="32"/>
        </w:rPr>
        <w:t xml:space="preserve"> 小时内报至</w:t>
      </w:r>
      <w:r>
        <w:rPr>
          <w:rFonts w:hint="eastAsia" w:ascii="仿宋_GB2312" w:hAnsi="仿宋_GB2312" w:eastAsia="仿宋_GB2312" w:cs="仿宋_GB2312"/>
          <w:color w:val="auto"/>
          <w:spacing w:val="-15"/>
          <w:sz w:val="32"/>
          <w:szCs w:val="32"/>
          <w:lang w:eastAsia="zh-CN"/>
        </w:rPr>
        <w:t>市人</w:t>
      </w:r>
      <w:r>
        <w:rPr>
          <w:rFonts w:hint="eastAsia" w:ascii="仿宋_GB2312" w:hAnsi="仿宋_GB2312" w:eastAsia="仿宋_GB2312" w:cs="仿宋_GB2312"/>
          <w:color w:val="auto"/>
          <w:spacing w:val="-15"/>
          <w:sz w:val="32"/>
          <w:szCs w:val="32"/>
        </w:rPr>
        <w:t>民政府和</w:t>
      </w:r>
      <w:r>
        <w:rPr>
          <w:rFonts w:hint="eastAsia" w:ascii="仿宋_GB2312" w:hAnsi="仿宋_GB2312" w:eastAsia="仿宋_GB2312" w:cs="仿宋_GB2312"/>
          <w:color w:val="auto"/>
          <w:spacing w:val="-15"/>
          <w:sz w:val="32"/>
          <w:szCs w:val="32"/>
          <w:lang w:eastAsia="zh-CN"/>
        </w:rPr>
        <w:t>自治区药监局</w:t>
      </w:r>
      <w:r>
        <w:rPr>
          <w:rFonts w:hint="eastAsia" w:ascii="仿宋_GB2312" w:hAnsi="仿宋_GB2312" w:eastAsia="仿宋_GB2312" w:cs="仿宋_GB2312"/>
          <w:color w:val="auto"/>
          <w:spacing w:val="-15"/>
          <w:sz w:val="32"/>
          <w:szCs w:val="32"/>
        </w:rPr>
        <w:t>。</w:t>
      </w:r>
    </w:p>
    <w:p w14:paraId="1A61B99A">
      <w:pPr>
        <w:spacing w:after="0" w:line="333" w:lineRule="auto"/>
        <w:jc w:val="both"/>
        <w:rPr>
          <w:rFonts w:hint="eastAsia" w:ascii="仿宋_GB2312" w:hAnsi="仿宋_GB2312" w:eastAsia="仿宋_GB2312" w:cs="仿宋_GB2312"/>
          <w:color w:val="auto"/>
          <w:sz w:val="32"/>
          <w:szCs w:val="32"/>
        </w:rPr>
        <w:sectPr>
          <w:footerReference r:id="rId9" w:type="default"/>
          <w:footerReference r:id="rId10" w:type="even"/>
          <w:pgSz w:w="11910" w:h="16840"/>
          <w:pgMar w:top="1580" w:right="820" w:bottom="1420" w:left="1400" w:header="0" w:footer="1236" w:gutter="0"/>
          <w:cols w:space="720" w:num="1"/>
        </w:sectPr>
      </w:pPr>
    </w:p>
    <w:p w14:paraId="33535CE9">
      <w:pPr>
        <w:pStyle w:val="3"/>
        <w:rPr>
          <w:sz w:val="20"/>
        </w:rPr>
      </w:pPr>
    </w:p>
    <w:p w14:paraId="1F079F89">
      <w:pPr>
        <w:pStyle w:val="7"/>
        <w:numPr>
          <w:ilvl w:val="0"/>
          <w:numId w:val="7"/>
        </w:numPr>
        <w:tabs>
          <w:tab w:val="left" w:pos="1576"/>
        </w:tabs>
        <w:spacing w:before="0" w:after="0" w:line="333" w:lineRule="auto"/>
        <w:ind w:left="131" w:right="708" w:firstLine="640"/>
        <w:jc w:val="both"/>
        <w:rPr>
          <w:color w:val="auto"/>
          <w:sz w:val="32"/>
        </w:rPr>
      </w:pPr>
      <w:r>
        <w:rPr>
          <w:rFonts w:hint="eastAsia" w:ascii="仿宋_GB2312" w:hAnsi="仿宋_GB2312" w:eastAsia="仿宋_GB2312" w:cs="仿宋_GB2312"/>
          <w:color w:val="auto"/>
          <w:sz w:val="32"/>
        </w:rPr>
        <w:t xml:space="preserve">特殊情况下，对可能造成重大社会影响的安全事件， </w:t>
      </w:r>
      <w:r>
        <w:rPr>
          <w:rFonts w:hint="eastAsia" w:ascii="仿宋_GB2312" w:hAnsi="仿宋_GB2312" w:eastAsia="仿宋_GB2312" w:cs="仿宋_GB2312"/>
          <w:color w:val="auto"/>
          <w:spacing w:val="-7"/>
          <w:w w:val="95"/>
          <w:sz w:val="32"/>
        </w:rPr>
        <w:t>疾病预防控制机构及药品生产配送、储运单位、医疗卫生机构可</w:t>
      </w:r>
      <w:r>
        <w:rPr>
          <w:rFonts w:hint="eastAsia" w:ascii="仿宋_GB2312" w:hAnsi="仿宋_GB2312" w:eastAsia="仿宋_GB2312" w:cs="仿宋_GB2312"/>
          <w:color w:val="auto"/>
          <w:spacing w:val="-7"/>
          <w:sz w:val="32"/>
        </w:rPr>
        <w:t>直接向</w:t>
      </w:r>
      <w:r>
        <w:rPr>
          <w:rFonts w:hint="eastAsia" w:ascii="仿宋_GB2312" w:hAnsi="仿宋_GB2312" w:eastAsia="仿宋_GB2312" w:cs="仿宋_GB2312"/>
          <w:color w:val="auto"/>
          <w:spacing w:val="-7"/>
          <w:sz w:val="32"/>
          <w:lang w:eastAsia="zh-CN"/>
        </w:rPr>
        <w:t>市</w:t>
      </w:r>
      <w:r>
        <w:rPr>
          <w:rFonts w:hint="eastAsia" w:ascii="仿宋_GB2312" w:hAnsi="仿宋_GB2312" w:eastAsia="仿宋_GB2312" w:cs="仿宋_GB2312"/>
          <w:color w:val="auto"/>
          <w:spacing w:val="-7"/>
          <w:sz w:val="32"/>
        </w:rPr>
        <w:t>人民政府、</w:t>
      </w:r>
      <w:r>
        <w:rPr>
          <w:rFonts w:hint="eastAsia" w:ascii="仿宋_GB2312" w:hAnsi="仿宋_GB2312" w:eastAsia="仿宋_GB2312" w:cs="仿宋_GB2312"/>
          <w:color w:val="auto"/>
          <w:spacing w:val="-7"/>
          <w:sz w:val="32"/>
          <w:lang w:eastAsia="zh-CN"/>
        </w:rPr>
        <w:t>自治区药监局</w:t>
      </w:r>
      <w:r>
        <w:rPr>
          <w:rFonts w:hint="eastAsia" w:ascii="仿宋_GB2312" w:hAnsi="仿宋_GB2312" w:eastAsia="仿宋_GB2312" w:cs="仿宋_GB2312"/>
          <w:color w:val="auto"/>
          <w:spacing w:val="-7"/>
          <w:sz w:val="32"/>
        </w:rPr>
        <w:t>直至</w:t>
      </w:r>
      <w:r>
        <w:rPr>
          <w:rFonts w:hint="eastAsia" w:ascii="仿宋_GB2312" w:hAnsi="仿宋_GB2312" w:eastAsia="仿宋_GB2312" w:cs="仿宋_GB2312"/>
          <w:color w:val="auto"/>
          <w:spacing w:val="-7"/>
          <w:sz w:val="32"/>
          <w:lang w:eastAsia="zh-CN"/>
        </w:rPr>
        <w:t>自治区</w:t>
      </w:r>
      <w:r>
        <w:rPr>
          <w:rFonts w:hint="eastAsia" w:ascii="仿宋_GB2312" w:hAnsi="仿宋_GB2312" w:eastAsia="仿宋_GB2312" w:cs="仿宋_GB2312"/>
          <w:color w:val="auto"/>
          <w:spacing w:val="-7"/>
          <w:sz w:val="32"/>
        </w:rPr>
        <w:t>人民政府报告。</w:t>
      </w:r>
    </w:p>
    <w:p w14:paraId="41EB2A8E">
      <w:pPr>
        <w:pStyle w:val="7"/>
        <w:numPr>
          <w:ilvl w:val="2"/>
          <w:numId w:val="2"/>
        </w:numPr>
        <w:tabs>
          <w:tab w:val="left" w:pos="1572"/>
        </w:tabs>
        <w:spacing w:before="2" w:after="0" w:line="240" w:lineRule="auto"/>
        <w:ind w:left="1571" w:right="0" w:hanging="801"/>
        <w:jc w:val="both"/>
        <w:rPr>
          <w:rFonts w:hint="eastAsia" w:ascii="楷体_GB2312" w:hAnsi="楷体_GB2312" w:eastAsia="楷体_GB2312" w:cs="楷体_GB2312"/>
          <w:sz w:val="32"/>
        </w:rPr>
      </w:pPr>
      <w:r>
        <w:rPr>
          <w:rFonts w:hint="eastAsia" w:ascii="楷体_GB2312" w:hAnsi="楷体_GB2312" w:eastAsia="楷体_GB2312" w:cs="楷体_GB2312"/>
          <w:sz w:val="32"/>
        </w:rPr>
        <w:t>报告内容</w:t>
      </w:r>
    </w:p>
    <w:p w14:paraId="2C9018A1">
      <w:pPr>
        <w:pStyle w:val="3"/>
        <w:spacing w:before="159" w:line="333" w:lineRule="auto"/>
        <w:ind w:left="131" w:right="708" w:firstLine="640"/>
        <w:rPr>
          <w:rFonts w:hint="eastAsia" w:ascii="仿宋_GB2312" w:hAnsi="仿宋_GB2312" w:eastAsia="仿宋_GB2312" w:cs="仿宋_GB2312"/>
        </w:rPr>
      </w:pPr>
      <w:r>
        <w:rPr>
          <w:rFonts w:hint="eastAsia" w:ascii="仿宋_GB2312" w:hAnsi="仿宋_GB2312" w:eastAsia="仿宋_GB2312" w:cs="仿宋_GB2312"/>
          <w:spacing w:val="-11"/>
          <w:w w:val="95"/>
        </w:rPr>
        <w:t>按照事件的发生、发展和控制过程，疫苗安全事件报告分为</w:t>
      </w:r>
      <w:r>
        <w:rPr>
          <w:rFonts w:hint="eastAsia" w:ascii="仿宋_GB2312" w:hAnsi="仿宋_GB2312" w:eastAsia="仿宋_GB2312" w:cs="仿宋_GB2312"/>
          <w:spacing w:val="-11"/>
        </w:rPr>
        <w:t>首次报告、进程报告和结案报告。</w:t>
      </w:r>
    </w:p>
    <w:p w14:paraId="1717FDA9">
      <w:pPr>
        <w:pStyle w:val="3"/>
        <w:spacing w:line="333" w:lineRule="auto"/>
        <w:ind w:left="131" w:right="55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首次报告：事发地</w:t>
      </w:r>
      <w:r>
        <w:rPr>
          <w:rFonts w:hint="eastAsia" w:ascii="仿宋_GB2312" w:hAnsi="仿宋_GB2312" w:eastAsia="仿宋_GB2312" w:cs="仿宋_GB2312"/>
          <w:color w:val="auto"/>
          <w:spacing w:val="-12"/>
          <w:sz w:val="32"/>
          <w:szCs w:val="32"/>
          <w:lang w:eastAsia="zh-CN"/>
        </w:rPr>
        <w:t>药品监管部门</w:t>
      </w:r>
      <w:r>
        <w:rPr>
          <w:rFonts w:hint="eastAsia" w:ascii="仿宋_GB2312" w:hAnsi="仿宋_GB2312" w:eastAsia="仿宋_GB2312" w:cs="仿宋_GB2312"/>
          <w:color w:val="auto"/>
          <w:spacing w:val="-12"/>
          <w:sz w:val="32"/>
          <w:szCs w:val="32"/>
        </w:rPr>
        <w:t>在发生或获知突发事件</w:t>
      </w:r>
      <w:r>
        <w:rPr>
          <w:rFonts w:hint="eastAsia" w:ascii="仿宋_GB2312" w:hAnsi="仿宋_GB2312" w:eastAsia="仿宋_GB2312" w:cs="仿宋_GB2312"/>
          <w:color w:val="auto"/>
          <w:spacing w:val="5"/>
          <w:w w:val="99"/>
          <w:sz w:val="32"/>
          <w:szCs w:val="32"/>
        </w:rPr>
        <w:t>后报送疫苗安全重大信息报告表</w:t>
      </w:r>
      <w:r>
        <w:rPr>
          <w:rFonts w:hint="eastAsia" w:ascii="仿宋_GB2312" w:hAnsi="仿宋_GB2312" w:eastAsia="仿宋_GB2312" w:cs="仿宋_GB2312"/>
          <w:color w:val="auto"/>
          <w:spacing w:val="7"/>
          <w:w w:val="99"/>
          <w:sz w:val="32"/>
          <w:szCs w:val="32"/>
        </w:rPr>
        <w:t>（</w:t>
      </w:r>
      <w:r>
        <w:rPr>
          <w:rFonts w:hint="eastAsia" w:ascii="仿宋_GB2312" w:hAnsi="仿宋_GB2312" w:eastAsia="仿宋_GB2312" w:cs="仿宋_GB2312"/>
          <w:color w:val="auto"/>
          <w:spacing w:val="4"/>
          <w:w w:val="99"/>
          <w:sz w:val="32"/>
          <w:szCs w:val="32"/>
        </w:rPr>
        <w:t>初报，附件</w:t>
      </w:r>
      <w:r>
        <w:rPr>
          <w:rFonts w:hint="eastAsia" w:ascii="仿宋_GB2312" w:hAnsi="仿宋_GB2312" w:eastAsia="仿宋_GB2312" w:cs="仿宋_GB2312"/>
          <w:color w:val="auto"/>
          <w:spacing w:val="-76"/>
          <w:sz w:val="32"/>
          <w:szCs w:val="32"/>
        </w:rPr>
        <w:t xml:space="preserve"> </w:t>
      </w:r>
      <w:r>
        <w:rPr>
          <w:rFonts w:hint="eastAsia" w:ascii="仿宋_GB2312" w:hAnsi="仿宋_GB2312" w:eastAsia="仿宋_GB2312" w:cs="仿宋_GB2312"/>
          <w:color w:val="auto"/>
          <w:spacing w:val="6"/>
          <w:w w:val="99"/>
          <w:sz w:val="32"/>
          <w:szCs w:val="32"/>
        </w:rPr>
        <w:t>2</w:t>
      </w:r>
      <w:r>
        <w:rPr>
          <w:rFonts w:hint="eastAsia" w:ascii="仿宋_GB2312" w:hAnsi="仿宋_GB2312" w:eastAsia="仿宋_GB2312" w:cs="仿宋_GB2312"/>
          <w:color w:val="auto"/>
          <w:spacing w:val="-156"/>
          <w:w w:val="99"/>
          <w:sz w:val="32"/>
          <w:szCs w:val="32"/>
        </w:rPr>
        <w:t>）</w:t>
      </w:r>
      <w:r>
        <w:rPr>
          <w:rFonts w:hint="eastAsia" w:ascii="仿宋_GB2312" w:hAnsi="仿宋_GB2312" w:eastAsia="仿宋_GB2312" w:cs="仿宋_GB2312"/>
          <w:color w:val="auto"/>
          <w:spacing w:val="4"/>
          <w:w w:val="99"/>
          <w:sz w:val="32"/>
          <w:szCs w:val="32"/>
        </w:rPr>
        <w:t>，内容包括：</w:t>
      </w:r>
      <w:r>
        <w:rPr>
          <w:rFonts w:hint="eastAsia" w:ascii="仿宋_GB2312" w:hAnsi="仿宋_GB2312" w:eastAsia="仿宋_GB2312" w:cs="仿宋_GB2312"/>
          <w:color w:val="auto"/>
          <w:spacing w:val="-9"/>
          <w:sz w:val="32"/>
          <w:szCs w:val="32"/>
        </w:rPr>
        <w:t>事件名称、事件性质，所涉疫苗的生产企业名称、产品规格、包</w:t>
      </w:r>
      <w:r>
        <w:rPr>
          <w:rFonts w:hint="eastAsia" w:ascii="仿宋_GB2312" w:hAnsi="仿宋_GB2312" w:eastAsia="仿宋_GB2312" w:cs="仿宋_GB2312"/>
          <w:color w:val="auto"/>
          <w:spacing w:val="-14"/>
          <w:sz w:val="32"/>
          <w:szCs w:val="32"/>
        </w:rPr>
        <w:t>装及批号等信息，事件的发生时间、地点、信息来源、涉及的地</w:t>
      </w:r>
      <w:r>
        <w:rPr>
          <w:rFonts w:hint="eastAsia" w:ascii="仿宋_GB2312" w:hAnsi="仿宋_GB2312" w:eastAsia="仿宋_GB2312" w:cs="仿宋_GB2312"/>
          <w:color w:val="auto"/>
          <w:spacing w:val="-16"/>
          <w:sz w:val="32"/>
          <w:szCs w:val="32"/>
        </w:rPr>
        <w:t>域范围和人数、受害者基本信息、主要症状与体征、可能的原因</w:t>
      </w:r>
      <w:r>
        <w:rPr>
          <w:rFonts w:hint="eastAsia" w:ascii="仿宋_GB2312" w:hAnsi="仿宋_GB2312" w:eastAsia="仿宋_GB2312" w:cs="仿宋_GB2312"/>
          <w:color w:val="auto"/>
          <w:spacing w:val="-21"/>
          <w:w w:val="95"/>
          <w:sz w:val="32"/>
          <w:szCs w:val="32"/>
        </w:rPr>
        <w:t xml:space="preserve">及责任归属、已经采取的措施、事件的发展趋势和潜在危害程度、 </w:t>
      </w:r>
      <w:r>
        <w:rPr>
          <w:rFonts w:hint="eastAsia" w:ascii="仿宋_GB2312" w:hAnsi="仿宋_GB2312" w:eastAsia="仿宋_GB2312" w:cs="仿宋_GB2312"/>
          <w:color w:val="auto"/>
          <w:spacing w:val="-17"/>
          <w:sz w:val="32"/>
          <w:szCs w:val="32"/>
        </w:rPr>
        <w:t>下一步工作建议、需要帮助解决的问题以及报告单位、联络员及通讯方式。</w:t>
      </w:r>
    </w:p>
    <w:p w14:paraId="6CD90FAF">
      <w:pPr>
        <w:pStyle w:val="3"/>
        <w:spacing w:before="54" w:line="340" w:lineRule="auto"/>
        <w:ind w:right="708" w:firstLine="592" w:firstLineChars="200"/>
        <w:rPr>
          <w:rFonts w:hint="eastAsia" w:ascii="仿宋_GB2312" w:hAnsi="仿宋_GB2312" w:eastAsia="仿宋_GB2312" w:cs="仿宋_GB2312"/>
        </w:rPr>
      </w:pPr>
      <w:r>
        <w:rPr>
          <w:rFonts w:hint="eastAsia" w:ascii="仿宋_GB2312" w:hAnsi="仿宋_GB2312" w:eastAsia="仿宋_GB2312" w:cs="仿宋_GB2312"/>
          <w:spacing w:val="-12"/>
        </w:rPr>
        <w:t>进程报告：事发地</w:t>
      </w:r>
      <w:r>
        <w:rPr>
          <w:rFonts w:hint="eastAsia" w:ascii="仿宋_GB2312" w:hAnsi="仿宋_GB2312" w:eastAsia="仿宋_GB2312" w:cs="仿宋_GB2312"/>
          <w:spacing w:val="-12"/>
          <w:lang w:eastAsia="zh-CN"/>
        </w:rPr>
        <w:t>药品</w:t>
      </w:r>
      <w:r>
        <w:rPr>
          <w:rFonts w:hint="eastAsia" w:ascii="仿宋_GB2312" w:hAnsi="仿宋_GB2312" w:eastAsia="仿宋_GB2312" w:cs="仿宋_GB2312"/>
          <w:spacing w:val="-12"/>
        </w:rPr>
        <w:t>监督管理部门根据收集到的事件进展</w:t>
      </w:r>
      <w:r>
        <w:rPr>
          <w:rFonts w:hint="eastAsia" w:ascii="仿宋_GB2312" w:hAnsi="仿宋_GB2312" w:eastAsia="仿宋_GB2312" w:cs="仿宋_GB2312"/>
          <w:spacing w:val="5"/>
          <w:w w:val="99"/>
        </w:rPr>
        <w:t>信息报告疫苗安全重大信息报告表（</w:t>
      </w:r>
      <w:r>
        <w:rPr>
          <w:rFonts w:hint="eastAsia" w:ascii="仿宋_GB2312" w:hAnsi="仿宋_GB2312" w:eastAsia="仿宋_GB2312" w:cs="仿宋_GB2312"/>
          <w:spacing w:val="4"/>
          <w:w w:val="99"/>
        </w:rPr>
        <w:t>续报，附件</w:t>
      </w:r>
      <w:r>
        <w:rPr>
          <w:rFonts w:hint="eastAsia" w:ascii="仿宋_GB2312" w:hAnsi="仿宋_GB2312" w:eastAsia="仿宋_GB2312" w:cs="仿宋_GB2312"/>
          <w:spacing w:val="-76"/>
        </w:rPr>
        <w:t xml:space="preserve"> </w:t>
      </w:r>
      <w:r>
        <w:rPr>
          <w:rFonts w:hint="eastAsia" w:ascii="仿宋_GB2312" w:hAnsi="仿宋_GB2312" w:eastAsia="仿宋_GB2312" w:cs="仿宋_GB2312"/>
          <w:spacing w:val="6"/>
          <w:w w:val="99"/>
        </w:rPr>
        <w:t>3</w:t>
      </w:r>
      <w:r>
        <w:rPr>
          <w:rFonts w:hint="eastAsia" w:ascii="仿宋_GB2312" w:hAnsi="仿宋_GB2312" w:eastAsia="仿宋_GB2312" w:cs="仿宋_GB2312"/>
          <w:spacing w:val="-156"/>
          <w:w w:val="99"/>
        </w:rPr>
        <w:t>）</w:t>
      </w:r>
      <w:r>
        <w:rPr>
          <w:rFonts w:hint="eastAsia" w:ascii="仿宋_GB2312" w:hAnsi="仿宋_GB2312" w:eastAsia="仿宋_GB2312" w:cs="仿宋_GB2312"/>
          <w:spacing w:val="4"/>
          <w:w w:val="99"/>
        </w:rPr>
        <w:t>，主要内容</w:t>
      </w:r>
      <w:r>
        <w:rPr>
          <w:rFonts w:hint="eastAsia" w:ascii="仿宋_GB2312" w:hAnsi="仿宋_GB2312" w:eastAsia="仿宋_GB2312" w:cs="仿宋_GB2312"/>
          <w:spacing w:val="-18"/>
          <w:w w:val="95"/>
        </w:rPr>
        <w:t xml:space="preserve">包括：事件的发展与变化、处置进程、事件成因调查情况和结果、 </w:t>
      </w:r>
      <w:r>
        <w:rPr>
          <w:rFonts w:hint="eastAsia" w:ascii="仿宋_GB2312" w:hAnsi="仿宋_GB2312" w:eastAsia="仿宋_GB2312" w:cs="仿宋_GB2312"/>
          <w:spacing w:val="-18"/>
        </w:rPr>
        <w:t xml:space="preserve">产品控制情况、采取的系列控制措施、事件影响和势态评估等， </w:t>
      </w:r>
      <w:r>
        <w:rPr>
          <w:rFonts w:hint="eastAsia" w:ascii="仿宋_GB2312" w:hAnsi="仿宋_GB2312" w:eastAsia="仿宋_GB2312" w:cs="仿宋_GB2312"/>
          <w:spacing w:val="-26"/>
          <w:w w:val="95"/>
        </w:rPr>
        <w:t>并对前</w:t>
      </w:r>
      <w:r>
        <w:rPr>
          <w:rFonts w:hint="eastAsia" w:ascii="仿宋_GB2312" w:hAnsi="仿宋_GB2312" w:eastAsia="仿宋_GB2312" w:cs="仿宋_GB2312"/>
          <w:spacing w:val="-26"/>
          <w:w w:val="95"/>
          <w:sz w:val="32"/>
          <w:szCs w:val="32"/>
        </w:rPr>
        <w:t>次报告的内容进行补充和修正，可多次报告。较大、重大、</w:t>
      </w:r>
      <w:r>
        <w:rPr>
          <w:rFonts w:hint="eastAsia" w:ascii="仿宋_GB2312" w:hAnsi="仿宋_GB2312" w:eastAsia="仿宋_GB2312" w:cs="仿宋_GB2312"/>
          <w:spacing w:val="-6"/>
        </w:rPr>
        <w:t>特别重大疫苗安全事件应每日报告事件进展情况，重要情况须随时上报。</w:t>
      </w:r>
    </w:p>
    <w:p w14:paraId="59C312DE">
      <w:pPr>
        <w:pStyle w:val="3"/>
        <w:spacing w:line="340" w:lineRule="auto"/>
        <w:ind w:left="131" w:right="711" w:firstLine="640"/>
        <w:rPr>
          <w:rFonts w:hint="eastAsia" w:ascii="仿宋_GB2312" w:hAnsi="仿宋_GB2312" w:eastAsia="仿宋_GB2312" w:cs="仿宋_GB2312"/>
        </w:rPr>
      </w:pPr>
      <w:r>
        <w:rPr>
          <w:rFonts w:hint="eastAsia" w:ascii="仿宋_GB2312" w:hAnsi="仿宋_GB2312" w:eastAsia="仿宋_GB2312" w:cs="仿宋_GB2312"/>
          <w:spacing w:val="-12"/>
          <w:w w:val="95"/>
        </w:rPr>
        <w:t>核查报告：接到核查信息要求后，事发地</w:t>
      </w:r>
      <w:r>
        <w:rPr>
          <w:rFonts w:hint="eastAsia" w:ascii="仿宋_GB2312" w:hAnsi="仿宋_GB2312" w:eastAsia="仿宋_GB2312" w:cs="仿宋_GB2312"/>
          <w:spacing w:val="-12"/>
          <w:w w:val="95"/>
          <w:lang w:eastAsia="zh-CN"/>
        </w:rPr>
        <w:t>药品监管</w:t>
      </w:r>
      <w:r>
        <w:rPr>
          <w:rFonts w:hint="eastAsia" w:ascii="仿宋_GB2312" w:hAnsi="仿宋_GB2312" w:eastAsia="仿宋_GB2312" w:cs="仿宋_GB2312"/>
          <w:spacing w:val="-12"/>
          <w:w w:val="95"/>
        </w:rPr>
        <w:t>部门要迅</w:t>
      </w:r>
      <w:r>
        <w:rPr>
          <w:rFonts w:hint="eastAsia" w:ascii="仿宋_GB2312" w:hAnsi="仿宋_GB2312" w:eastAsia="仿宋_GB2312" w:cs="仿宋_GB2312"/>
          <w:spacing w:val="-12"/>
        </w:rPr>
        <w:t>速核实，按时限要求反馈相关情况。</w:t>
      </w:r>
    </w:p>
    <w:p w14:paraId="0F1235D4">
      <w:pPr>
        <w:pStyle w:val="3"/>
        <w:spacing w:line="338" w:lineRule="auto"/>
        <w:ind w:left="131" w:right="593" w:firstLine="640"/>
        <w:rPr>
          <w:rFonts w:hint="eastAsia" w:ascii="仿宋_GB2312" w:hAnsi="仿宋_GB2312" w:eastAsia="仿宋_GB2312" w:cs="仿宋_GB2312"/>
        </w:rPr>
      </w:pPr>
      <w:r>
        <w:rPr>
          <w:rFonts w:hint="eastAsia" w:ascii="仿宋_GB2312" w:hAnsi="仿宋_GB2312" w:eastAsia="仿宋_GB2312" w:cs="仿宋_GB2312"/>
          <w:spacing w:val="-11"/>
        </w:rPr>
        <w:t>结案报告：事发地</w:t>
      </w:r>
      <w:r>
        <w:rPr>
          <w:rFonts w:hint="eastAsia" w:ascii="仿宋_GB2312" w:hAnsi="仿宋_GB2312" w:eastAsia="仿宋_GB2312" w:cs="仿宋_GB2312"/>
          <w:spacing w:val="-11"/>
          <w:lang w:eastAsia="zh-CN"/>
        </w:rPr>
        <w:t>药品</w:t>
      </w:r>
      <w:r>
        <w:rPr>
          <w:rFonts w:hint="eastAsia" w:ascii="仿宋_GB2312" w:hAnsi="仿宋_GB2312" w:eastAsia="仿宋_GB2312" w:cs="仿宋_GB2312"/>
          <w:spacing w:val="-11"/>
        </w:rPr>
        <w:t>监督管理部门在事件结束后，应报送总结报告。主要内容包括：对事件的起因、性质、影响、责任、</w:t>
      </w:r>
      <w:r>
        <w:rPr>
          <w:rFonts w:hint="eastAsia" w:ascii="仿宋_GB2312" w:hAnsi="仿宋_GB2312" w:eastAsia="仿宋_GB2312" w:cs="仿宋_GB2312"/>
          <w:spacing w:val="-16"/>
        </w:rPr>
        <w:t>应对措施等进行全面分析，对事件应对过程中的经验和存在的问题进行及时总结，并提出今后对类似事件的防范和处置建议。</w:t>
      </w:r>
    </w:p>
    <w:p w14:paraId="7B157963">
      <w:pPr>
        <w:pStyle w:val="7"/>
        <w:numPr>
          <w:ilvl w:val="2"/>
          <w:numId w:val="2"/>
        </w:numPr>
        <w:tabs>
          <w:tab w:val="left" w:pos="1572"/>
        </w:tabs>
        <w:spacing w:before="1" w:after="0" w:line="240" w:lineRule="auto"/>
        <w:ind w:left="1571" w:right="0" w:hanging="801"/>
        <w:jc w:val="left"/>
        <w:rPr>
          <w:rFonts w:hint="eastAsia" w:ascii="楷体_GB2312" w:hAnsi="楷体_GB2312" w:eastAsia="楷体_GB2312" w:cs="楷体_GB2312"/>
          <w:sz w:val="32"/>
        </w:rPr>
      </w:pPr>
      <w:r>
        <w:rPr>
          <w:rFonts w:hint="eastAsia" w:ascii="楷体_GB2312" w:hAnsi="楷体_GB2312" w:eastAsia="楷体_GB2312" w:cs="楷体_GB2312"/>
          <w:sz w:val="32"/>
        </w:rPr>
        <w:t>报告方式</w:t>
      </w:r>
    </w:p>
    <w:p w14:paraId="7FFDDCE9">
      <w:pPr>
        <w:pStyle w:val="3"/>
        <w:spacing w:before="168" w:line="338" w:lineRule="auto"/>
        <w:ind w:left="131" w:right="542" w:firstLine="640"/>
        <w:jc w:val="both"/>
        <w:rPr>
          <w:rFonts w:hint="eastAsia" w:ascii="仿宋_GB2312" w:hAnsi="仿宋_GB2312" w:eastAsia="仿宋_GB2312" w:cs="仿宋_GB2312"/>
        </w:rPr>
      </w:pPr>
      <w:r>
        <w:rPr>
          <w:rFonts w:hint="eastAsia" w:ascii="仿宋_GB2312" w:hAnsi="仿宋_GB2312" w:eastAsia="仿宋_GB2312" w:cs="仿宋_GB2312"/>
          <w:spacing w:val="6"/>
        </w:rPr>
        <w:t>事发地</w:t>
      </w:r>
      <w:r>
        <w:rPr>
          <w:rFonts w:hint="eastAsia" w:ascii="仿宋_GB2312" w:hAnsi="仿宋_GB2312" w:eastAsia="仿宋_GB2312" w:cs="仿宋_GB2312"/>
          <w:spacing w:val="6"/>
          <w:lang w:eastAsia="zh-CN"/>
        </w:rPr>
        <w:t>市场</w:t>
      </w:r>
      <w:r>
        <w:rPr>
          <w:rFonts w:hint="eastAsia" w:ascii="仿宋_GB2312" w:hAnsi="仿宋_GB2312" w:eastAsia="仿宋_GB2312" w:cs="仿宋_GB2312"/>
          <w:spacing w:val="6"/>
        </w:rPr>
        <w:t>监督管理部门可通过电子信箱或传真等方式向</w:t>
      </w:r>
      <w:r>
        <w:rPr>
          <w:rFonts w:hint="eastAsia" w:ascii="仿宋_GB2312" w:hAnsi="仿宋_GB2312" w:eastAsia="仿宋_GB2312" w:cs="仿宋_GB2312"/>
        </w:rPr>
        <w:t>上级药品监督管理部门和本级政府报送首次报告和进程报告，紧</w:t>
      </w:r>
      <w:r>
        <w:rPr>
          <w:rFonts w:hint="eastAsia" w:ascii="仿宋_GB2312" w:hAnsi="仿宋_GB2312" w:eastAsia="仿宋_GB2312" w:cs="仿宋_GB2312"/>
          <w:spacing w:val="-11"/>
        </w:rPr>
        <w:t>急情况下，可先通过电话口头报告，再补报文字报告。结案报告</w:t>
      </w:r>
      <w:r>
        <w:rPr>
          <w:rFonts w:hint="eastAsia" w:ascii="仿宋_GB2312" w:hAnsi="仿宋_GB2312" w:eastAsia="仿宋_GB2312" w:cs="仿宋_GB2312"/>
          <w:spacing w:val="-29"/>
          <w:w w:val="95"/>
        </w:rPr>
        <w:t>通过书面形式报告。报告内容涉密或敏感的，须通过机要渠道报送。</w:t>
      </w:r>
    </w:p>
    <w:p w14:paraId="33BB9483">
      <w:pPr>
        <w:pStyle w:val="7"/>
        <w:numPr>
          <w:ilvl w:val="1"/>
          <w:numId w:val="2"/>
        </w:numPr>
        <w:tabs>
          <w:tab w:val="left" w:pos="1332"/>
        </w:tabs>
        <w:spacing w:before="8" w:after="0" w:line="240" w:lineRule="auto"/>
        <w:ind w:left="1331" w:right="0" w:hanging="561"/>
        <w:jc w:val="both"/>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事件评估</w:t>
      </w:r>
    </w:p>
    <w:p w14:paraId="7EF4C593">
      <w:pPr>
        <w:pStyle w:val="3"/>
        <w:spacing w:before="169" w:line="338" w:lineRule="auto"/>
        <w:ind w:left="131" w:right="708" w:firstLine="640"/>
        <w:jc w:val="both"/>
        <w:rPr>
          <w:rFonts w:hint="eastAsia" w:ascii="仿宋_GB2312" w:hAnsi="仿宋_GB2312" w:eastAsia="仿宋_GB2312" w:cs="仿宋_GB2312"/>
        </w:rPr>
      </w:pPr>
      <w:r>
        <w:rPr>
          <w:rFonts w:hint="eastAsia" w:ascii="仿宋_GB2312" w:hAnsi="仿宋_GB2312" w:eastAsia="仿宋_GB2312" w:cs="仿宋_GB2312"/>
          <w:color w:val="auto"/>
          <w:spacing w:val="-11"/>
        </w:rPr>
        <w:t>疫苗安全事件发生后，</w:t>
      </w:r>
      <w:r>
        <w:rPr>
          <w:rFonts w:hint="eastAsia" w:ascii="仿宋_GB2312" w:hAnsi="仿宋_GB2312" w:eastAsia="仿宋_GB2312" w:cs="仿宋_GB2312"/>
          <w:color w:val="auto"/>
          <w:spacing w:val="-11"/>
          <w:lang w:eastAsia="zh-CN"/>
        </w:rPr>
        <w:t>区市场</w:t>
      </w:r>
      <w:r>
        <w:rPr>
          <w:rFonts w:hint="eastAsia" w:ascii="仿宋_GB2312" w:hAnsi="仿宋_GB2312" w:eastAsia="仿宋_GB2312" w:cs="仿宋_GB2312"/>
          <w:color w:val="auto"/>
          <w:spacing w:val="-11"/>
        </w:rPr>
        <w:t>监管部门会同卫生健康</w:t>
      </w:r>
      <w:r>
        <w:rPr>
          <w:rFonts w:hint="eastAsia" w:ascii="仿宋_GB2312" w:hAnsi="仿宋_GB2312" w:eastAsia="仿宋_GB2312" w:cs="仿宋_GB2312"/>
          <w:spacing w:val="-11"/>
        </w:rPr>
        <w:t>部门依法</w:t>
      </w:r>
      <w:r>
        <w:rPr>
          <w:rFonts w:hint="eastAsia" w:ascii="仿宋_GB2312" w:hAnsi="仿宋_GB2312" w:eastAsia="仿宋_GB2312" w:cs="仿宋_GB2312"/>
          <w:spacing w:val="-15"/>
        </w:rPr>
        <w:t>组织开展事件评估，初步判定是否为疫苗安全事件，并</w:t>
      </w:r>
      <w:r>
        <w:rPr>
          <w:rFonts w:hint="eastAsia" w:ascii="仿宋_GB2312" w:hAnsi="仿宋_GB2312" w:eastAsia="仿宋_GB2312" w:cs="仿宋_GB2312"/>
          <w:spacing w:val="-15"/>
          <w:lang w:eastAsia="zh-CN"/>
        </w:rPr>
        <w:t>将评估情况向</w:t>
      </w:r>
      <w:r>
        <w:rPr>
          <w:rFonts w:hint="eastAsia" w:ascii="仿宋_GB2312" w:hAnsi="仿宋_GB2312" w:eastAsia="仿宋_GB2312" w:cs="仿宋_GB2312"/>
          <w:spacing w:val="-12"/>
          <w:lang w:eastAsia="zh-CN"/>
        </w:rPr>
        <w:t>区</w:t>
      </w:r>
      <w:r>
        <w:rPr>
          <w:rFonts w:hint="eastAsia" w:ascii="仿宋_GB2312" w:hAnsi="仿宋_GB2312" w:eastAsia="仿宋_GB2312" w:cs="仿宋_GB2312"/>
          <w:spacing w:val="-12"/>
        </w:rPr>
        <w:t>人民政府</w:t>
      </w:r>
      <w:r>
        <w:rPr>
          <w:rFonts w:hint="eastAsia" w:ascii="仿宋_GB2312" w:hAnsi="仿宋_GB2312" w:eastAsia="仿宋_GB2312" w:cs="仿宋_GB2312"/>
          <w:spacing w:val="-12"/>
          <w:lang w:eastAsia="zh-CN"/>
        </w:rPr>
        <w:t>、市药品监管部门或卫生健康部门报告，由上级部门核定事件级别，根据上级要求启动应急响应。</w:t>
      </w:r>
      <w:r>
        <w:rPr>
          <w:rFonts w:hint="eastAsia" w:ascii="仿宋_GB2312" w:hAnsi="仿宋_GB2312" w:eastAsia="仿宋_GB2312" w:cs="仿宋_GB2312"/>
          <w:spacing w:val="-12"/>
        </w:rPr>
        <w:t>评估内容主要包括：</w:t>
      </w:r>
    </w:p>
    <w:p w14:paraId="2BD944C6">
      <w:pPr>
        <w:pStyle w:val="7"/>
        <w:numPr>
          <w:ilvl w:val="0"/>
          <w:numId w:val="8"/>
        </w:numPr>
        <w:tabs>
          <w:tab w:val="left" w:pos="1576"/>
        </w:tabs>
        <w:spacing w:before="8" w:after="0" w:line="340" w:lineRule="auto"/>
        <w:ind w:left="131" w:right="708" w:firstLine="640"/>
        <w:jc w:val="left"/>
        <w:rPr>
          <w:rFonts w:hint="eastAsia" w:ascii="仿宋_GB2312" w:hAnsi="仿宋_GB2312" w:eastAsia="仿宋_GB2312" w:cs="仿宋_GB2312"/>
          <w:sz w:val="32"/>
        </w:rPr>
      </w:pPr>
      <w:r>
        <w:rPr>
          <w:rFonts w:hint="eastAsia" w:ascii="仿宋_GB2312" w:hAnsi="仿宋_GB2312" w:eastAsia="仿宋_GB2312" w:cs="仿宋_GB2312"/>
          <w:sz w:val="32"/>
        </w:rPr>
        <w:t>可能导致的健康危害及涉及范围，是否已造成健康危害后果及严重程度；</w:t>
      </w:r>
    </w:p>
    <w:p w14:paraId="335CA247">
      <w:pPr>
        <w:pStyle w:val="7"/>
        <w:numPr>
          <w:ilvl w:val="0"/>
          <w:numId w:val="8"/>
        </w:numPr>
        <w:tabs>
          <w:tab w:val="left" w:pos="1572"/>
        </w:tabs>
        <w:spacing w:before="0" w:after="0" w:line="407" w:lineRule="exact"/>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事件影响范围及严重程度；</w:t>
      </w:r>
    </w:p>
    <w:p w14:paraId="77AD4E95">
      <w:pPr>
        <w:pStyle w:val="7"/>
        <w:numPr>
          <w:ilvl w:val="0"/>
          <w:numId w:val="8"/>
        </w:numPr>
        <w:tabs>
          <w:tab w:val="left" w:pos="1572"/>
        </w:tabs>
        <w:spacing w:before="169" w:after="0" w:line="240" w:lineRule="auto"/>
        <w:ind w:left="1572" w:right="0" w:hanging="800"/>
        <w:jc w:val="left"/>
        <w:rPr>
          <w:rFonts w:hint="eastAsia" w:ascii="仿宋_GB2312" w:hAnsi="仿宋_GB2312" w:eastAsia="仿宋_GB2312" w:cs="仿宋_GB2312"/>
          <w:sz w:val="32"/>
        </w:rPr>
      </w:pPr>
      <w:r>
        <w:rPr>
          <w:rFonts w:hint="eastAsia" w:ascii="仿宋_GB2312" w:hAnsi="仿宋_GB2312" w:eastAsia="仿宋_GB2312" w:cs="仿宋_GB2312"/>
          <w:sz w:val="32"/>
        </w:rPr>
        <w:t>事件发展蔓延趋势。</w:t>
      </w:r>
    </w:p>
    <w:p w14:paraId="197B8A56">
      <w:pPr>
        <w:pStyle w:val="3"/>
        <w:spacing w:before="8" w:line="340" w:lineRule="auto"/>
        <w:ind w:right="550"/>
        <w:rPr>
          <w:rFonts w:hint="eastAsia" w:ascii="仿宋_GB2312" w:hAnsi="仿宋_GB2312" w:eastAsia="仿宋_GB2312" w:cs="仿宋_GB2312"/>
          <w:sz w:val="32"/>
          <w:szCs w:val="32"/>
        </w:rPr>
        <w:sectPr>
          <w:pgSz w:w="11910" w:h="16840"/>
          <w:pgMar w:top="1580" w:right="820" w:bottom="1420" w:left="1400" w:header="0" w:footer="1236" w:gutter="0"/>
          <w:cols w:space="720" w:num="1"/>
        </w:sectPr>
      </w:pPr>
    </w:p>
    <w:p w14:paraId="0D10848B">
      <w:pPr>
        <w:pStyle w:val="3"/>
        <w:spacing w:before="12"/>
        <w:rPr>
          <w:sz w:val="25"/>
        </w:rPr>
      </w:pPr>
    </w:p>
    <w:p w14:paraId="6A9D5078">
      <w:pPr>
        <w:pStyle w:val="7"/>
        <w:numPr>
          <w:ilvl w:val="0"/>
          <w:numId w:val="2"/>
        </w:numPr>
        <w:tabs>
          <w:tab w:val="left" w:pos="1252"/>
        </w:tabs>
        <w:spacing w:before="54" w:after="0" w:line="240" w:lineRule="auto"/>
        <w:ind w:left="1252" w:right="0" w:hanging="481"/>
        <w:jc w:val="both"/>
        <w:rPr>
          <w:rFonts w:hint="eastAsia" w:ascii="楷体_GB2312" w:hAnsi="楷体_GB2312" w:eastAsia="楷体_GB2312" w:cs="楷体_GB2312"/>
          <w:sz w:val="32"/>
        </w:rPr>
      </w:pPr>
      <w:r>
        <w:rPr>
          <w:rFonts w:hint="eastAsia" w:ascii="楷体_GB2312" w:hAnsi="楷体_GB2312" w:eastAsia="楷体_GB2312" w:cs="楷体_GB2312"/>
          <w:sz w:val="32"/>
        </w:rPr>
        <w:t>应急响应和终止</w:t>
      </w:r>
    </w:p>
    <w:p w14:paraId="1D6328E3">
      <w:pPr>
        <w:pStyle w:val="3"/>
        <w:spacing w:before="161" w:line="333" w:lineRule="auto"/>
        <w:ind w:left="131" w:right="7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7"/>
          <w:w w:val="95"/>
        </w:rPr>
        <w:t>疫苗安全事件的应急响应分为Ⅰ级、Ⅱ级、Ⅲ级、Ⅳ级四个</w:t>
      </w:r>
      <w:r>
        <w:rPr>
          <w:rFonts w:hint="eastAsia" w:ascii="仿宋_GB2312" w:hAnsi="仿宋_GB2312" w:eastAsia="仿宋_GB2312" w:cs="仿宋_GB2312"/>
          <w:color w:val="auto"/>
          <w:spacing w:val="-12"/>
        </w:rPr>
        <w:t>等级。事件应急响应和终止的发布由相应开展应急处置工作级别的政府部门依法依规发布。</w:t>
      </w:r>
    </w:p>
    <w:p w14:paraId="27CA6253">
      <w:pPr>
        <w:pStyle w:val="7"/>
        <w:numPr>
          <w:ilvl w:val="1"/>
          <w:numId w:val="2"/>
        </w:numPr>
        <w:tabs>
          <w:tab w:val="left" w:pos="1332"/>
        </w:tabs>
        <w:spacing w:before="2" w:after="0" w:line="240" w:lineRule="auto"/>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事发地先期处置</w:t>
      </w:r>
    </w:p>
    <w:p w14:paraId="55E544A2">
      <w:pPr>
        <w:pStyle w:val="3"/>
        <w:spacing w:before="159" w:line="333" w:lineRule="auto"/>
        <w:ind w:left="131" w:right="550" w:firstLine="640"/>
        <w:rPr>
          <w:rFonts w:hint="eastAsia" w:ascii="仿宋_GB2312" w:hAnsi="仿宋_GB2312" w:eastAsia="仿宋_GB2312" w:cs="仿宋_GB2312"/>
        </w:rPr>
      </w:pPr>
      <w:r>
        <w:rPr>
          <w:rFonts w:hint="eastAsia" w:ascii="仿宋_GB2312" w:hAnsi="仿宋_GB2312" w:eastAsia="仿宋_GB2312" w:cs="仿宋_GB2312"/>
          <w:spacing w:val="-9"/>
        </w:rPr>
        <w:t>疫苗安全事件发生后，在事件性质尚不明确的情况下，事发</w:t>
      </w:r>
      <w:r>
        <w:rPr>
          <w:rFonts w:hint="eastAsia" w:ascii="仿宋_GB2312" w:hAnsi="仿宋_GB2312" w:eastAsia="仿宋_GB2312" w:cs="仿宋_GB2312"/>
          <w:spacing w:val="-14"/>
        </w:rPr>
        <w:t>地</w:t>
      </w:r>
      <w:r>
        <w:rPr>
          <w:rFonts w:hint="eastAsia" w:ascii="仿宋_GB2312" w:hAnsi="仿宋_GB2312" w:eastAsia="仿宋_GB2312" w:cs="仿宋_GB2312"/>
          <w:spacing w:val="-14"/>
          <w:lang w:eastAsia="zh-CN"/>
        </w:rPr>
        <w:t>镇（街道）</w:t>
      </w:r>
      <w:r>
        <w:rPr>
          <w:rFonts w:hint="eastAsia" w:ascii="仿宋_GB2312" w:hAnsi="仿宋_GB2312" w:eastAsia="仿宋_GB2312" w:cs="仿宋_GB2312"/>
          <w:spacing w:val="-14"/>
        </w:rPr>
        <w:t>人民政府</w:t>
      </w:r>
      <w:r>
        <w:rPr>
          <w:rFonts w:hint="eastAsia" w:ascii="仿宋_GB2312" w:hAnsi="仿宋_GB2312" w:eastAsia="仿宋_GB2312" w:cs="仿宋_GB2312"/>
          <w:spacing w:val="-14"/>
          <w:lang w:eastAsia="zh-CN"/>
        </w:rPr>
        <w:t>（办事处）</w:t>
      </w:r>
      <w:r>
        <w:rPr>
          <w:rFonts w:hint="eastAsia" w:ascii="仿宋_GB2312" w:hAnsi="仿宋_GB2312" w:eastAsia="仿宋_GB2312" w:cs="仿宋_GB2312"/>
          <w:spacing w:val="-14"/>
        </w:rPr>
        <w:t>及其相关部门要在报告突发事件信息的同时，迅速组</w:t>
      </w:r>
      <w:r>
        <w:rPr>
          <w:rFonts w:hint="eastAsia" w:ascii="仿宋_GB2312" w:hAnsi="仿宋_GB2312" w:eastAsia="仿宋_GB2312" w:cs="仿宋_GB2312"/>
          <w:spacing w:val="-22"/>
          <w:w w:val="95"/>
        </w:rPr>
        <w:t xml:space="preserve">织开展患者救治、舆情应对、预防接种异常反应监测、产品控制、 </w:t>
      </w:r>
      <w:r>
        <w:rPr>
          <w:rFonts w:hint="eastAsia" w:ascii="仿宋_GB2312" w:hAnsi="仿宋_GB2312" w:eastAsia="仿宋_GB2312" w:cs="仿宋_GB2312"/>
          <w:spacing w:val="-17"/>
        </w:rPr>
        <w:t>事件原因调查、封存相关患者病历资料等工作；根据情况可在本</w:t>
      </w:r>
      <w:r>
        <w:rPr>
          <w:rFonts w:hint="eastAsia" w:ascii="仿宋_GB2312" w:hAnsi="仿宋_GB2312" w:eastAsia="仿宋_GB2312" w:cs="仿宋_GB2312"/>
          <w:spacing w:val="-20"/>
        </w:rPr>
        <w:t>行政区内对相关药品采取暂停销售、使用等紧急控制措施，对相</w:t>
      </w:r>
      <w:r>
        <w:rPr>
          <w:rFonts w:hint="eastAsia" w:ascii="仿宋_GB2312" w:hAnsi="仿宋_GB2312" w:eastAsia="仿宋_GB2312" w:cs="仿宋_GB2312"/>
          <w:spacing w:val="-18"/>
        </w:rPr>
        <w:t>关药品进行抽验，对相关药品生产、配送、储运单位进行现场调</w:t>
      </w:r>
      <w:r>
        <w:rPr>
          <w:rFonts w:hint="eastAsia" w:ascii="仿宋_GB2312" w:hAnsi="仿宋_GB2312" w:eastAsia="仿宋_GB2312" w:cs="仿宋_GB2312"/>
          <w:spacing w:val="-12"/>
        </w:rPr>
        <w:t>查；药品生产、配送、储运单位不在本行政区域的，应立即报告</w:t>
      </w:r>
      <w:r>
        <w:rPr>
          <w:rFonts w:hint="eastAsia" w:ascii="仿宋_GB2312" w:hAnsi="仿宋_GB2312" w:eastAsia="仿宋_GB2312" w:cs="仿宋_GB2312"/>
          <w:spacing w:val="-15"/>
        </w:rPr>
        <w:t>市市场监管局，由其上报自治区药监局。由自治区药监局组织或协调相关地区药品监督管理部门对相关单位进行检查。</w:t>
      </w:r>
    </w:p>
    <w:p w14:paraId="076F7D7C">
      <w:pPr>
        <w:pStyle w:val="7"/>
        <w:numPr>
          <w:ilvl w:val="1"/>
          <w:numId w:val="2"/>
        </w:numPr>
        <w:tabs>
          <w:tab w:val="left" w:pos="1332"/>
        </w:tabs>
        <w:spacing w:before="2"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应急响应措施</w:t>
      </w:r>
    </w:p>
    <w:p w14:paraId="2E53F55E">
      <w:pPr>
        <w:pStyle w:val="7"/>
        <w:keepNext w:val="0"/>
        <w:keepLines w:val="0"/>
        <w:pageBreakBefore w:val="0"/>
        <w:widowControl w:val="0"/>
        <w:numPr>
          <w:ilvl w:val="2"/>
          <w:numId w:val="2"/>
        </w:numPr>
        <w:tabs>
          <w:tab w:val="left" w:pos="1572"/>
        </w:tabs>
        <w:kinsoku/>
        <w:wordWrap/>
        <w:overflowPunct/>
        <w:topLinePunct w:val="0"/>
        <w:autoSpaceDE w:val="0"/>
        <w:autoSpaceDN w:val="0"/>
        <w:bidi w:val="0"/>
        <w:adjustRightInd/>
        <w:snapToGrid/>
        <w:spacing w:before="0" w:after="0" w:line="560" w:lineRule="exact"/>
        <w:ind w:left="1571" w:right="0" w:hanging="801"/>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应急响应</w:t>
      </w:r>
    </w:p>
    <w:p w14:paraId="169D8817">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我</w:t>
      </w:r>
      <w:r>
        <w:rPr>
          <w:rFonts w:hint="eastAsia" w:ascii="仿宋_GB2312" w:eastAsia="仿宋_GB2312"/>
          <w:color w:val="auto"/>
          <w:sz w:val="32"/>
          <w:szCs w:val="32"/>
          <w:lang w:eastAsia="zh-CN"/>
        </w:rPr>
        <w:t>区</w:t>
      </w:r>
      <w:r>
        <w:rPr>
          <w:rFonts w:hint="eastAsia" w:ascii="仿宋_GB2312" w:eastAsia="仿宋_GB2312"/>
          <w:color w:val="auto"/>
          <w:sz w:val="32"/>
          <w:szCs w:val="32"/>
        </w:rPr>
        <w:t>发生疫苗安全事件</w:t>
      </w:r>
      <w:r>
        <w:rPr>
          <w:rFonts w:hint="eastAsia" w:ascii="仿宋_GB2312" w:eastAsia="仿宋_GB2312"/>
          <w:color w:val="auto"/>
          <w:sz w:val="32"/>
          <w:szCs w:val="32"/>
          <w:lang w:eastAsia="zh-CN"/>
        </w:rPr>
        <w:t>时</w:t>
      </w:r>
      <w:r>
        <w:rPr>
          <w:rFonts w:hint="eastAsia" w:ascii="仿宋_GB2312" w:eastAsia="仿宋_GB2312"/>
          <w:color w:val="auto"/>
          <w:sz w:val="32"/>
          <w:szCs w:val="32"/>
        </w:rPr>
        <w:t>，由</w:t>
      </w:r>
      <w:r>
        <w:rPr>
          <w:rFonts w:hint="eastAsia" w:ascii="仿宋_GB2312" w:eastAsia="仿宋_GB2312"/>
          <w:color w:val="auto"/>
          <w:sz w:val="32"/>
          <w:szCs w:val="32"/>
          <w:lang w:eastAsia="zh-CN"/>
        </w:rPr>
        <w:t>区</w:t>
      </w:r>
      <w:r>
        <w:rPr>
          <w:rFonts w:hint="eastAsia" w:ascii="仿宋_GB2312" w:eastAsia="仿宋_GB2312"/>
          <w:color w:val="auto"/>
          <w:sz w:val="32"/>
          <w:szCs w:val="32"/>
        </w:rPr>
        <w:t>人民政府报告市人民政府后，由市人民政府决定启动相应级别应急响应。启动应急响应后，</w:t>
      </w:r>
      <w:r>
        <w:rPr>
          <w:rFonts w:hint="eastAsia" w:ascii="仿宋_GB2312" w:eastAsia="仿宋_GB2312"/>
          <w:color w:val="auto"/>
          <w:sz w:val="32"/>
          <w:szCs w:val="32"/>
          <w:lang w:eastAsia="zh-CN"/>
        </w:rPr>
        <w:t>区</w:t>
      </w:r>
      <w:r>
        <w:rPr>
          <w:rFonts w:hint="eastAsia" w:ascii="仿宋_GB2312" w:eastAsia="仿宋_GB2312"/>
          <w:color w:val="auto"/>
          <w:sz w:val="32"/>
          <w:szCs w:val="32"/>
        </w:rPr>
        <w:t>应急指挥部根据事发地、相关单位所在地的分布情况以及事件的性质、类别、危害程度、范围和可控情况，作出如下处置：</w:t>
      </w:r>
    </w:p>
    <w:p w14:paraId="3101283A">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（1）召开</w:t>
      </w:r>
      <w:r>
        <w:rPr>
          <w:rFonts w:hint="eastAsia" w:ascii="仿宋_GB2312" w:eastAsia="仿宋_GB2312"/>
          <w:color w:val="auto"/>
          <w:sz w:val="32"/>
          <w:szCs w:val="32"/>
          <w:lang w:eastAsia="zh-CN"/>
        </w:rPr>
        <w:t>区</w:t>
      </w:r>
      <w:r>
        <w:rPr>
          <w:rFonts w:hint="eastAsia" w:ascii="仿宋_GB2312" w:eastAsia="仿宋_GB2312"/>
          <w:color w:val="auto"/>
          <w:sz w:val="32"/>
          <w:szCs w:val="32"/>
        </w:rPr>
        <w:t>应急指挥部会议，成立各应急处置工作组和专家组，各工作组牵头部门和成员单位迅速开展工作，收集、分析、汇总相关情况，紧急部署处置工作。</w:t>
      </w:r>
    </w:p>
    <w:p w14:paraId="2EED97E9">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（2）及时将有关处置工作情况，向</w:t>
      </w:r>
      <w:r>
        <w:rPr>
          <w:rFonts w:hint="eastAsia" w:ascii="仿宋_GB2312" w:eastAsia="仿宋_GB2312"/>
          <w:color w:val="auto"/>
          <w:sz w:val="32"/>
          <w:szCs w:val="32"/>
          <w:lang w:eastAsia="zh-CN"/>
        </w:rPr>
        <w:t>区</w:t>
      </w:r>
      <w:r>
        <w:rPr>
          <w:rFonts w:hint="eastAsia" w:ascii="仿宋_GB2312" w:eastAsia="仿宋_GB2312"/>
          <w:color w:val="auto"/>
          <w:sz w:val="32"/>
          <w:szCs w:val="32"/>
        </w:rPr>
        <w:t>人民政府、市应急指挥部报告，按照</w:t>
      </w:r>
      <w:r>
        <w:rPr>
          <w:rFonts w:hint="eastAsia" w:ascii="仿宋_GB2312" w:eastAsia="仿宋_GB2312"/>
          <w:color w:val="auto"/>
          <w:sz w:val="32"/>
          <w:szCs w:val="32"/>
          <w:lang w:eastAsia="zh-CN"/>
        </w:rPr>
        <w:t>区</w:t>
      </w:r>
      <w:r>
        <w:rPr>
          <w:rFonts w:hint="eastAsia" w:ascii="仿宋_GB2312" w:eastAsia="仿宋_GB2312"/>
          <w:color w:val="auto"/>
          <w:sz w:val="32"/>
          <w:szCs w:val="32"/>
        </w:rPr>
        <w:t>人民政府和市应急指挥部的指示，全力开展各项处置工作。必要时，请求市应急指挥部给予支持。</w:t>
      </w:r>
    </w:p>
    <w:p w14:paraId="0DEB08D9">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hAnsi="仿宋_GB2312" w:eastAsia="仿宋_GB2312" w:cs="仿宋_GB2312"/>
          <w:spacing w:val="-15"/>
        </w:rPr>
      </w:pPr>
      <w:r>
        <w:rPr>
          <w:rFonts w:hint="eastAsia" w:ascii="仿宋_GB2312" w:eastAsia="仿宋_GB2312"/>
          <w:color w:val="auto"/>
          <w:sz w:val="32"/>
          <w:szCs w:val="32"/>
        </w:rPr>
        <w:t>（3）组织医疗救治专家赶赴事发地，组织、指导医疗救治工作。必要时，报请市卫生健康委派市级医疗专家，赶赴事发地指导医疗救治工作。</w:t>
      </w:r>
    </w:p>
    <w:p w14:paraId="741BEA1C">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（4）对事发地和事件所涉生产、配送、储运单位均在我</w:t>
      </w:r>
      <w:r>
        <w:rPr>
          <w:rFonts w:hint="eastAsia" w:ascii="仿宋_GB2312" w:eastAsia="仿宋_GB2312"/>
          <w:color w:val="auto"/>
          <w:sz w:val="32"/>
          <w:szCs w:val="32"/>
          <w:lang w:eastAsia="zh-CN"/>
        </w:rPr>
        <w:t>区</w:t>
      </w:r>
      <w:r>
        <w:rPr>
          <w:rFonts w:hint="eastAsia" w:ascii="仿宋_GB2312" w:eastAsia="仿宋_GB2312"/>
          <w:color w:val="auto"/>
          <w:sz w:val="32"/>
          <w:szCs w:val="32"/>
        </w:rPr>
        <w:t>的，上报市市场监管局会同自治区药监局钦州检查分局及时对相关生产、配送、储运单位涉及的疫苗采取控制措施。及时通报波及或可能波及其他县（区）药品监管部门；对事发地在我</w:t>
      </w:r>
      <w:r>
        <w:rPr>
          <w:rFonts w:hint="eastAsia" w:ascii="仿宋_GB2312" w:eastAsia="仿宋_GB2312"/>
          <w:color w:val="auto"/>
          <w:sz w:val="32"/>
          <w:szCs w:val="32"/>
          <w:lang w:eastAsia="zh-CN"/>
        </w:rPr>
        <w:t>区</w:t>
      </w:r>
      <w:r>
        <w:rPr>
          <w:rFonts w:hint="eastAsia" w:ascii="仿宋_GB2312" w:eastAsia="仿宋_GB2312"/>
          <w:color w:val="auto"/>
          <w:sz w:val="32"/>
          <w:szCs w:val="32"/>
        </w:rPr>
        <w:t>，事件所涉生产、配送、储运单位在外市的，及时上报市市场监管局，市市场监管局逐级上报，对事发地的市级人民政府提出应急处置要求，并通报相关疫苗生产、配送、储运单位所在地的省级药品监管部门；对事发地在外省（自治区、直辖市），事件所涉生产、配送、储运单位在我</w:t>
      </w:r>
      <w:r>
        <w:rPr>
          <w:rFonts w:hint="eastAsia" w:ascii="仿宋_GB2312" w:eastAsia="仿宋_GB2312"/>
          <w:color w:val="auto"/>
          <w:sz w:val="32"/>
          <w:szCs w:val="32"/>
          <w:lang w:eastAsia="zh-CN"/>
        </w:rPr>
        <w:t>区</w:t>
      </w:r>
      <w:r>
        <w:rPr>
          <w:rFonts w:hint="eastAsia" w:ascii="仿宋_GB2312" w:eastAsia="仿宋_GB2312"/>
          <w:color w:val="auto"/>
          <w:sz w:val="32"/>
          <w:szCs w:val="32"/>
        </w:rPr>
        <w:t>的，及时对生产、配送、储运单位涉及的疫苗采取控制措施，同时上报市市场监管局，由市市场监管局向事发地所在的市级药品监督管理部门了解相关情况。</w:t>
      </w:r>
    </w:p>
    <w:p w14:paraId="1B57AFF2">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（5）核实引发事件疫苗的品种及生产批号，指导相关部门、医疗机构和生产配送、储运单位依法采取封存、溯源、流向追踪、召回等紧急控制措施；配合市市场监管局对相关疫苗进行监督抽样和应急检验。</w:t>
      </w:r>
    </w:p>
    <w:p w14:paraId="6FDD2B05">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（6）赶赴事发地或相关生产、配送、储运单位，组织开展事件调查工作。根据调查进展情况，适时组织召开专家组会议，对事件性质、原因进行研判，作出研判结论。</w:t>
      </w:r>
    </w:p>
    <w:p w14:paraId="1B5A9823">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eastAsia="仿宋_GB2312"/>
          <w:color w:val="auto"/>
          <w:sz w:val="32"/>
          <w:szCs w:val="32"/>
        </w:rPr>
        <w:t>（7）建立日报告制度。各工作组牵头部门每天将工作进展情况报</w:t>
      </w:r>
      <w:r>
        <w:rPr>
          <w:rFonts w:hint="eastAsia" w:ascii="仿宋_GB2312" w:eastAsia="仿宋_GB2312"/>
          <w:color w:val="auto"/>
          <w:sz w:val="32"/>
          <w:szCs w:val="32"/>
          <w:lang w:eastAsia="zh-CN"/>
        </w:rPr>
        <w:t>区</w:t>
      </w:r>
      <w:r>
        <w:rPr>
          <w:rFonts w:hint="eastAsia" w:ascii="仿宋_GB2312" w:eastAsia="仿宋_GB2312"/>
          <w:color w:val="auto"/>
          <w:sz w:val="32"/>
          <w:szCs w:val="32"/>
        </w:rPr>
        <w:t>应急指挥部，</w:t>
      </w:r>
      <w:r>
        <w:rPr>
          <w:rFonts w:hint="eastAsia" w:ascii="仿宋_GB2312" w:eastAsia="仿宋_GB2312"/>
          <w:color w:val="auto"/>
          <w:sz w:val="32"/>
          <w:szCs w:val="32"/>
          <w:lang w:eastAsia="zh-CN"/>
        </w:rPr>
        <w:t>区</w:t>
      </w:r>
      <w:r>
        <w:rPr>
          <w:rFonts w:hint="eastAsia" w:ascii="仿宋_GB2312" w:eastAsia="仿宋_GB2312"/>
          <w:color w:val="auto"/>
          <w:sz w:val="32"/>
          <w:szCs w:val="32"/>
        </w:rPr>
        <w:t>应急指挥部汇总报告至</w:t>
      </w:r>
      <w:r>
        <w:rPr>
          <w:rFonts w:hint="eastAsia" w:ascii="仿宋_GB2312" w:eastAsia="仿宋_GB2312"/>
          <w:color w:val="auto"/>
          <w:sz w:val="32"/>
          <w:szCs w:val="32"/>
          <w:lang w:eastAsia="zh-CN"/>
        </w:rPr>
        <w:t>区</w:t>
      </w:r>
      <w:r>
        <w:rPr>
          <w:rFonts w:hint="eastAsia" w:ascii="仿宋_GB2312" w:eastAsia="仿宋_GB2312"/>
          <w:color w:val="auto"/>
          <w:sz w:val="32"/>
          <w:szCs w:val="32"/>
        </w:rPr>
        <w:t>人民政府和</w:t>
      </w:r>
      <w:r>
        <w:rPr>
          <w:rFonts w:hint="eastAsia" w:ascii="仿宋_GB2312" w:eastAsia="仿宋_GB2312"/>
          <w:color w:val="auto"/>
          <w:sz w:val="32"/>
          <w:szCs w:val="32"/>
          <w:lang w:eastAsia="zh-CN"/>
        </w:rPr>
        <w:t>区</w:t>
      </w:r>
      <w:r>
        <w:rPr>
          <w:rFonts w:hint="eastAsia" w:ascii="仿宋_GB2312" w:eastAsia="仿宋_GB2312"/>
          <w:color w:val="auto"/>
          <w:sz w:val="32"/>
          <w:szCs w:val="32"/>
        </w:rPr>
        <w:t>市场监管局后，由</w:t>
      </w:r>
      <w:r>
        <w:rPr>
          <w:rFonts w:hint="eastAsia" w:ascii="仿宋_GB2312" w:eastAsia="仿宋_GB2312"/>
          <w:color w:val="auto"/>
          <w:sz w:val="32"/>
          <w:szCs w:val="32"/>
          <w:lang w:eastAsia="zh-CN"/>
        </w:rPr>
        <w:t>区</w:t>
      </w:r>
      <w:r>
        <w:rPr>
          <w:rFonts w:hint="eastAsia" w:ascii="仿宋_GB2312" w:eastAsia="仿宋_GB2312"/>
          <w:color w:val="auto"/>
          <w:sz w:val="32"/>
          <w:szCs w:val="32"/>
        </w:rPr>
        <w:t>人民政府和</w:t>
      </w:r>
      <w:r>
        <w:rPr>
          <w:rFonts w:hint="eastAsia" w:ascii="仿宋_GB2312" w:eastAsia="仿宋_GB2312"/>
          <w:color w:val="auto"/>
          <w:sz w:val="32"/>
          <w:szCs w:val="32"/>
          <w:lang w:eastAsia="zh-CN"/>
        </w:rPr>
        <w:t>区</w:t>
      </w:r>
      <w:r>
        <w:rPr>
          <w:rFonts w:hint="eastAsia" w:ascii="仿宋_GB2312" w:eastAsia="仿宋_GB2312"/>
          <w:color w:val="auto"/>
          <w:sz w:val="32"/>
          <w:szCs w:val="32"/>
        </w:rPr>
        <w:t>市场监管局分别报至市人民政府和市市场监管局。</w:t>
      </w:r>
    </w:p>
    <w:p w14:paraId="60BA64DD">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（8）配合上级部门及时向社会发布相关警示信息，设立并对外公布咨询电话；制定新闻报道方案，及时、客观、准确地发布事件信息；密切关注社会及网络舆情，做好舆论引导工作。</w:t>
      </w:r>
    </w:p>
    <w:p w14:paraId="1EBEF1C4">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（9）密切关注社会动态，做好亲属安抚、信访接访等工作，及时处置因事件引发的群体性事件等，确保社会稳定。</w:t>
      </w:r>
    </w:p>
    <w:p w14:paraId="43491A4D">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区</w:t>
      </w:r>
      <w:r>
        <w:rPr>
          <w:rFonts w:hint="eastAsia" w:ascii="仿宋_GB2312" w:eastAsia="仿宋_GB2312"/>
          <w:color w:val="auto"/>
          <w:sz w:val="32"/>
          <w:szCs w:val="32"/>
        </w:rPr>
        <w:t>应急指挥部应对疫苗安全事件进行密切跟踪，对各工作组处置工作给予指导和支持，必要时在全</w:t>
      </w:r>
      <w:r>
        <w:rPr>
          <w:rFonts w:hint="eastAsia" w:ascii="仿宋_GB2312" w:eastAsia="仿宋_GB2312"/>
          <w:color w:val="auto"/>
          <w:sz w:val="32"/>
          <w:szCs w:val="32"/>
          <w:lang w:eastAsia="zh-CN"/>
        </w:rPr>
        <w:t>区</w:t>
      </w:r>
      <w:r>
        <w:rPr>
          <w:rFonts w:hint="eastAsia" w:ascii="仿宋_GB2312" w:eastAsia="仿宋_GB2312"/>
          <w:color w:val="auto"/>
          <w:sz w:val="32"/>
          <w:szCs w:val="32"/>
        </w:rPr>
        <w:t>范围内对事件涉及疫苗采取紧急控制措施。</w:t>
      </w:r>
    </w:p>
    <w:p w14:paraId="78E202A9">
      <w:pPr>
        <w:pStyle w:val="7"/>
        <w:numPr>
          <w:ilvl w:val="1"/>
          <w:numId w:val="2"/>
        </w:numPr>
        <w:tabs>
          <w:tab w:val="left" w:pos="1332"/>
        </w:tabs>
        <w:spacing w:before="0" w:after="0" w:line="240" w:lineRule="auto"/>
        <w:ind w:left="1331" w:right="0" w:hanging="561"/>
        <w:jc w:val="both"/>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应急响应的级别调整和终止</w:t>
      </w:r>
    </w:p>
    <w:p w14:paraId="60E75511">
      <w:pPr>
        <w:pStyle w:val="3"/>
        <w:spacing w:before="159" w:line="333" w:lineRule="auto"/>
        <w:ind w:left="131" w:right="708" w:firstLine="640"/>
        <w:jc w:val="both"/>
        <w:rPr>
          <w:rFonts w:hint="eastAsia" w:ascii="仿宋_GB2312" w:hAnsi="仿宋_GB2312" w:eastAsia="仿宋_GB2312" w:cs="仿宋_GB2312"/>
          <w:color w:val="auto"/>
        </w:rPr>
      </w:pPr>
      <w:r>
        <w:rPr>
          <w:rFonts w:hint="eastAsia" w:ascii="仿宋_GB2312" w:hAnsi="仿宋_GB2312" w:eastAsia="仿宋_GB2312" w:cs="仿宋_GB2312"/>
          <w:color w:val="auto"/>
          <w:spacing w:val="-10"/>
          <w:w w:val="95"/>
        </w:rPr>
        <w:t xml:space="preserve">事件得到有效控制，患者病情稳定或好转，没有新发类似病 </w:t>
      </w:r>
      <w:r>
        <w:rPr>
          <w:rFonts w:hint="eastAsia" w:ascii="仿宋_GB2312" w:hAnsi="仿宋_GB2312" w:eastAsia="仿宋_GB2312" w:cs="仿宋_GB2312"/>
          <w:color w:val="auto"/>
          <w:spacing w:val="-12"/>
          <w:w w:val="95"/>
        </w:rPr>
        <w:t>例，由</w:t>
      </w:r>
      <w:r>
        <w:rPr>
          <w:rFonts w:hint="eastAsia" w:ascii="仿宋_GB2312" w:hAnsi="仿宋_GB2312" w:eastAsia="仿宋_GB2312" w:cs="仿宋_GB2312"/>
          <w:color w:val="auto"/>
          <w:spacing w:val="-12"/>
          <w:w w:val="95"/>
          <w:lang w:eastAsia="zh-CN"/>
        </w:rPr>
        <w:t>区</w:t>
      </w:r>
      <w:r>
        <w:rPr>
          <w:rFonts w:hint="eastAsia" w:ascii="仿宋_GB2312" w:hAnsi="仿宋_GB2312" w:eastAsia="仿宋_GB2312" w:cs="仿宋_GB2312"/>
          <w:color w:val="auto"/>
          <w:spacing w:val="-12"/>
          <w:w w:val="95"/>
        </w:rPr>
        <w:t>应急指挥部决定调整或终止应急响应。超出本级应急处</w:t>
      </w:r>
      <w:r>
        <w:rPr>
          <w:rFonts w:hint="eastAsia" w:ascii="仿宋_GB2312" w:hAnsi="仿宋_GB2312" w:eastAsia="仿宋_GB2312" w:cs="仿宋_GB2312"/>
          <w:color w:val="auto"/>
          <w:spacing w:val="-14"/>
          <w:w w:val="95"/>
        </w:rPr>
        <w:t>置能力时，应及时报请上一级人民政府和</w:t>
      </w:r>
      <w:r>
        <w:rPr>
          <w:rFonts w:hint="eastAsia" w:ascii="仿宋_GB2312" w:hAnsi="仿宋_GB2312" w:eastAsia="仿宋_GB2312" w:cs="仿宋_GB2312"/>
          <w:color w:val="auto"/>
          <w:spacing w:val="-14"/>
          <w:w w:val="95"/>
          <w:lang w:eastAsia="zh-CN"/>
        </w:rPr>
        <w:t>市场监管</w:t>
      </w:r>
      <w:r>
        <w:rPr>
          <w:rFonts w:hint="eastAsia" w:ascii="仿宋_GB2312" w:hAnsi="仿宋_GB2312" w:eastAsia="仿宋_GB2312" w:cs="仿宋_GB2312"/>
          <w:color w:val="auto"/>
          <w:spacing w:val="-14"/>
          <w:w w:val="95"/>
        </w:rPr>
        <w:t>部门提高响应</w:t>
      </w:r>
      <w:r>
        <w:rPr>
          <w:rFonts w:hint="eastAsia" w:ascii="仿宋_GB2312" w:hAnsi="仿宋_GB2312" w:eastAsia="仿宋_GB2312" w:cs="仿宋_GB2312"/>
          <w:color w:val="auto"/>
          <w:spacing w:val="-14"/>
        </w:rPr>
        <w:t>级别。</w:t>
      </w:r>
    </w:p>
    <w:p w14:paraId="57F9BFBA">
      <w:pPr>
        <w:pStyle w:val="7"/>
        <w:numPr>
          <w:ilvl w:val="1"/>
          <w:numId w:val="2"/>
        </w:numPr>
        <w:tabs>
          <w:tab w:val="left" w:pos="1332"/>
        </w:tabs>
        <w:spacing w:before="2" w:after="0" w:line="240" w:lineRule="auto"/>
        <w:ind w:left="1331" w:right="0" w:hanging="561"/>
        <w:jc w:val="both"/>
        <w:rPr>
          <w:rFonts w:hint="eastAsia" w:ascii="楷体_GB2312" w:hAnsi="楷体_GB2312" w:eastAsia="楷体_GB2312" w:cs="楷体_GB2312"/>
          <w:color w:val="auto"/>
          <w:sz w:val="32"/>
        </w:rPr>
      </w:pPr>
      <w:r>
        <w:rPr>
          <w:rFonts w:hint="eastAsia" w:ascii="楷体_GB2312" w:hAnsi="楷体_GB2312" w:eastAsia="楷体_GB2312" w:cs="楷体_GB2312"/>
          <w:color w:val="auto"/>
          <w:sz w:val="32"/>
        </w:rPr>
        <w:t>信息发布</w:t>
      </w:r>
    </w:p>
    <w:p w14:paraId="2244F776">
      <w:pPr>
        <w:pStyle w:val="7"/>
        <w:numPr>
          <w:ilvl w:val="2"/>
          <w:numId w:val="2"/>
        </w:numPr>
        <w:tabs>
          <w:tab w:val="left" w:pos="1572"/>
        </w:tabs>
        <w:spacing w:before="159" w:after="0" w:line="333" w:lineRule="auto"/>
        <w:ind w:left="131" w:right="708" w:firstLine="640"/>
        <w:jc w:val="both"/>
        <w:rPr>
          <w:rFonts w:hint="eastAsia" w:ascii="仿宋_GB2312" w:hAnsi="仿宋_GB2312" w:eastAsia="仿宋_GB2312" w:cs="仿宋_GB2312"/>
          <w:b w:val="0"/>
          <w:bCs w:val="0"/>
          <w:color w:val="FF0000"/>
          <w:sz w:val="32"/>
        </w:rPr>
      </w:pPr>
      <w:r>
        <w:rPr>
          <w:rFonts w:hint="eastAsia" w:ascii="仿宋_GB2312" w:hAnsi="仿宋_GB2312" w:eastAsia="仿宋_GB2312" w:cs="仿宋_GB2312"/>
          <w:color w:val="auto"/>
          <w:sz w:val="32"/>
        </w:rPr>
        <w:t xml:space="preserve">Ⅰ级、Ⅱ级事件信息由国家药监局统一审核发布；Ⅲ </w:t>
      </w:r>
      <w:r>
        <w:rPr>
          <w:rFonts w:hint="eastAsia" w:ascii="仿宋_GB2312" w:hAnsi="仿宋_GB2312" w:eastAsia="仿宋_GB2312" w:cs="仿宋_GB2312"/>
          <w:color w:val="auto"/>
          <w:spacing w:val="6"/>
          <w:w w:val="95"/>
          <w:sz w:val="32"/>
        </w:rPr>
        <w:t xml:space="preserve">级事件信息由自治区应急指挥部报自治区人民政府统一审核发 </w:t>
      </w:r>
      <w:r>
        <w:rPr>
          <w:rFonts w:hint="eastAsia" w:ascii="仿宋_GB2312" w:hAnsi="仿宋_GB2312" w:eastAsia="仿宋_GB2312" w:cs="仿宋_GB2312"/>
          <w:color w:val="auto"/>
          <w:spacing w:val="-12"/>
          <w:w w:val="95"/>
          <w:sz w:val="32"/>
        </w:rPr>
        <w:t>布，并上报国家药监局；Ⅳ级事件信息由市应急指挥部报市人民</w:t>
      </w:r>
      <w:r>
        <w:rPr>
          <w:rFonts w:hint="eastAsia" w:ascii="仿宋_GB2312" w:hAnsi="仿宋_GB2312" w:eastAsia="仿宋_GB2312" w:cs="仿宋_GB2312"/>
          <w:color w:val="auto"/>
          <w:spacing w:val="-12"/>
          <w:sz w:val="32"/>
        </w:rPr>
        <w:t>政府统一审核发布，并上报自治区人民政府和自治区药监局。</w:t>
      </w:r>
    </w:p>
    <w:p w14:paraId="6EAAFDAE">
      <w:pPr>
        <w:pStyle w:val="7"/>
        <w:numPr>
          <w:ilvl w:val="2"/>
          <w:numId w:val="2"/>
        </w:numPr>
        <w:tabs>
          <w:tab w:val="left" w:pos="1572"/>
        </w:tabs>
        <w:spacing w:before="1" w:after="0" w:line="333" w:lineRule="auto"/>
        <w:ind w:left="131" w:right="708" w:firstLine="640"/>
        <w:jc w:val="both"/>
        <w:rPr>
          <w:sz w:val="32"/>
        </w:rPr>
      </w:pPr>
      <w:r>
        <w:rPr>
          <w:rFonts w:hint="eastAsia" w:ascii="仿宋_GB2312" w:hAnsi="仿宋_GB2312" w:eastAsia="仿宋_GB2312" w:cs="仿宋_GB2312"/>
          <w:color w:val="auto"/>
          <w:sz w:val="32"/>
        </w:rPr>
        <w:t>疫苗安全事件信息发布应坚持实事求是、及时准确、</w:t>
      </w:r>
      <w:r>
        <w:rPr>
          <w:rFonts w:hint="eastAsia" w:ascii="仿宋_GB2312" w:hAnsi="仿宋_GB2312" w:eastAsia="仿宋_GB2312" w:cs="仿宋_GB2312"/>
          <w:color w:val="auto"/>
          <w:spacing w:val="-12"/>
          <w:sz w:val="32"/>
        </w:rPr>
        <w:t>科学公正的原则。事件发生后，应在第一时间向社会发布简要信息，并根据事件发展情况做好后续信息发布工作。信息发布包括</w:t>
      </w:r>
      <w:r>
        <w:rPr>
          <w:rFonts w:hint="eastAsia" w:ascii="仿宋_GB2312" w:hAnsi="仿宋_GB2312" w:eastAsia="仿宋_GB2312" w:cs="仿宋_GB2312"/>
          <w:color w:val="auto"/>
          <w:spacing w:val="-14"/>
          <w:sz w:val="32"/>
        </w:rPr>
        <w:t>授权发布、组织报道、接受记者采访、举行新闻发布会、重点新</w:t>
      </w:r>
      <w:r>
        <w:rPr>
          <w:rFonts w:hint="eastAsia" w:ascii="仿宋_GB2312" w:hAnsi="仿宋_GB2312" w:eastAsia="仿宋_GB2312" w:cs="仿宋_GB2312"/>
          <w:spacing w:val="-14"/>
          <w:sz w:val="32"/>
        </w:rPr>
        <w:t>闻网站或政府网站报道等形式。</w:t>
      </w:r>
    </w:p>
    <w:p w14:paraId="33B461CF">
      <w:pPr>
        <w:pStyle w:val="7"/>
        <w:numPr>
          <w:ilvl w:val="0"/>
          <w:numId w:val="2"/>
        </w:numPr>
        <w:tabs>
          <w:tab w:val="left" w:pos="1252"/>
        </w:tabs>
        <w:spacing w:before="54" w:after="0" w:line="240" w:lineRule="auto"/>
        <w:ind w:left="1252" w:right="0" w:hanging="481"/>
        <w:jc w:val="both"/>
        <w:rPr>
          <w:rFonts w:hint="eastAsia" w:ascii="黑体" w:hAnsi="黑体" w:eastAsia="黑体" w:cs="黑体"/>
          <w:sz w:val="32"/>
        </w:rPr>
      </w:pPr>
      <w:r>
        <w:rPr>
          <w:rFonts w:hint="eastAsia" w:ascii="黑体" w:hAnsi="黑体" w:eastAsia="黑体" w:cs="黑体"/>
          <w:sz w:val="32"/>
        </w:rPr>
        <w:t>后期处置</w:t>
      </w:r>
    </w:p>
    <w:p w14:paraId="6BDB41E2">
      <w:pPr>
        <w:pStyle w:val="7"/>
        <w:numPr>
          <w:ilvl w:val="1"/>
          <w:numId w:val="2"/>
        </w:numPr>
        <w:tabs>
          <w:tab w:val="left" w:pos="1332"/>
        </w:tabs>
        <w:spacing w:before="171" w:after="0" w:line="240" w:lineRule="auto"/>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事件评估</w:t>
      </w:r>
    </w:p>
    <w:p w14:paraId="3B4ACE21">
      <w:pPr>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疫苗安全事件应急处置结束后，</w:t>
      </w:r>
      <w:r>
        <w:rPr>
          <w:rFonts w:hint="eastAsia" w:ascii="仿宋_GB2312" w:eastAsia="仿宋_GB2312"/>
          <w:sz w:val="32"/>
          <w:szCs w:val="32"/>
          <w:lang w:eastAsia="zh-CN"/>
        </w:rPr>
        <w:t>区</w:t>
      </w:r>
      <w:r>
        <w:rPr>
          <w:rFonts w:hint="eastAsia" w:ascii="仿宋_GB2312" w:eastAsia="仿宋_GB2312"/>
          <w:sz w:val="32"/>
          <w:szCs w:val="32"/>
        </w:rPr>
        <w:t>应急指挥部要及时对事件发生的经过、采取的主要措施、处置工作情况、原因分析、主要做法进行总结，并提出改进措施。再由</w:t>
      </w:r>
      <w:r>
        <w:rPr>
          <w:rFonts w:hint="eastAsia" w:ascii="仿宋_GB2312" w:eastAsia="仿宋_GB2312"/>
          <w:sz w:val="32"/>
          <w:szCs w:val="32"/>
          <w:lang w:eastAsia="zh-CN"/>
        </w:rPr>
        <w:t>区</w:t>
      </w:r>
      <w:r>
        <w:rPr>
          <w:rFonts w:hint="eastAsia" w:ascii="仿宋_GB2312" w:eastAsia="仿宋_GB2312"/>
          <w:sz w:val="32"/>
          <w:szCs w:val="32"/>
        </w:rPr>
        <w:t>人民政府和</w:t>
      </w:r>
      <w:r>
        <w:rPr>
          <w:rFonts w:hint="eastAsia" w:ascii="仿宋_GB2312" w:eastAsia="仿宋_GB2312"/>
          <w:sz w:val="32"/>
          <w:szCs w:val="32"/>
          <w:lang w:eastAsia="zh-CN"/>
        </w:rPr>
        <w:t>区</w:t>
      </w:r>
      <w:r>
        <w:rPr>
          <w:rFonts w:hint="eastAsia" w:ascii="仿宋_GB2312" w:eastAsia="仿宋_GB2312"/>
          <w:sz w:val="32"/>
          <w:szCs w:val="32"/>
        </w:rPr>
        <w:t>市场监管局分别报送至市人民政府和市市场监管局。</w:t>
      </w:r>
    </w:p>
    <w:p w14:paraId="5EEE0CF3">
      <w:pPr>
        <w:pStyle w:val="7"/>
        <w:numPr>
          <w:ilvl w:val="1"/>
          <w:numId w:val="2"/>
        </w:numPr>
        <w:tabs>
          <w:tab w:val="left" w:pos="1332"/>
        </w:tabs>
        <w:spacing w:before="0" w:after="0" w:line="406" w:lineRule="exact"/>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工作总结</w:t>
      </w:r>
    </w:p>
    <w:p w14:paraId="15DB875A">
      <w:pPr>
        <w:pStyle w:val="3"/>
        <w:spacing w:before="169" w:line="338" w:lineRule="auto"/>
        <w:ind w:left="131" w:right="708" w:firstLine="640"/>
        <w:jc w:val="both"/>
        <w:rPr>
          <w:rFonts w:hint="eastAsia" w:ascii="仿宋_GB2312" w:hAnsi="仿宋_GB2312" w:eastAsia="仿宋_GB2312" w:cs="仿宋_GB2312"/>
        </w:rPr>
      </w:pPr>
      <w:r>
        <w:rPr>
          <w:rFonts w:hint="eastAsia" w:ascii="仿宋_GB2312" w:hAnsi="仿宋_GB2312" w:eastAsia="仿宋_GB2312" w:cs="仿宋_GB2312"/>
          <w:spacing w:val="-9"/>
        </w:rPr>
        <w:t>疫苗安全事件应急处置结束后，各级应急指挥部要及时对事</w:t>
      </w:r>
      <w:r>
        <w:rPr>
          <w:rFonts w:hint="eastAsia" w:ascii="仿宋_GB2312" w:hAnsi="仿宋_GB2312" w:eastAsia="仿宋_GB2312" w:cs="仿宋_GB2312"/>
          <w:spacing w:val="-13"/>
          <w:w w:val="95"/>
        </w:rPr>
        <w:t>件发生的经过、采取的主要措施、处置工作情况、原因分析、主</w:t>
      </w:r>
      <w:r>
        <w:rPr>
          <w:rFonts w:hint="eastAsia" w:ascii="仿宋_GB2312" w:hAnsi="仿宋_GB2312" w:eastAsia="仿宋_GB2312" w:cs="仿宋_GB2312"/>
          <w:spacing w:val="-13"/>
        </w:rPr>
        <w:t>要做法进行总结，并提出改进措施。</w:t>
      </w:r>
    </w:p>
    <w:p w14:paraId="609D5B93">
      <w:pPr>
        <w:pStyle w:val="7"/>
        <w:numPr>
          <w:ilvl w:val="1"/>
          <w:numId w:val="2"/>
        </w:numPr>
        <w:tabs>
          <w:tab w:val="left" w:pos="1332"/>
        </w:tabs>
        <w:spacing w:before="5" w:after="0" w:line="240" w:lineRule="auto"/>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善后与恢复</w:t>
      </w:r>
    </w:p>
    <w:p w14:paraId="3C851AC8">
      <w:pPr>
        <w:pStyle w:val="3"/>
        <w:spacing w:before="171" w:line="338" w:lineRule="auto"/>
        <w:ind w:left="131" w:right="593" w:firstLine="640"/>
        <w:rPr>
          <w:rFonts w:hint="eastAsia" w:ascii="仿宋_GB2312" w:hAnsi="仿宋_GB2312" w:eastAsia="仿宋_GB2312" w:cs="仿宋_GB2312"/>
          <w:lang w:eastAsia="zh-CN"/>
        </w:rPr>
      </w:pPr>
      <w:r>
        <w:rPr>
          <w:rFonts w:hint="eastAsia" w:ascii="仿宋_GB2312" w:hAnsi="仿宋_GB2312" w:eastAsia="仿宋_GB2312" w:cs="仿宋_GB2312"/>
          <w:lang w:eastAsia="zh-CN"/>
        </w:rPr>
        <w:t>区</w:t>
      </w:r>
      <w:r>
        <w:rPr>
          <w:rFonts w:hint="eastAsia" w:ascii="仿宋_GB2312" w:hAnsi="仿宋_GB2312" w:eastAsia="仿宋_GB2312" w:cs="仿宋_GB2312"/>
        </w:rPr>
        <w:t xml:space="preserve">应急指挥部根据疫苗安全事件危害程度及造成的损失， </w:t>
      </w:r>
      <w:r>
        <w:rPr>
          <w:rFonts w:hint="eastAsia" w:ascii="仿宋_GB2312" w:hAnsi="仿宋_GB2312" w:eastAsia="仿宋_GB2312" w:cs="仿宋_GB2312"/>
          <w:spacing w:val="-10"/>
        </w:rPr>
        <w:t>提出善后处理意见，并报</w:t>
      </w:r>
      <w:r>
        <w:rPr>
          <w:rFonts w:hint="eastAsia" w:ascii="仿宋_GB2312" w:hAnsi="仿宋_GB2312" w:eastAsia="仿宋_GB2312" w:cs="仿宋_GB2312"/>
          <w:spacing w:val="-10"/>
          <w:lang w:eastAsia="zh-CN"/>
        </w:rPr>
        <w:t>区</w:t>
      </w:r>
      <w:r>
        <w:rPr>
          <w:rFonts w:hint="eastAsia" w:ascii="仿宋_GB2312" w:hAnsi="仿宋_GB2312" w:eastAsia="仿宋_GB2312" w:cs="仿宋_GB2312"/>
          <w:spacing w:val="-10"/>
        </w:rPr>
        <w:t>人民政府批准。事发地</w:t>
      </w:r>
      <w:r>
        <w:rPr>
          <w:rFonts w:hint="eastAsia" w:ascii="仿宋_GB2312" w:hAnsi="仿宋_GB2312" w:eastAsia="仿宋_GB2312" w:cs="仿宋_GB2312"/>
          <w:spacing w:val="-10"/>
          <w:lang w:eastAsia="zh-CN"/>
        </w:rPr>
        <w:t>镇（街道）</w:t>
      </w:r>
      <w:r>
        <w:rPr>
          <w:rFonts w:hint="eastAsia" w:ascii="仿宋_GB2312" w:hAnsi="仿宋_GB2312" w:eastAsia="仿宋_GB2312" w:cs="仿宋_GB2312"/>
          <w:spacing w:val="-10"/>
        </w:rPr>
        <w:t>人民政府</w:t>
      </w:r>
      <w:r>
        <w:rPr>
          <w:rFonts w:hint="eastAsia" w:ascii="仿宋_GB2312" w:hAnsi="仿宋_GB2312" w:eastAsia="仿宋_GB2312" w:cs="仿宋_GB2312"/>
          <w:spacing w:val="-10"/>
          <w:lang w:eastAsia="zh-CN"/>
        </w:rPr>
        <w:t>（办事处）</w:t>
      </w:r>
      <w:r>
        <w:rPr>
          <w:rFonts w:hint="eastAsia" w:ascii="仿宋_GB2312" w:hAnsi="仿宋_GB2312" w:eastAsia="仿宋_GB2312" w:cs="仿宋_GB2312"/>
          <w:spacing w:val="-10"/>
        </w:rPr>
        <w:t>负</w:t>
      </w:r>
      <w:r>
        <w:rPr>
          <w:rFonts w:hint="eastAsia" w:ascii="仿宋_GB2312" w:hAnsi="仿宋_GB2312" w:eastAsia="仿宋_GB2312" w:cs="仿宋_GB2312"/>
          <w:spacing w:val="-14"/>
        </w:rPr>
        <w:t>责组织善后处置工作，包括受害及受影响人员的处置、慰问、医</w:t>
      </w:r>
      <w:r>
        <w:rPr>
          <w:rFonts w:hint="eastAsia" w:ascii="仿宋_GB2312" w:hAnsi="仿宋_GB2312" w:eastAsia="仿宋_GB2312" w:cs="仿宋_GB2312"/>
          <w:spacing w:val="-18"/>
        </w:rPr>
        <w:t>疗救治、赔</w:t>
      </w:r>
      <w:r>
        <w:rPr>
          <w:rFonts w:hint="eastAsia" w:ascii="仿宋_GB2312" w:hAnsi="仿宋_GB2312" w:eastAsia="仿宋_GB2312" w:cs="仿宋_GB2312"/>
        </w:rPr>
        <w:t>（补</w:t>
      </w:r>
      <w:r>
        <w:rPr>
          <w:rFonts w:hint="eastAsia" w:ascii="仿宋_GB2312" w:hAnsi="仿宋_GB2312" w:eastAsia="仿宋_GB2312" w:cs="仿宋_GB2312"/>
          <w:spacing w:val="-22"/>
        </w:rPr>
        <w:t>）</w:t>
      </w:r>
      <w:r>
        <w:rPr>
          <w:rFonts w:hint="eastAsia" w:ascii="仿宋_GB2312" w:hAnsi="仿宋_GB2312" w:eastAsia="仿宋_GB2312" w:cs="仿宋_GB2312"/>
          <w:spacing w:val="-6"/>
        </w:rPr>
        <w:t>偿、征用物资和救援费用补偿等事项，尽快消除影响，恢复生产经营秩序，确保社会稳定</w:t>
      </w:r>
      <w:r>
        <w:rPr>
          <w:rFonts w:hint="eastAsia" w:ascii="仿宋_GB2312" w:hAnsi="仿宋_GB2312" w:eastAsia="仿宋_GB2312" w:cs="仿宋_GB2312"/>
          <w:spacing w:val="-6"/>
          <w:lang w:eastAsia="zh-CN"/>
        </w:rPr>
        <w:t>。</w:t>
      </w:r>
    </w:p>
    <w:p w14:paraId="688AFFAB">
      <w:pPr>
        <w:pStyle w:val="7"/>
        <w:numPr>
          <w:ilvl w:val="0"/>
          <w:numId w:val="2"/>
        </w:numPr>
        <w:tabs>
          <w:tab w:val="left" w:pos="1251"/>
          <w:tab w:val="left" w:pos="1252"/>
        </w:tabs>
        <w:spacing w:before="9" w:after="0" w:line="240" w:lineRule="auto"/>
        <w:ind w:left="1252" w:right="0" w:hanging="481"/>
        <w:jc w:val="left"/>
        <w:rPr>
          <w:rFonts w:hint="eastAsia" w:ascii="黑体" w:hAnsi="黑体" w:eastAsia="黑体" w:cs="黑体"/>
          <w:sz w:val="32"/>
        </w:rPr>
      </w:pPr>
      <w:r>
        <w:rPr>
          <w:rFonts w:hint="eastAsia" w:ascii="黑体" w:hAnsi="黑体" w:eastAsia="黑体" w:cs="黑体"/>
          <w:sz w:val="32"/>
        </w:rPr>
        <w:t>应急保障</w:t>
      </w:r>
    </w:p>
    <w:p w14:paraId="3596E874">
      <w:pPr>
        <w:pStyle w:val="7"/>
        <w:numPr>
          <w:ilvl w:val="1"/>
          <w:numId w:val="2"/>
        </w:numPr>
        <w:tabs>
          <w:tab w:val="left" w:pos="1332"/>
        </w:tabs>
        <w:spacing w:before="171"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队伍保障</w:t>
      </w:r>
    </w:p>
    <w:p w14:paraId="2DEBCDE3">
      <w:pPr>
        <w:pStyle w:val="3"/>
        <w:spacing w:before="168" w:line="340" w:lineRule="auto"/>
        <w:ind w:left="131" w:right="550" w:firstLine="640"/>
        <w:rPr>
          <w:rFonts w:hint="eastAsia" w:ascii="仿宋_GB2312" w:hAnsi="仿宋_GB2312" w:eastAsia="仿宋_GB2312" w:cs="仿宋_GB2312"/>
          <w:sz w:val="32"/>
          <w:szCs w:val="32"/>
        </w:rPr>
      </w:pPr>
      <w:r>
        <w:rPr>
          <w:rFonts w:hint="eastAsia" w:ascii="仿宋_GB2312" w:hAnsi="仿宋_GB2312" w:eastAsia="仿宋_GB2312" w:cs="仿宋_GB2312"/>
          <w:spacing w:val="-9"/>
          <w:sz w:val="32"/>
          <w:szCs w:val="32"/>
          <w:lang w:eastAsia="zh-CN"/>
        </w:rPr>
        <w:t>区</w:t>
      </w:r>
      <w:r>
        <w:rPr>
          <w:rFonts w:hint="eastAsia" w:ascii="仿宋_GB2312" w:hAnsi="仿宋_GB2312" w:eastAsia="仿宋_GB2312" w:cs="仿宋_GB2312"/>
          <w:spacing w:val="-9"/>
          <w:sz w:val="32"/>
          <w:szCs w:val="32"/>
        </w:rPr>
        <w:t>应急指挥部成员单位、专家组、药品检验机构、疾病预防控</w:t>
      </w:r>
      <w:r>
        <w:rPr>
          <w:rFonts w:hint="eastAsia" w:ascii="仿宋_GB2312" w:hAnsi="仿宋_GB2312" w:eastAsia="仿宋_GB2312" w:cs="仿宋_GB2312"/>
          <w:spacing w:val="-13"/>
          <w:sz w:val="32"/>
          <w:szCs w:val="32"/>
        </w:rPr>
        <w:t>制机构，以及药品应急处置力量，是全</w:t>
      </w:r>
      <w:r>
        <w:rPr>
          <w:rFonts w:hint="eastAsia" w:ascii="仿宋_GB2312" w:hAnsi="仿宋_GB2312" w:eastAsia="仿宋_GB2312" w:cs="仿宋_GB2312"/>
          <w:spacing w:val="-13"/>
          <w:sz w:val="32"/>
          <w:szCs w:val="32"/>
          <w:lang w:eastAsia="zh-CN"/>
        </w:rPr>
        <w:t>区</w:t>
      </w:r>
      <w:r>
        <w:rPr>
          <w:rFonts w:hint="eastAsia" w:ascii="仿宋_GB2312" w:hAnsi="仿宋_GB2312" w:eastAsia="仿宋_GB2312" w:cs="仿宋_GB2312"/>
          <w:spacing w:val="-13"/>
          <w:sz w:val="32"/>
          <w:szCs w:val="32"/>
        </w:rPr>
        <w:t>疫苗安全事件</w:t>
      </w:r>
      <w:r>
        <w:rPr>
          <w:rFonts w:hint="eastAsia" w:ascii="仿宋_GB2312" w:hAnsi="仿宋_GB2312" w:eastAsia="仿宋_GB2312" w:cs="仿宋_GB2312"/>
          <w:spacing w:val="-16"/>
          <w:sz w:val="32"/>
          <w:szCs w:val="32"/>
        </w:rPr>
        <w:t>应急处置专业队伍。各</w:t>
      </w:r>
      <w:r>
        <w:rPr>
          <w:rFonts w:hint="eastAsia" w:ascii="仿宋_GB2312" w:hAnsi="仿宋_GB2312" w:eastAsia="仿宋_GB2312" w:cs="仿宋_GB2312"/>
          <w:spacing w:val="-16"/>
          <w:sz w:val="32"/>
          <w:szCs w:val="32"/>
          <w:lang w:eastAsia="zh-CN"/>
        </w:rPr>
        <w:t>镇（街道）</w:t>
      </w:r>
      <w:r>
        <w:rPr>
          <w:rFonts w:hint="eastAsia" w:ascii="仿宋_GB2312" w:hAnsi="仿宋_GB2312" w:eastAsia="仿宋_GB2312" w:cs="仿宋_GB2312"/>
          <w:spacing w:val="-16"/>
          <w:sz w:val="32"/>
          <w:szCs w:val="32"/>
        </w:rPr>
        <w:t>和有关部门应不断加强业务培</w:t>
      </w:r>
      <w:r>
        <w:rPr>
          <w:rFonts w:hint="eastAsia" w:ascii="仿宋_GB2312" w:hAnsi="仿宋_GB2312" w:eastAsia="仿宋_GB2312" w:cs="仿宋_GB2312"/>
          <w:spacing w:val="-21"/>
          <w:w w:val="95"/>
          <w:sz w:val="32"/>
          <w:szCs w:val="32"/>
        </w:rPr>
        <w:t xml:space="preserve">训和应急演练，提高队伍素质，提高装备水平，并动员社会团体、 </w:t>
      </w:r>
      <w:r>
        <w:rPr>
          <w:rFonts w:hint="eastAsia" w:ascii="仿宋_GB2312" w:hAnsi="仿宋_GB2312" w:eastAsia="仿宋_GB2312" w:cs="仿宋_GB2312"/>
          <w:spacing w:val="-21"/>
          <w:sz w:val="32"/>
          <w:szCs w:val="32"/>
        </w:rPr>
        <w:t>企事业单位及志愿者等各种社会力量参与应急处置工作。</w:t>
      </w:r>
    </w:p>
    <w:p w14:paraId="3709A016">
      <w:pPr>
        <w:pStyle w:val="7"/>
        <w:numPr>
          <w:ilvl w:val="1"/>
          <w:numId w:val="2"/>
        </w:numPr>
        <w:tabs>
          <w:tab w:val="left" w:pos="1332"/>
        </w:tabs>
        <w:spacing w:before="54"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医疗保障</w:t>
      </w:r>
    </w:p>
    <w:p w14:paraId="7F0B11A6">
      <w:pPr>
        <w:pStyle w:val="3"/>
        <w:spacing w:before="171" w:line="338" w:lineRule="auto"/>
        <w:ind w:left="131" w:right="593" w:firstLine="640"/>
        <w:rPr>
          <w:rFonts w:hint="eastAsia" w:ascii="仿宋_GB2312" w:hAnsi="仿宋_GB2312" w:eastAsia="仿宋_GB2312" w:cs="仿宋_GB2312"/>
        </w:rPr>
      </w:pPr>
      <w:r>
        <w:rPr>
          <w:rFonts w:hint="eastAsia" w:ascii="仿宋_GB2312" w:hAnsi="仿宋_GB2312" w:eastAsia="仿宋_GB2312" w:cs="仿宋_GB2312"/>
        </w:rPr>
        <w:t>卫生健康部门负责组织医学救援队伍，指定应急救治机构， 根据需要及时赶赴现场开展医疗救治。</w:t>
      </w:r>
    </w:p>
    <w:p w14:paraId="1B8E169F">
      <w:pPr>
        <w:pStyle w:val="7"/>
        <w:numPr>
          <w:ilvl w:val="1"/>
          <w:numId w:val="2"/>
        </w:numPr>
        <w:tabs>
          <w:tab w:val="left" w:pos="1332"/>
        </w:tabs>
        <w:spacing w:before="3" w:after="0" w:line="240" w:lineRule="auto"/>
        <w:ind w:left="1331" w:right="0" w:hanging="561"/>
        <w:jc w:val="left"/>
        <w:rPr>
          <w:rFonts w:hint="eastAsia" w:ascii="楷体_GB2312" w:hAnsi="楷体_GB2312" w:eastAsia="楷体_GB2312" w:cs="楷体_GB2312"/>
          <w:sz w:val="36"/>
          <w:szCs w:val="36"/>
        </w:rPr>
      </w:pPr>
      <w:r>
        <w:rPr>
          <w:rFonts w:hint="eastAsia" w:ascii="楷体_GB2312" w:hAnsi="楷体_GB2312" w:eastAsia="楷体_GB2312" w:cs="楷体_GB2312"/>
          <w:sz w:val="36"/>
          <w:szCs w:val="36"/>
        </w:rPr>
        <w:t>交通运输保障</w:t>
      </w:r>
    </w:p>
    <w:p w14:paraId="16CE0D5F">
      <w:pPr>
        <w:pStyle w:val="3"/>
        <w:spacing w:before="171" w:line="338" w:lineRule="auto"/>
        <w:ind w:left="131" w:right="593" w:firstLine="640"/>
        <w:rPr>
          <w:rFonts w:hint="eastAsia" w:ascii="仿宋_GB2312" w:hAnsi="仿宋_GB2312" w:eastAsia="仿宋_GB2312" w:cs="仿宋_GB2312"/>
        </w:rPr>
      </w:pPr>
      <w:r>
        <w:rPr>
          <w:rFonts w:hint="eastAsia" w:ascii="仿宋_GB2312" w:hAnsi="仿宋_GB2312" w:eastAsia="仿宋_GB2312" w:cs="仿宋_GB2312"/>
          <w:spacing w:val="-10"/>
        </w:rPr>
        <w:t xml:space="preserve">交通运输、公安等有关部门要优先安排、优先调度、优先放行处置疫苗安全事件的应急交通工具。根据应急处置工作需要， </w:t>
      </w:r>
      <w:r>
        <w:rPr>
          <w:rFonts w:hint="eastAsia" w:ascii="仿宋_GB2312" w:hAnsi="仿宋_GB2312" w:eastAsia="仿宋_GB2312" w:cs="仿宋_GB2312"/>
          <w:spacing w:val="-15"/>
        </w:rPr>
        <w:t>政府</w:t>
      </w:r>
      <w:r>
        <w:rPr>
          <w:rFonts w:hint="eastAsia" w:ascii="仿宋_GB2312" w:hAnsi="仿宋_GB2312" w:eastAsia="仿宋_GB2312" w:cs="仿宋_GB2312"/>
          <w:spacing w:val="-15"/>
          <w:lang w:eastAsia="zh-CN"/>
        </w:rPr>
        <w:t>有</w:t>
      </w:r>
      <w:r>
        <w:rPr>
          <w:rFonts w:hint="eastAsia" w:ascii="仿宋_GB2312" w:hAnsi="仿宋_GB2312" w:eastAsia="仿宋_GB2312" w:cs="仿宋_GB2312"/>
          <w:spacing w:val="-15"/>
        </w:rPr>
        <w:t>关部门要对事发地现场及相关通道实行交通管制，确保应急运输畅通。</w:t>
      </w:r>
    </w:p>
    <w:p w14:paraId="0BAB2382">
      <w:pPr>
        <w:pStyle w:val="7"/>
        <w:numPr>
          <w:ilvl w:val="1"/>
          <w:numId w:val="2"/>
        </w:numPr>
        <w:tabs>
          <w:tab w:val="left" w:pos="1332"/>
        </w:tabs>
        <w:spacing w:before="8"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资金保障</w:t>
      </w:r>
      <w:bookmarkStart w:id="0" w:name="_GoBack"/>
      <w:bookmarkEnd w:id="0"/>
    </w:p>
    <w:p w14:paraId="62DE2FDA">
      <w:pPr>
        <w:pStyle w:val="3"/>
        <w:spacing w:before="169" w:line="340" w:lineRule="auto"/>
        <w:ind w:left="131" w:right="708" w:firstLine="640"/>
        <w:rPr>
          <w:rFonts w:hint="eastAsia" w:ascii="仿宋_GB2312" w:hAnsi="仿宋_GB2312" w:eastAsia="仿宋_GB2312" w:cs="仿宋_GB2312"/>
        </w:rPr>
      </w:pPr>
      <w:r>
        <w:rPr>
          <w:rFonts w:hint="eastAsia" w:ascii="仿宋_GB2312" w:hAnsi="仿宋_GB2312" w:eastAsia="仿宋_GB2312" w:cs="仿宋_GB2312"/>
          <w:spacing w:val="6"/>
          <w:w w:val="95"/>
        </w:rPr>
        <w:t xml:space="preserve">各级各部门疫苗安全事件应急处置相关经费由相关部门根 </w:t>
      </w:r>
      <w:r>
        <w:rPr>
          <w:rFonts w:hint="eastAsia" w:ascii="仿宋_GB2312" w:hAnsi="仿宋_GB2312" w:eastAsia="仿宋_GB2312" w:cs="仿宋_GB2312"/>
          <w:spacing w:val="6"/>
        </w:rPr>
        <w:t>据实际工作需要按照规定向本级人民政府申请。</w:t>
      </w:r>
    </w:p>
    <w:p w14:paraId="37798745">
      <w:pPr>
        <w:pStyle w:val="7"/>
        <w:numPr>
          <w:ilvl w:val="1"/>
          <w:numId w:val="2"/>
        </w:numPr>
        <w:tabs>
          <w:tab w:val="left" w:pos="1332"/>
        </w:tabs>
        <w:spacing w:before="0" w:after="0" w:line="407" w:lineRule="exact"/>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信息保障</w:t>
      </w:r>
    </w:p>
    <w:p w14:paraId="205F6071">
      <w:pPr>
        <w:pStyle w:val="3"/>
        <w:spacing w:before="168" w:line="338" w:lineRule="auto"/>
        <w:ind w:left="131" w:right="550" w:firstLine="640"/>
        <w:rPr>
          <w:rFonts w:hint="eastAsia" w:ascii="楷体_GB2312" w:hAnsi="楷体_GB2312" w:eastAsia="楷体_GB2312" w:cs="楷体_GB2312"/>
        </w:rPr>
      </w:pPr>
      <w:r>
        <w:rPr>
          <w:rFonts w:hint="eastAsia" w:ascii="仿宋_GB2312" w:hAnsi="仿宋_GB2312" w:eastAsia="仿宋_GB2312" w:cs="仿宋_GB2312"/>
          <w:spacing w:val="6"/>
        </w:rPr>
        <w:t>各</w:t>
      </w:r>
      <w:r>
        <w:rPr>
          <w:rFonts w:hint="eastAsia" w:ascii="仿宋_GB2312" w:hAnsi="仿宋_GB2312" w:eastAsia="仿宋_GB2312" w:cs="仿宋_GB2312"/>
          <w:spacing w:val="6"/>
          <w:lang w:eastAsia="zh-CN"/>
        </w:rPr>
        <w:t>镇（街道）</w:t>
      </w:r>
      <w:r>
        <w:rPr>
          <w:rFonts w:hint="eastAsia" w:ascii="仿宋_GB2312" w:hAnsi="仿宋_GB2312" w:eastAsia="仿宋_GB2312" w:cs="仿宋_GB2312"/>
          <w:spacing w:val="6"/>
        </w:rPr>
        <w:t>人民政府</w:t>
      </w:r>
      <w:r>
        <w:rPr>
          <w:rFonts w:hint="eastAsia" w:ascii="仿宋_GB2312" w:hAnsi="仿宋_GB2312" w:eastAsia="仿宋_GB2312" w:cs="仿宋_GB2312"/>
          <w:spacing w:val="6"/>
          <w:lang w:eastAsia="zh-CN"/>
        </w:rPr>
        <w:t>（办事处）</w:t>
      </w:r>
      <w:r>
        <w:rPr>
          <w:rFonts w:hint="eastAsia" w:ascii="仿宋_GB2312" w:hAnsi="仿宋_GB2312" w:eastAsia="仿宋_GB2312" w:cs="仿宋_GB2312"/>
          <w:spacing w:val="6"/>
        </w:rPr>
        <w:t>及其相关部门建立健全预防接种异常反应监</w:t>
      </w:r>
      <w:r>
        <w:rPr>
          <w:rFonts w:hint="eastAsia" w:ascii="仿宋_GB2312" w:hAnsi="仿宋_GB2312" w:eastAsia="仿宋_GB2312" w:cs="仿宋_GB2312"/>
          <w:spacing w:val="-17"/>
          <w:w w:val="95"/>
        </w:rPr>
        <w:t>测、投诉举报等信息网络体系，完善信息数据库和信息报告系统，</w:t>
      </w:r>
      <w:r>
        <w:rPr>
          <w:rFonts w:hint="eastAsia" w:ascii="仿宋_GB2312" w:hAnsi="仿宋_GB2312" w:eastAsia="仿宋_GB2312" w:cs="仿宋_GB2312"/>
          <w:spacing w:val="-21"/>
        </w:rPr>
        <w:t>加强基层预防接种异常反应监测网络建设，实现信息快速传递和反馈，提高预警和快速反应能力。</w:t>
      </w:r>
    </w:p>
    <w:p w14:paraId="723A6848">
      <w:pPr>
        <w:pStyle w:val="7"/>
        <w:numPr>
          <w:ilvl w:val="1"/>
          <w:numId w:val="2"/>
        </w:numPr>
        <w:tabs>
          <w:tab w:val="left" w:pos="1332"/>
        </w:tabs>
        <w:spacing w:before="8"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sz w:val="32"/>
        </w:rPr>
        <w:t>预案演练</w:t>
      </w:r>
    </w:p>
    <w:p w14:paraId="07ED13A0">
      <w:pPr>
        <w:pStyle w:val="3"/>
        <w:spacing w:before="169" w:line="340" w:lineRule="auto"/>
        <w:ind w:left="131" w:right="708" w:firstLine="640"/>
        <w:jc w:val="both"/>
        <w:rPr>
          <w:rFonts w:hint="eastAsia" w:ascii="仿宋_GB2312" w:hAnsi="仿宋_GB2312" w:eastAsia="仿宋_GB2312" w:cs="仿宋_GB2312"/>
        </w:rPr>
      </w:pPr>
      <w:r>
        <w:rPr>
          <w:rFonts w:hint="eastAsia" w:ascii="仿宋_GB2312" w:hAnsi="仿宋_GB2312" w:eastAsia="仿宋_GB2312" w:cs="仿宋_GB2312"/>
          <w:spacing w:val="6"/>
        </w:rPr>
        <w:t>各</w:t>
      </w:r>
      <w:r>
        <w:rPr>
          <w:rFonts w:hint="eastAsia" w:ascii="仿宋_GB2312" w:hAnsi="仿宋_GB2312" w:eastAsia="仿宋_GB2312" w:cs="仿宋_GB2312"/>
          <w:spacing w:val="6"/>
          <w:lang w:eastAsia="zh-CN"/>
        </w:rPr>
        <w:t>镇（街道）</w:t>
      </w:r>
      <w:r>
        <w:rPr>
          <w:rFonts w:hint="eastAsia" w:ascii="仿宋_GB2312" w:hAnsi="仿宋_GB2312" w:eastAsia="仿宋_GB2312" w:cs="仿宋_GB2312"/>
          <w:spacing w:val="6"/>
        </w:rPr>
        <w:t>人民政府</w:t>
      </w:r>
      <w:r>
        <w:rPr>
          <w:rFonts w:hint="eastAsia" w:ascii="仿宋_GB2312" w:hAnsi="仿宋_GB2312" w:eastAsia="仿宋_GB2312" w:cs="仿宋_GB2312"/>
          <w:spacing w:val="6"/>
          <w:lang w:eastAsia="zh-CN"/>
        </w:rPr>
        <w:t>（办事处）</w:t>
      </w:r>
      <w:r>
        <w:rPr>
          <w:rFonts w:hint="eastAsia" w:ascii="仿宋_GB2312" w:hAnsi="仿宋_GB2312" w:eastAsia="仿宋_GB2312" w:cs="仿宋_GB2312"/>
          <w:spacing w:val="-7"/>
        </w:rPr>
        <w:t>及有关部门要按照“统一规划、分类实施、分</w:t>
      </w:r>
      <w:r>
        <w:rPr>
          <w:rFonts w:hint="eastAsia" w:ascii="仿宋_GB2312" w:hAnsi="仿宋_GB2312" w:eastAsia="仿宋_GB2312" w:cs="仿宋_GB2312"/>
          <w:spacing w:val="-13"/>
          <w:w w:val="95"/>
        </w:rPr>
        <w:t>级负责、突出重点、适应需求”的原则，采取定期与不定期相结</w:t>
      </w:r>
      <w:r>
        <w:rPr>
          <w:rFonts w:hint="eastAsia" w:ascii="仿宋_GB2312" w:hAnsi="仿宋_GB2312" w:eastAsia="仿宋_GB2312" w:cs="仿宋_GB2312"/>
          <w:spacing w:val="-21"/>
        </w:rPr>
        <w:t xml:space="preserve">合的方式，至少每 </w:t>
      </w:r>
      <w:r>
        <w:rPr>
          <w:rFonts w:hint="eastAsia" w:ascii="仿宋_GB2312" w:hAnsi="仿宋_GB2312" w:eastAsia="仿宋_GB2312" w:cs="仿宋_GB2312"/>
        </w:rPr>
        <w:t>3</w:t>
      </w:r>
      <w:r>
        <w:rPr>
          <w:rFonts w:hint="eastAsia" w:ascii="仿宋_GB2312" w:hAnsi="仿宋_GB2312" w:eastAsia="仿宋_GB2312" w:cs="仿宋_GB2312"/>
          <w:spacing w:val="-25"/>
        </w:rPr>
        <w:t xml:space="preserve"> 年组织开展 </w:t>
      </w:r>
      <w:r>
        <w:rPr>
          <w:rFonts w:hint="eastAsia" w:ascii="仿宋_GB2312" w:hAnsi="仿宋_GB2312" w:eastAsia="仿宋_GB2312" w:cs="仿宋_GB2312"/>
        </w:rPr>
        <w:t>1</w:t>
      </w:r>
      <w:r>
        <w:rPr>
          <w:rFonts w:hint="eastAsia" w:ascii="仿宋_GB2312" w:hAnsi="仿宋_GB2312" w:eastAsia="仿宋_GB2312" w:cs="仿宋_GB2312"/>
          <w:spacing w:val="-10"/>
        </w:rPr>
        <w:t xml:space="preserve"> 次突发事件应急演习演练。</w:t>
      </w:r>
    </w:p>
    <w:p w14:paraId="1E93206F">
      <w:pPr>
        <w:pStyle w:val="7"/>
        <w:numPr>
          <w:ilvl w:val="1"/>
          <w:numId w:val="2"/>
        </w:numPr>
        <w:tabs>
          <w:tab w:val="left" w:pos="1332"/>
        </w:tabs>
        <w:spacing w:before="54" w:after="0" w:line="240" w:lineRule="auto"/>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宣传教育</w:t>
      </w:r>
    </w:p>
    <w:p w14:paraId="5F46A955">
      <w:pPr>
        <w:pStyle w:val="3"/>
        <w:spacing w:before="161" w:line="333" w:lineRule="auto"/>
        <w:ind w:left="131" w:right="708" w:firstLine="640"/>
        <w:jc w:val="both"/>
        <w:rPr>
          <w:sz w:val="25"/>
        </w:rPr>
      </w:pPr>
      <w:r>
        <w:rPr>
          <w:rFonts w:hint="eastAsia" w:ascii="仿宋_GB2312" w:hAnsi="仿宋_GB2312" w:eastAsia="仿宋_GB2312" w:cs="仿宋_GB2312"/>
          <w:spacing w:val="6"/>
        </w:rPr>
        <w:t>各</w:t>
      </w:r>
      <w:r>
        <w:rPr>
          <w:rFonts w:hint="eastAsia" w:ascii="仿宋_GB2312" w:hAnsi="仿宋_GB2312" w:eastAsia="仿宋_GB2312" w:cs="仿宋_GB2312"/>
          <w:spacing w:val="6"/>
          <w:lang w:eastAsia="zh-CN"/>
        </w:rPr>
        <w:t>镇（街道）</w:t>
      </w:r>
      <w:r>
        <w:rPr>
          <w:rFonts w:hint="eastAsia" w:ascii="仿宋_GB2312" w:hAnsi="仿宋_GB2312" w:eastAsia="仿宋_GB2312" w:cs="仿宋_GB2312"/>
          <w:spacing w:val="6"/>
        </w:rPr>
        <w:t>人民政府</w:t>
      </w:r>
      <w:r>
        <w:rPr>
          <w:rFonts w:hint="eastAsia" w:ascii="仿宋_GB2312" w:hAnsi="仿宋_GB2312" w:eastAsia="仿宋_GB2312" w:cs="仿宋_GB2312"/>
          <w:spacing w:val="6"/>
          <w:lang w:eastAsia="zh-CN"/>
        </w:rPr>
        <w:t>（办事处）</w:t>
      </w:r>
      <w:r>
        <w:rPr>
          <w:rFonts w:hint="eastAsia" w:ascii="仿宋_GB2312" w:hAnsi="仿宋_GB2312" w:eastAsia="仿宋_GB2312" w:cs="仿宋_GB2312"/>
          <w:spacing w:val="-5"/>
          <w:sz w:val="32"/>
          <w:szCs w:val="32"/>
        </w:rPr>
        <w:t>及有关部门要加大疫苗安全知识宣传力度，引</w:t>
      </w:r>
      <w:r>
        <w:rPr>
          <w:rFonts w:hint="eastAsia" w:ascii="仿宋_GB2312" w:hAnsi="仿宋_GB2312" w:eastAsia="仿宋_GB2312" w:cs="仿宋_GB2312"/>
          <w:spacing w:val="-11"/>
          <w:sz w:val="32"/>
          <w:szCs w:val="32"/>
        </w:rPr>
        <w:t>导公众正确认识和对待接种疫苗不良反应，提高全民接种疫苗不</w:t>
      </w:r>
      <w:r>
        <w:rPr>
          <w:rFonts w:hint="eastAsia" w:ascii="仿宋_GB2312" w:hAnsi="仿宋_GB2312" w:eastAsia="仿宋_GB2312" w:cs="仿宋_GB2312"/>
          <w:spacing w:val="6"/>
          <w:w w:val="95"/>
          <w:sz w:val="32"/>
          <w:szCs w:val="32"/>
        </w:rPr>
        <w:t>良反应报告意识。引导媒体正确宣传报道接种疫苗不良反应事</w:t>
      </w:r>
      <w:r>
        <w:rPr>
          <w:rFonts w:hint="eastAsia" w:ascii="仿宋_GB2312" w:hAnsi="仿宋_GB2312" w:eastAsia="仿宋_GB2312" w:cs="仿宋_GB2312"/>
          <w:spacing w:val="6"/>
          <w:sz w:val="32"/>
          <w:szCs w:val="32"/>
        </w:rPr>
        <w:t>件，避免社会恐慌。</w:t>
      </w:r>
    </w:p>
    <w:p w14:paraId="6DC84677">
      <w:pPr>
        <w:pStyle w:val="7"/>
        <w:numPr>
          <w:ilvl w:val="0"/>
          <w:numId w:val="2"/>
        </w:numPr>
        <w:tabs>
          <w:tab w:val="left" w:pos="1092"/>
        </w:tabs>
        <w:spacing w:before="3" w:after="0" w:line="240" w:lineRule="auto"/>
        <w:ind w:left="1091" w:right="0" w:hanging="321"/>
        <w:jc w:val="both"/>
        <w:rPr>
          <w:rFonts w:hint="eastAsia" w:ascii="黑体" w:hAnsi="黑体" w:eastAsia="黑体" w:cs="黑体"/>
          <w:sz w:val="32"/>
        </w:rPr>
      </w:pPr>
      <w:r>
        <w:rPr>
          <w:rFonts w:hint="eastAsia" w:ascii="黑体" w:hAnsi="黑体" w:eastAsia="黑体" w:cs="黑体"/>
          <w:sz w:val="32"/>
        </w:rPr>
        <w:t>附则</w:t>
      </w:r>
    </w:p>
    <w:p w14:paraId="76EA6A35">
      <w:pPr>
        <w:pStyle w:val="7"/>
        <w:numPr>
          <w:ilvl w:val="1"/>
          <w:numId w:val="2"/>
        </w:numPr>
        <w:tabs>
          <w:tab w:val="left" w:pos="1332"/>
        </w:tabs>
        <w:spacing w:before="159" w:after="0" w:line="240" w:lineRule="auto"/>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预案管理与更新</w:t>
      </w:r>
    </w:p>
    <w:p w14:paraId="53DF0A0B">
      <w:pPr>
        <w:pStyle w:val="3"/>
        <w:spacing w:before="159" w:line="333" w:lineRule="auto"/>
        <w:ind w:left="131" w:right="708" w:firstLine="640"/>
        <w:jc w:val="both"/>
        <w:rPr>
          <w:rFonts w:hint="eastAsia" w:ascii="仿宋_GB2312" w:hAnsi="仿宋_GB2312" w:eastAsia="仿宋_GB2312" w:cs="仿宋_GB2312"/>
        </w:rPr>
      </w:pPr>
      <w:r>
        <w:rPr>
          <w:rFonts w:hint="eastAsia" w:ascii="仿宋_GB2312" w:hAnsi="仿宋_GB2312" w:eastAsia="仿宋_GB2312" w:cs="仿宋_GB2312"/>
          <w:spacing w:val="-6"/>
        </w:rPr>
        <w:t>与疫苗安全突发事件处置有关的法律法规被修订，部门职责</w:t>
      </w:r>
      <w:r>
        <w:rPr>
          <w:rFonts w:hint="eastAsia" w:ascii="仿宋_GB2312" w:hAnsi="仿宋_GB2312" w:eastAsia="仿宋_GB2312" w:cs="仿宋_GB2312"/>
          <w:spacing w:val="-13"/>
        </w:rPr>
        <w:t>或应急资源发生变化，应急预案在实施过程中出现新情况或新问题时，要结合实际及时修订与完善本预案。</w:t>
      </w:r>
    </w:p>
    <w:p w14:paraId="62E02ABE">
      <w:pPr>
        <w:pStyle w:val="7"/>
        <w:numPr>
          <w:ilvl w:val="1"/>
          <w:numId w:val="2"/>
        </w:numPr>
        <w:tabs>
          <w:tab w:val="left" w:pos="1332"/>
        </w:tabs>
        <w:spacing w:before="1" w:after="0" w:line="240" w:lineRule="auto"/>
        <w:ind w:left="1331" w:right="0" w:hanging="561"/>
        <w:jc w:val="both"/>
        <w:rPr>
          <w:rFonts w:hint="eastAsia" w:ascii="楷体_GB2312" w:hAnsi="楷体_GB2312" w:eastAsia="楷体_GB2312" w:cs="楷体_GB2312"/>
          <w:sz w:val="32"/>
        </w:rPr>
      </w:pPr>
      <w:r>
        <w:rPr>
          <w:rFonts w:hint="eastAsia" w:ascii="楷体_GB2312" w:hAnsi="楷体_GB2312" w:eastAsia="楷体_GB2312" w:cs="楷体_GB2312"/>
          <w:sz w:val="32"/>
        </w:rPr>
        <w:t>预案解释部门</w:t>
      </w:r>
    </w:p>
    <w:p w14:paraId="6A4265E0">
      <w:pPr>
        <w:pStyle w:val="3"/>
        <w:spacing w:before="159"/>
        <w:ind w:left="772"/>
        <w:rPr>
          <w:rFonts w:hint="eastAsia" w:ascii="仿宋_GB2312" w:hAnsi="仿宋_GB2312" w:eastAsia="仿宋_GB2312" w:cs="仿宋_GB2312"/>
          <w:color w:val="auto"/>
        </w:rPr>
      </w:pPr>
      <w:r>
        <w:rPr>
          <w:rFonts w:hint="eastAsia" w:ascii="仿宋_GB2312" w:hAnsi="仿宋_GB2312" w:eastAsia="仿宋_GB2312" w:cs="仿宋_GB2312"/>
        </w:rPr>
        <w:t>本预</w:t>
      </w:r>
      <w:r>
        <w:rPr>
          <w:rFonts w:hint="eastAsia" w:ascii="仿宋_GB2312" w:hAnsi="仿宋_GB2312" w:eastAsia="仿宋_GB2312" w:cs="仿宋_GB2312"/>
          <w:color w:val="auto"/>
        </w:rPr>
        <w:t>案由</w:t>
      </w:r>
      <w:r>
        <w:rPr>
          <w:rFonts w:hint="eastAsia" w:ascii="仿宋_GB2312" w:hAnsi="仿宋_GB2312" w:eastAsia="仿宋_GB2312" w:cs="仿宋_GB2312"/>
          <w:color w:val="auto"/>
          <w:lang w:eastAsia="zh-CN"/>
        </w:rPr>
        <w:t>区</w:t>
      </w:r>
      <w:r>
        <w:rPr>
          <w:rFonts w:hint="eastAsia" w:ascii="仿宋_GB2312" w:hAnsi="仿宋_GB2312" w:eastAsia="仿宋_GB2312" w:cs="仿宋_GB2312"/>
          <w:color w:val="auto"/>
        </w:rPr>
        <w:t>市场监管局负责解释。</w:t>
      </w:r>
    </w:p>
    <w:p w14:paraId="359BEA16">
      <w:pPr>
        <w:pStyle w:val="7"/>
        <w:numPr>
          <w:ilvl w:val="1"/>
          <w:numId w:val="2"/>
        </w:numPr>
        <w:tabs>
          <w:tab w:val="left" w:pos="1332"/>
        </w:tabs>
        <w:spacing w:before="161" w:after="0" w:line="240" w:lineRule="auto"/>
        <w:ind w:left="1331" w:right="0" w:hanging="561"/>
        <w:jc w:val="left"/>
        <w:rPr>
          <w:rFonts w:hint="eastAsia" w:ascii="楷体_GB2312" w:hAnsi="楷体_GB2312" w:eastAsia="楷体_GB2312" w:cs="楷体_GB2312"/>
          <w:sz w:val="32"/>
        </w:rPr>
      </w:pPr>
      <w:r>
        <w:rPr>
          <w:rFonts w:hint="eastAsia" w:ascii="楷体_GB2312" w:hAnsi="楷体_GB2312" w:eastAsia="楷体_GB2312" w:cs="楷体_GB2312"/>
          <w:w w:val="95"/>
          <w:sz w:val="32"/>
        </w:rPr>
        <w:t>预案实施时间</w:t>
      </w:r>
    </w:p>
    <w:p w14:paraId="6E9C7009">
      <w:pPr>
        <w:pStyle w:val="3"/>
        <w:spacing w:before="159"/>
        <w:ind w:left="772"/>
        <w:rPr>
          <w:rFonts w:hint="eastAsia" w:ascii="仿宋_GB2312" w:hAnsi="仿宋_GB2312" w:eastAsia="仿宋_GB2312" w:cs="仿宋_GB2312"/>
        </w:rPr>
      </w:pPr>
      <w:r>
        <w:rPr>
          <w:rFonts w:hint="eastAsia" w:ascii="仿宋_GB2312" w:hAnsi="仿宋_GB2312" w:eastAsia="仿宋_GB2312" w:cs="仿宋_GB2312"/>
          <w:w w:val="95"/>
        </w:rPr>
        <w:t>本预案自印发之日起施行。</w:t>
      </w:r>
    </w:p>
    <w:p w14:paraId="2AE8CF35">
      <w:pPr>
        <w:pStyle w:val="3"/>
      </w:pPr>
    </w:p>
    <w:p w14:paraId="1A98EE36">
      <w:pPr>
        <w:pStyle w:val="3"/>
        <w:spacing w:before="2"/>
        <w:rPr>
          <w:sz w:val="32"/>
          <w:szCs w:val="32"/>
        </w:rPr>
      </w:pPr>
    </w:p>
    <w:p w14:paraId="48850A58">
      <w:pPr>
        <w:pStyle w:val="3"/>
        <w:ind w:left="77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 疫苗安全事件分级标准和响应级别</w:t>
      </w:r>
    </w:p>
    <w:p w14:paraId="602F2B1F">
      <w:pPr>
        <w:pStyle w:val="7"/>
        <w:numPr>
          <w:ilvl w:val="0"/>
          <w:numId w:val="9"/>
        </w:numPr>
        <w:tabs>
          <w:tab w:val="left" w:pos="2112"/>
        </w:tabs>
        <w:spacing w:before="159" w:after="0" w:line="240" w:lineRule="auto"/>
        <w:ind w:left="2111" w:right="0" w:hanging="400"/>
        <w:jc w:val="left"/>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疫苗安全重大信息报告表（初报）</w:t>
      </w:r>
    </w:p>
    <w:p w14:paraId="150FC69B">
      <w:pPr>
        <w:pStyle w:val="7"/>
        <w:numPr>
          <w:ilvl w:val="0"/>
          <w:numId w:val="9"/>
        </w:numPr>
        <w:tabs>
          <w:tab w:val="left" w:pos="2112"/>
        </w:tabs>
        <w:spacing w:before="161" w:after="0" w:line="240" w:lineRule="auto"/>
        <w:ind w:left="2111" w:right="0" w:hanging="400"/>
        <w:jc w:val="left"/>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疫苗安全重大信息报告表（续报）</w:t>
      </w:r>
    </w:p>
    <w:p w14:paraId="2E6E59F8">
      <w:pPr>
        <w:pStyle w:val="7"/>
        <w:numPr>
          <w:ilvl w:val="0"/>
          <w:numId w:val="9"/>
        </w:numPr>
        <w:tabs>
          <w:tab w:val="left" w:pos="2112"/>
        </w:tabs>
        <w:spacing w:before="159" w:after="0" w:line="240" w:lineRule="auto"/>
        <w:ind w:left="2111" w:right="0" w:hanging="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一般疫苗安全事件应急处置流程</w:t>
      </w:r>
    </w:p>
    <w:p w14:paraId="7B10D888">
      <w:pPr>
        <w:spacing w:after="0" w:line="340" w:lineRule="auto"/>
        <w:rPr>
          <w:rFonts w:hint="eastAsia" w:ascii="仿宋_GB2312" w:hAnsi="仿宋_GB2312" w:eastAsia="仿宋_GB2312" w:cs="仿宋_GB2312"/>
          <w:sz w:val="32"/>
          <w:szCs w:val="32"/>
        </w:rPr>
        <w:sectPr>
          <w:pgSz w:w="11910" w:h="16840"/>
          <w:pgMar w:top="1580" w:right="820" w:bottom="1420" w:left="1400" w:header="0" w:footer="1236" w:gutter="0"/>
          <w:cols w:space="720" w:num="1"/>
        </w:sectPr>
      </w:pPr>
    </w:p>
    <w:p w14:paraId="414A4CF4">
      <w:pPr>
        <w:pStyle w:val="3"/>
        <w:spacing w:before="54"/>
        <w:ind w:left="131"/>
      </w:pPr>
      <w:r>
        <w:rPr>
          <w:spacing w:val="-27"/>
        </w:rPr>
        <w:t xml:space="preserve">附件 </w:t>
      </w:r>
      <w:r>
        <w:t>1</w:t>
      </w:r>
    </w:p>
    <w:p w14:paraId="6BE49468">
      <w:pPr>
        <w:pStyle w:val="3"/>
        <w:spacing w:before="3"/>
        <w:rPr>
          <w:sz w:val="44"/>
          <w:szCs w:val="44"/>
        </w:rPr>
      </w:pPr>
      <w:r>
        <w:rPr>
          <w:sz w:val="44"/>
          <w:szCs w:val="44"/>
        </w:rPr>
        <w:br w:type="column"/>
      </w:r>
    </w:p>
    <w:p w14:paraId="22EE8CF9">
      <w:pPr>
        <w:pStyle w:val="2"/>
        <w:spacing w:before="0"/>
        <w:ind w:left="0" w:leftChars="0" w:right="0" w:firstLine="0" w:firstLineChars="0"/>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疫苗安全事件分级标准和响应级别</w:t>
      </w:r>
    </w:p>
    <w:p w14:paraId="76F5733E">
      <w:pPr>
        <w:spacing w:after="0"/>
        <w:jc w:val="left"/>
        <w:rPr>
          <w:rFonts w:hint="eastAsia" w:ascii="方正小标宋简体" w:hAnsi="方正小标宋简体" w:eastAsia="方正小标宋简体" w:cs="方正小标宋简体"/>
          <w:sz w:val="44"/>
          <w:szCs w:val="44"/>
        </w:rPr>
        <w:sectPr>
          <w:pgSz w:w="11910" w:h="16840"/>
          <w:pgMar w:top="1580" w:right="820" w:bottom="1420" w:left="1400" w:header="720" w:footer="720" w:gutter="0"/>
          <w:cols w:equalWidth="0" w:num="2">
            <w:col w:w="1051" w:space="70"/>
            <w:col w:w="8569"/>
          </w:cols>
        </w:sectPr>
      </w:pPr>
    </w:p>
    <w:p w14:paraId="37EAF420">
      <w:pPr>
        <w:pStyle w:val="3"/>
        <w:rPr>
          <w:sz w:val="13"/>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6073"/>
        <w:gridCol w:w="1268"/>
      </w:tblGrid>
      <w:tr w14:paraId="54C0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555" w:type="dxa"/>
          </w:tcPr>
          <w:p w14:paraId="46D79EB2">
            <w:pPr>
              <w:pStyle w:val="8"/>
              <w:spacing w:before="27"/>
              <w:ind w:left="556" w:right="552"/>
              <w:jc w:val="center"/>
              <w:rPr>
                <w:rFonts w:hint="eastAsia" w:ascii="黑体" w:hAnsi="黑体" w:eastAsia="黑体" w:cs="黑体"/>
                <w:sz w:val="21"/>
              </w:rPr>
            </w:pPr>
            <w:r>
              <w:rPr>
                <w:rFonts w:hint="eastAsia" w:ascii="黑体" w:hAnsi="黑体" w:eastAsia="黑体" w:cs="黑体"/>
                <w:color w:val="202020"/>
                <w:spacing w:val="-1"/>
                <w:w w:val="95"/>
                <w:sz w:val="21"/>
              </w:rPr>
              <w:t>事件</w:t>
            </w:r>
          </w:p>
          <w:p w14:paraId="32C92805">
            <w:pPr>
              <w:pStyle w:val="8"/>
              <w:spacing w:before="31" w:line="252" w:lineRule="exact"/>
              <w:ind w:left="556" w:right="552"/>
              <w:jc w:val="center"/>
              <w:rPr>
                <w:rFonts w:hint="eastAsia" w:ascii="黑体" w:hAnsi="黑体" w:eastAsia="黑体" w:cs="黑体"/>
                <w:sz w:val="21"/>
              </w:rPr>
            </w:pPr>
            <w:r>
              <w:rPr>
                <w:rFonts w:hint="eastAsia" w:ascii="黑体" w:hAnsi="黑体" w:eastAsia="黑体" w:cs="黑体"/>
                <w:color w:val="202020"/>
                <w:spacing w:val="-1"/>
                <w:w w:val="95"/>
                <w:sz w:val="21"/>
              </w:rPr>
              <w:t>类别</w:t>
            </w:r>
          </w:p>
        </w:tc>
        <w:tc>
          <w:tcPr>
            <w:tcW w:w="6073" w:type="dxa"/>
          </w:tcPr>
          <w:p w14:paraId="1B69AC43">
            <w:pPr>
              <w:pStyle w:val="8"/>
              <w:spacing w:before="179"/>
              <w:ind w:left="2594" w:right="2588"/>
              <w:jc w:val="center"/>
              <w:rPr>
                <w:rFonts w:hint="eastAsia" w:ascii="黑体" w:hAnsi="黑体" w:eastAsia="黑体" w:cs="黑体"/>
                <w:sz w:val="21"/>
              </w:rPr>
            </w:pPr>
            <w:r>
              <w:rPr>
                <w:rFonts w:hint="eastAsia" w:ascii="黑体" w:hAnsi="黑体" w:eastAsia="黑体" w:cs="黑体"/>
                <w:color w:val="202020"/>
                <w:sz w:val="21"/>
              </w:rPr>
              <w:t>分级标准</w:t>
            </w:r>
          </w:p>
        </w:tc>
        <w:tc>
          <w:tcPr>
            <w:tcW w:w="1268" w:type="dxa"/>
          </w:tcPr>
          <w:p w14:paraId="0E2C1808">
            <w:pPr>
              <w:pStyle w:val="8"/>
              <w:spacing w:before="179"/>
              <w:ind w:left="193" w:right="184"/>
              <w:jc w:val="center"/>
              <w:rPr>
                <w:rFonts w:hint="eastAsia" w:ascii="黑体" w:hAnsi="黑体" w:eastAsia="黑体" w:cs="黑体"/>
                <w:sz w:val="21"/>
              </w:rPr>
            </w:pPr>
            <w:r>
              <w:rPr>
                <w:rFonts w:hint="eastAsia" w:ascii="黑体" w:hAnsi="黑体" w:eastAsia="黑体" w:cs="黑体"/>
                <w:color w:val="202020"/>
                <w:sz w:val="21"/>
              </w:rPr>
              <w:t>响应级别</w:t>
            </w:r>
          </w:p>
        </w:tc>
      </w:tr>
      <w:tr w14:paraId="33D97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55" w:type="dxa"/>
            <w:tcBorders>
              <w:bottom w:val="nil"/>
            </w:tcBorders>
          </w:tcPr>
          <w:p w14:paraId="1C9F75F7">
            <w:pPr>
              <w:pStyle w:val="8"/>
              <w:rPr>
                <w:rFonts w:hint="eastAsia" w:ascii="仿宋_GB2312" w:hAnsi="仿宋_GB2312" w:eastAsia="仿宋_GB2312" w:cs="仿宋_GB2312"/>
                <w:sz w:val="20"/>
              </w:rPr>
            </w:pPr>
          </w:p>
        </w:tc>
        <w:tc>
          <w:tcPr>
            <w:tcW w:w="6073" w:type="dxa"/>
            <w:tcBorders>
              <w:bottom w:val="nil"/>
            </w:tcBorders>
          </w:tcPr>
          <w:p w14:paraId="56010696">
            <w:pPr>
              <w:pStyle w:val="8"/>
              <w:spacing w:before="29"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符合下列情形之一的：</w:t>
            </w:r>
          </w:p>
        </w:tc>
        <w:tc>
          <w:tcPr>
            <w:tcW w:w="1268" w:type="dxa"/>
            <w:tcBorders>
              <w:bottom w:val="nil"/>
            </w:tcBorders>
          </w:tcPr>
          <w:p w14:paraId="7026008A">
            <w:pPr>
              <w:pStyle w:val="8"/>
              <w:rPr>
                <w:rFonts w:hint="eastAsia" w:ascii="仿宋_GB2312" w:hAnsi="仿宋_GB2312" w:eastAsia="仿宋_GB2312" w:cs="仿宋_GB2312"/>
                <w:sz w:val="20"/>
              </w:rPr>
            </w:pPr>
          </w:p>
        </w:tc>
      </w:tr>
      <w:tr w14:paraId="62F4E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27656C02">
            <w:pPr>
              <w:pStyle w:val="8"/>
              <w:rPr>
                <w:rFonts w:hint="eastAsia" w:ascii="仿宋_GB2312" w:hAnsi="仿宋_GB2312" w:eastAsia="仿宋_GB2312" w:cs="仿宋_GB2312"/>
                <w:sz w:val="20"/>
              </w:rPr>
            </w:pPr>
          </w:p>
        </w:tc>
        <w:tc>
          <w:tcPr>
            <w:tcW w:w="6073" w:type="dxa"/>
            <w:tcBorders>
              <w:top w:val="nil"/>
              <w:bottom w:val="nil"/>
            </w:tcBorders>
          </w:tcPr>
          <w:p w14:paraId="36229179">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26"/>
                <w:sz w:val="21"/>
              </w:rPr>
              <w:t>1</w:t>
            </w:r>
            <w:r>
              <w:rPr>
                <w:rFonts w:hint="eastAsia" w:ascii="仿宋_GB2312" w:hAnsi="仿宋_GB2312" w:eastAsia="仿宋_GB2312" w:cs="仿宋_GB2312"/>
                <w:color w:val="202020"/>
                <w:spacing w:val="-9"/>
                <w:sz w:val="21"/>
              </w:rPr>
              <w:t xml:space="preserve">.同一批号疫苗短期内引起 </w:t>
            </w:r>
            <w:r>
              <w:rPr>
                <w:rFonts w:hint="eastAsia" w:ascii="仿宋_GB2312" w:hAnsi="仿宋_GB2312" w:eastAsia="仿宋_GB2312" w:cs="仿宋_GB2312"/>
                <w:color w:val="202020"/>
                <w:sz w:val="21"/>
              </w:rPr>
              <w:t>5</w:t>
            </w:r>
            <w:r>
              <w:rPr>
                <w:rFonts w:hint="eastAsia" w:ascii="仿宋_GB2312" w:hAnsi="仿宋_GB2312" w:eastAsia="仿宋_GB2312" w:cs="仿宋_GB2312"/>
                <w:color w:val="202020"/>
                <w:spacing w:val="-7"/>
                <w:sz w:val="21"/>
              </w:rPr>
              <w:t xml:space="preserve"> 例以上患者死亡，疑似与质量相关</w:t>
            </w:r>
          </w:p>
        </w:tc>
        <w:tc>
          <w:tcPr>
            <w:tcW w:w="1268" w:type="dxa"/>
            <w:tcBorders>
              <w:top w:val="nil"/>
              <w:bottom w:val="nil"/>
            </w:tcBorders>
          </w:tcPr>
          <w:p w14:paraId="6E2C7443">
            <w:pPr>
              <w:pStyle w:val="8"/>
              <w:rPr>
                <w:rFonts w:hint="eastAsia" w:ascii="仿宋_GB2312" w:hAnsi="仿宋_GB2312" w:eastAsia="仿宋_GB2312" w:cs="仿宋_GB2312"/>
                <w:sz w:val="20"/>
              </w:rPr>
            </w:pPr>
          </w:p>
        </w:tc>
      </w:tr>
      <w:tr w14:paraId="716D8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0AFE6067">
            <w:pPr>
              <w:pStyle w:val="8"/>
              <w:rPr>
                <w:rFonts w:hint="eastAsia" w:ascii="仿宋_GB2312" w:hAnsi="仿宋_GB2312" w:eastAsia="仿宋_GB2312" w:cs="仿宋_GB2312"/>
                <w:sz w:val="20"/>
              </w:rPr>
            </w:pPr>
          </w:p>
        </w:tc>
        <w:tc>
          <w:tcPr>
            <w:tcW w:w="6073" w:type="dxa"/>
            <w:tcBorders>
              <w:top w:val="nil"/>
              <w:bottom w:val="nil"/>
            </w:tcBorders>
          </w:tcPr>
          <w:p w14:paraId="1227C86F">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的事件；</w:t>
            </w:r>
          </w:p>
        </w:tc>
        <w:tc>
          <w:tcPr>
            <w:tcW w:w="1268" w:type="dxa"/>
            <w:tcBorders>
              <w:top w:val="nil"/>
              <w:bottom w:val="nil"/>
            </w:tcBorders>
          </w:tcPr>
          <w:p w14:paraId="2DB232D5">
            <w:pPr>
              <w:pStyle w:val="8"/>
              <w:rPr>
                <w:rFonts w:hint="eastAsia" w:ascii="仿宋_GB2312" w:hAnsi="仿宋_GB2312" w:eastAsia="仿宋_GB2312" w:cs="仿宋_GB2312"/>
                <w:sz w:val="20"/>
              </w:rPr>
            </w:pPr>
          </w:p>
        </w:tc>
      </w:tr>
      <w:tr w14:paraId="6B723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1555" w:type="dxa"/>
            <w:tcBorders>
              <w:top w:val="nil"/>
              <w:bottom w:val="nil"/>
            </w:tcBorders>
          </w:tcPr>
          <w:p w14:paraId="3F18FFB3">
            <w:pPr>
              <w:pStyle w:val="8"/>
              <w:spacing w:before="166" w:line="266" w:lineRule="auto"/>
              <w:ind w:left="107" w:right="98"/>
              <w:rPr>
                <w:rFonts w:hint="eastAsia" w:ascii="仿宋_GB2312" w:hAnsi="仿宋_GB2312" w:eastAsia="仿宋_GB2312" w:cs="仿宋_GB2312"/>
                <w:sz w:val="21"/>
              </w:rPr>
            </w:pPr>
            <w:r>
              <w:rPr>
                <w:rFonts w:hint="eastAsia" w:ascii="仿宋_GB2312" w:hAnsi="仿宋_GB2312" w:eastAsia="仿宋_GB2312" w:cs="仿宋_GB2312"/>
                <w:color w:val="202020"/>
                <w:sz w:val="21"/>
              </w:rPr>
              <w:t>特别重大疫苗安全事件</w:t>
            </w:r>
          </w:p>
        </w:tc>
        <w:tc>
          <w:tcPr>
            <w:tcW w:w="6073" w:type="dxa"/>
            <w:tcBorders>
              <w:top w:val="nil"/>
              <w:bottom w:val="nil"/>
            </w:tcBorders>
          </w:tcPr>
          <w:p w14:paraId="77CDF77D">
            <w:pPr>
              <w:pStyle w:val="8"/>
              <w:spacing w:before="15" w:line="266" w:lineRule="auto"/>
              <w:ind w:left="107" w:right="97"/>
              <w:rPr>
                <w:rFonts w:hint="eastAsia" w:ascii="仿宋_GB2312" w:hAnsi="仿宋_GB2312" w:eastAsia="仿宋_GB2312" w:cs="仿宋_GB2312"/>
                <w:sz w:val="21"/>
              </w:rPr>
            </w:pPr>
            <w:r>
              <w:rPr>
                <w:rFonts w:hint="eastAsia" w:ascii="仿宋_GB2312" w:hAnsi="仿宋_GB2312" w:eastAsia="仿宋_GB2312" w:cs="仿宋_GB2312"/>
                <w:color w:val="202020"/>
                <w:spacing w:val="-26"/>
                <w:sz w:val="21"/>
              </w:rPr>
              <w:t>2</w:t>
            </w:r>
            <w:r>
              <w:rPr>
                <w:rFonts w:hint="eastAsia" w:ascii="仿宋_GB2312" w:hAnsi="仿宋_GB2312" w:eastAsia="仿宋_GB2312" w:cs="仿宋_GB2312"/>
                <w:color w:val="202020"/>
                <w:spacing w:val="-5"/>
                <w:sz w:val="21"/>
              </w:rPr>
              <w:t>.在相对集中的时间和区域内，批号相对集中的同一疫苗引起临</w:t>
            </w:r>
            <w:r>
              <w:rPr>
                <w:rFonts w:hint="eastAsia" w:ascii="仿宋_GB2312" w:hAnsi="仿宋_GB2312" w:eastAsia="仿宋_GB2312" w:cs="仿宋_GB2312"/>
                <w:color w:val="202020"/>
                <w:spacing w:val="-3"/>
                <w:sz w:val="21"/>
              </w:rPr>
              <w:t xml:space="preserve">床表现相似，且罕见或非预期的不良事件的人数超过 </w:t>
            </w:r>
            <w:r>
              <w:rPr>
                <w:rFonts w:hint="eastAsia" w:ascii="仿宋_GB2312" w:hAnsi="仿宋_GB2312" w:eastAsia="仿宋_GB2312" w:cs="仿宋_GB2312"/>
                <w:color w:val="202020"/>
                <w:sz w:val="21"/>
              </w:rPr>
              <w:t>20</w:t>
            </w:r>
            <w:r>
              <w:rPr>
                <w:rFonts w:hint="eastAsia" w:ascii="仿宋_GB2312" w:hAnsi="仿宋_GB2312" w:eastAsia="仿宋_GB2312" w:cs="仿宋_GB2312"/>
                <w:color w:val="202020"/>
                <w:spacing w:val="-14"/>
                <w:sz w:val="21"/>
              </w:rPr>
              <w:t xml:space="preserve"> 人；或</w:t>
            </w:r>
          </w:p>
          <w:p w14:paraId="387C4384">
            <w:pPr>
              <w:pStyle w:val="8"/>
              <w:spacing w:before="2"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1"/>
                <w:w w:val="95"/>
                <w:sz w:val="21"/>
              </w:rPr>
              <w:t>者引起特别严重不良事件</w:t>
            </w:r>
            <w:r>
              <w:rPr>
                <w:rFonts w:hint="eastAsia" w:ascii="仿宋_GB2312" w:hAnsi="仿宋_GB2312" w:eastAsia="仿宋_GB2312" w:cs="仿宋_GB2312"/>
                <w:color w:val="202020"/>
                <w:w w:val="95"/>
                <w:sz w:val="21"/>
              </w:rPr>
              <w:t>（</w:t>
            </w:r>
            <w:r>
              <w:rPr>
                <w:rFonts w:hint="eastAsia" w:ascii="仿宋_GB2312" w:hAnsi="仿宋_GB2312" w:eastAsia="仿宋_GB2312" w:cs="仿宋_GB2312"/>
                <w:color w:val="202020"/>
                <w:spacing w:val="-1"/>
                <w:w w:val="95"/>
                <w:sz w:val="21"/>
              </w:rPr>
              <w:t>可能对人体造成永久性伤残、对器官</w:t>
            </w:r>
          </w:p>
        </w:tc>
        <w:tc>
          <w:tcPr>
            <w:tcW w:w="1268" w:type="dxa"/>
            <w:tcBorders>
              <w:top w:val="nil"/>
              <w:bottom w:val="nil"/>
            </w:tcBorders>
          </w:tcPr>
          <w:p w14:paraId="103E874B">
            <w:pPr>
              <w:pStyle w:val="8"/>
              <w:spacing w:before="166" w:line="266" w:lineRule="auto"/>
              <w:ind w:left="423" w:right="412"/>
              <w:rPr>
                <w:rFonts w:hint="eastAsia" w:ascii="仿宋_GB2312" w:hAnsi="仿宋_GB2312" w:eastAsia="仿宋_GB2312" w:cs="仿宋_GB2312"/>
                <w:sz w:val="21"/>
              </w:rPr>
            </w:pPr>
            <w:r>
              <w:rPr>
                <w:rFonts w:hint="eastAsia" w:ascii="仿宋_GB2312" w:hAnsi="仿宋_GB2312" w:eastAsia="仿宋_GB2312" w:cs="仿宋_GB2312"/>
                <w:color w:val="202020"/>
                <w:sz w:val="21"/>
              </w:rPr>
              <w:t>Ⅰ级响应</w:t>
            </w:r>
          </w:p>
        </w:tc>
      </w:tr>
      <w:tr w14:paraId="0FC4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2FB69AD2">
            <w:pPr>
              <w:pStyle w:val="8"/>
              <w:rPr>
                <w:rFonts w:hint="eastAsia" w:ascii="仿宋_GB2312" w:hAnsi="仿宋_GB2312" w:eastAsia="仿宋_GB2312" w:cs="仿宋_GB2312"/>
                <w:sz w:val="20"/>
              </w:rPr>
            </w:pPr>
          </w:p>
        </w:tc>
        <w:tc>
          <w:tcPr>
            <w:tcW w:w="6073" w:type="dxa"/>
            <w:tcBorders>
              <w:top w:val="nil"/>
              <w:bottom w:val="nil"/>
            </w:tcBorders>
          </w:tcPr>
          <w:p w14:paraId="3B8F9E3C">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功能造成永久性损伤或危及生命</w:t>
            </w:r>
            <w:r>
              <w:rPr>
                <w:rFonts w:hint="eastAsia" w:ascii="仿宋_GB2312" w:hAnsi="仿宋_GB2312" w:eastAsia="仿宋_GB2312" w:cs="仿宋_GB2312"/>
                <w:color w:val="202020"/>
                <w:spacing w:val="-10"/>
                <w:sz w:val="21"/>
              </w:rPr>
              <w:t>）</w:t>
            </w:r>
            <w:r>
              <w:rPr>
                <w:rFonts w:hint="eastAsia" w:ascii="仿宋_GB2312" w:hAnsi="仿宋_GB2312" w:eastAsia="仿宋_GB2312" w:cs="仿宋_GB2312"/>
                <w:color w:val="202020"/>
                <w:spacing w:val="-19"/>
                <w:sz w:val="21"/>
              </w:rPr>
              <w:t xml:space="preserve">超过 </w:t>
            </w:r>
            <w:r>
              <w:rPr>
                <w:rFonts w:hint="eastAsia" w:ascii="仿宋_GB2312" w:hAnsi="仿宋_GB2312" w:eastAsia="仿宋_GB2312" w:cs="仿宋_GB2312"/>
                <w:color w:val="202020"/>
                <w:sz w:val="21"/>
              </w:rPr>
              <w:t>5</w:t>
            </w:r>
            <w:r>
              <w:rPr>
                <w:rFonts w:hint="eastAsia" w:ascii="仿宋_GB2312" w:hAnsi="仿宋_GB2312" w:eastAsia="仿宋_GB2312" w:cs="仿宋_GB2312"/>
                <w:color w:val="202020"/>
                <w:spacing w:val="-9"/>
                <w:sz w:val="21"/>
              </w:rPr>
              <w:t xml:space="preserve"> 人，疑似与质量相关的</w:t>
            </w:r>
          </w:p>
        </w:tc>
        <w:tc>
          <w:tcPr>
            <w:tcW w:w="1268" w:type="dxa"/>
            <w:tcBorders>
              <w:top w:val="nil"/>
              <w:bottom w:val="nil"/>
            </w:tcBorders>
          </w:tcPr>
          <w:p w14:paraId="6EECD097">
            <w:pPr>
              <w:pStyle w:val="8"/>
              <w:rPr>
                <w:rFonts w:hint="eastAsia" w:ascii="仿宋_GB2312" w:hAnsi="仿宋_GB2312" w:eastAsia="仿宋_GB2312" w:cs="仿宋_GB2312"/>
                <w:sz w:val="20"/>
              </w:rPr>
            </w:pPr>
          </w:p>
        </w:tc>
      </w:tr>
      <w:tr w14:paraId="49CF3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43F1F57D">
            <w:pPr>
              <w:pStyle w:val="8"/>
              <w:rPr>
                <w:rFonts w:hint="eastAsia" w:ascii="仿宋_GB2312" w:hAnsi="仿宋_GB2312" w:eastAsia="仿宋_GB2312" w:cs="仿宋_GB2312"/>
                <w:sz w:val="20"/>
              </w:rPr>
            </w:pPr>
          </w:p>
        </w:tc>
        <w:tc>
          <w:tcPr>
            <w:tcW w:w="6073" w:type="dxa"/>
            <w:tcBorders>
              <w:top w:val="nil"/>
              <w:bottom w:val="nil"/>
            </w:tcBorders>
          </w:tcPr>
          <w:p w14:paraId="7CF358BB">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事件；</w:t>
            </w:r>
          </w:p>
        </w:tc>
        <w:tc>
          <w:tcPr>
            <w:tcW w:w="1268" w:type="dxa"/>
            <w:tcBorders>
              <w:top w:val="nil"/>
              <w:bottom w:val="nil"/>
            </w:tcBorders>
          </w:tcPr>
          <w:p w14:paraId="08675CFC">
            <w:pPr>
              <w:pStyle w:val="8"/>
              <w:rPr>
                <w:rFonts w:hint="eastAsia" w:ascii="仿宋_GB2312" w:hAnsi="仿宋_GB2312" w:eastAsia="仿宋_GB2312" w:cs="仿宋_GB2312"/>
                <w:sz w:val="20"/>
              </w:rPr>
            </w:pPr>
          </w:p>
        </w:tc>
      </w:tr>
      <w:tr w14:paraId="2681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55" w:type="dxa"/>
            <w:tcBorders>
              <w:top w:val="nil"/>
            </w:tcBorders>
          </w:tcPr>
          <w:p w14:paraId="4071202F">
            <w:pPr>
              <w:pStyle w:val="8"/>
              <w:rPr>
                <w:rFonts w:hint="eastAsia" w:ascii="仿宋_GB2312" w:hAnsi="仿宋_GB2312" w:eastAsia="仿宋_GB2312" w:cs="仿宋_GB2312"/>
                <w:sz w:val="20"/>
              </w:rPr>
            </w:pPr>
          </w:p>
        </w:tc>
        <w:tc>
          <w:tcPr>
            <w:tcW w:w="6073" w:type="dxa"/>
            <w:tcBorders>
              <w:top w:val="nil"/>
            </w:tcBorders>
          </w:tcPr>
          <w:p w14:paraId="2746F0D9">
            <w:pPr>
              <w:pStyle w:val="8"/>
              <w:spacing w:before="15" w:line="250"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3.其他危害特别严重且引发社会影响的疫苗质量安全突发事件。</w:t>
            </w:r>
          </w:p>
        </w:tc>
        <w:tc>
          <w:tcPr>
            <w:tcW w:w="1268" w:type="dxa"/>
            <w:tcBorders>
              <w:top w:val="nil"/>
            </w:tcBorders>
          </w:tcPr>
          <w:p w14:paraId="45E8D872">
            <w:pPr>
              <w:pStyle w:val="8"/>
              <w:rPr>
                <w:rFonts w:hint="eastAsia" w:ascii="仿宋_GB2312" w:hAnsi="仿宋_GB2312" w:eastAsia="仿宋_GB2312" w:cs="仿宋_GB2312"/>
                <w:sz w:val="20"/>
              </w:rPr>
            </w:pPr>
          </w:p>
        </w:tc>
      </w:tr>
      <w:tr w14:paraId="7C34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555" w:type="dxa"/>
            <w:tcBorders>
              <w:bottom w:val="nil"/>
            </w:tcBorders>
          </w:tcPr>
          <w:p w14:paraId="4E207D89">
            <w:pPr>
              <w:pStyle w:val="8"/>
              <w:rPr>
                <w:rFonts w:ascii="Times New Roman"/>
                <w:sz w:val="20"/>
              </w:rPr>
            </w:pPr>
          </w:p>
        </w:tc>
        <w:tc>
          <w:tcPr>
            <w:tcW w:w="6073" w:type="dxa"/>
            <w:tcBorders>
              <w:bottom w:val="nil"/>
            </w:tcBorders>
          </w:tcPr>
          <w:p w14:paraId="6669AAC9">
            <w:pPr>
              <w:pStyle w:val="8"/>
              <w:spacing w:before="29"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符合下列情形之一的：</w:t>
            </w:r>
          </w:p>
        </w:tc>
        <w:tc>
          <w:tcPr>
            <w:tcW w:w="1268" w:type="dxa"/>
            <w:tcBorders>
              <w:bottom w:val="nil"/>
            </w:tcBorders>
          </w:tcPr>
          <w:p w14:paraId="0EF479F0">
            <w:pPr>
              <w:pStyle w:val="8"/>
              <w:rPr>
                <w:rFonts w:ascii="Times New Roman"/>
                <w:sz w:val="20"/>
              </w:rPr>
            </w:pPr>
          </w:p>
        </w:tc>
      </w:tr>
      <w:tr w14:paraId="0DB9E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1A1E993A">
            <w:pPr>
              <w:pStyle w:val="8"/>
              <w:rPr>
                <w:rFonts w:ascii="Times New Roman"/>
                <w:sz w:val="20"/>
              </w:rPr>
            </w:pPr>
          </w:p>
        </w:tc>
        <w:tc>
          <w:tcPr>
            <w:tcW w:w="6073" w:type="dxa"/>
            <w:tcBorders>
              <w:top w:val="nil"/>
              <w:bottom w:val="nil"/>
            </w:tcBorders>
          </w:tcPr>
          <w:p w14:paraId="41F60411">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25"/>
                <w:sz w:val="21"/>
              </w:rPr>
              <w:t>1</w:t>
            </w:r>
            <w:r>
              <w:rPr>
                <w:rFonts w:hint="eastAsia" w:ascii="仿宋_GB2312" w:hAnsi="仿宋_GB2312" w:eastAsia="仿宋_GB2312" w:cs="仿宋_GB2312"/>
                <w:color w:val="202020"/>
                <w:spacing w:val="-6"/>
                <w:sz w:val="21"/>
              </w:rPr>
              <w:t xml:space="preserve">.同一批号疫苗短期内引起 </w:t>
            </w:r>
            <w:r>
              <w:rPr>
                <w:rFonts w:hint="eastAsia" w:ascii="仿宋_GB2312" w:hAnsi="仿宋_GB2312" w:eastAsia="仿宋_GB2312" w:cs="仿宋_GB2312"/>
                <w:color w:val="202020"/>
                <w:sz w:val="21"/>
              </w:rPr>
              <w:t>2</w:t>
            </w:r>
            <w:r>
              <w:rPr>
                <w:rFonts w:hint="eastAsia" w:ascii="仿宋_GB2312" w:hAnsi="仿宋_GB2312" w:eastAsia="仿宋_GB2312" w:cs="仿宋_GB2312"/>
                <w:color w:val="202020"/>
                <w:spacing w:val="-9"/>
                <w:sz w:val="21"/>
              </w:rPr>
              <w:t xml:space="preserve"> 例以上、</w:t>
            </w:r>
            <w:r>
              <w:rPr>
                <w:rFonts w:hint="eastAsia" w:ascii="仿宋_GB2312" w:hAnsi="仿宋_GB2312" w:eastAsia="仿宋_GB2312" w:cs="仿宋_GB2312"/>
                <w:color w:val="202020"/>
                <w:sz w:val="21"/>
              </w:rPr>
              <w:t>5</w:t>
            </w:r>
            <w:r>
              <w:rPr>
                <w:rFonts w:hint="eastAsia" w:ascii="仿宋_GB2312" w:hAnsi="仿宋_GB2312" w:eastAsia="仿宋_GB2312" w:cs="仿宋_GB2312"/>
                <w:color w:val="202020"/>
                <w:spacing w:val="-4"/>
                <w:sz w:val="21"/>
              </w:rPr>
              <w:t xml:space="preserve"> 例以下患者死亡，疑似</w:t>
            </w:r>
          </w:p>
        </w:tc>
        <w:tc>
          <w:tcPr>
            <w:tcW w:w="1268" w:type="dxa"/>
            <w:tcBorders>
              <w:top w:val="nil"/>
              <w:bottom w:val="nil"/>
            </w:tcBorders>
          </w:tcPr>
          <w:p w14:paraId="090625AD">
            <w:pPr>
              <w:pStyle w:val="8"/>
              <w:rPr>
                <w:rFonts w:ascii="Times New Roman"/>
                <w:sz w:val="20"/>
              </w:rPr>
            </w:pPr>
          </w:p>
        </w:tc>
      </w:tr>
      <w:tr w14:paraId="49E6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29CAF1F0">
            <w:pPr>
              <w:pStyle w:val="8"/>
              <w:rPr>
                <w:rFonts w:ascii="Times New Roman"/>
                <w:sz w:val="20"/>
              </w:rPr>
            </w:pPr>
          </w:p>
        </w:tc>
        <w:tc>
          <w:tcPr>
            <w:tcW w:w="6073" w:type="dxa"/>
            <w:tcBorders>
              <w:top w:val="nil"/>
              <w:bottom w:val="nil"/>
            </w:tcBorders>
          </w:tcPr>
          <w:p w14:paraId="19E254E2">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与质量相关的事件；</w:t>
            </w:r>
          </w:p>
        </w:tc>
        <w:tc>
          <w:tcPr>
            <w:tcW w:w="1268" w:type="dxa"/>
            <w:tcBorders>
              <w:top w:val="nil"/>
              <w:bottom w:val="nil"/>
            </w:tcBorders>
          </w:tcPr>
          <w:p w14:paraId="0960BDB0">
            <w:pPr>
              <w:pStyle w:val="8"/>
              <w:rPr>
                <w:rFonts w:ascii="Times New Roman"/>
                <w:sz w:val="20"/>
              </w:rPr>
            </w:pPr>
          </w:p>
        </w:tc>
      </w:tr>
      <w:tr w14:paraId="6FD70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0432492F">
            <w:pPr>
              <w:pStyle w:val="8"/>
              <w:rPr>
                <w:rFonts w:ascii="Times New Roman"/>
                <w:sz w:val="20"/>
              </w:rPr>
            </w:pPr>
          </w:p>
        </w:tc>
        <w:tc>
          <w:tcPr>
            <w:tcW w:w="6073" w:type="dxa"/>
            <w:tcBorders>
              <w:top w:val="nil"/>
              <w:bottom w:val="nil"/>
            </w:tcBorders>
          </w:tcPr>
          <w:p w14:paraId="3E7150C0">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2.在相对集中的时间和区域内，批号相对集中的同一疫苗引起临</w:t>
            </w:r>
          </w:p>
        </w:tc>
        <w:tc>
          <w:tcPr>
            <w:tcW w:w="1268" w:type="dxa"/>
            <w:tcBorders>
              <w:top w:val="nil"/>
              <w:bottom w:val="nil"/>
            </w:tcBorders>
          </w:tcPr>
          <w:p w14:paraId="1CDF3D48">
            <w:pPr>
              <w:pStyle w:val="8"/>
              <w:rPr>
                <w:rFonts w:ascii="Times New Roman"/>
                <w:sz w:val="20"/>
              </w:rPr>
            </w:pPr>
          </w:p>
        </w:tc>
      </w:tr>
      <w:tr w14:paraId="79B50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555" w:type="dxa"/>
            <w:tcBorders>
              <w:top w:val="nil"/>
              <w:bottom w:val="nil"/>
            </w:tcBorders>
          </w:tcPr>
          <w:p w14:paraId="43BDD08A">
            <w:pPr>
              <w:pStyle w:val="8"/>
              <w:spacing w:before="15"/>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重大疫苗安全</w:t>
            </w:r>
          </w:p>
          <w:p w14:paraId="45555E51">
            <w:pPr>
              <w:pStyle w:val="8"/>
              <w:spacing w:before="31" w:line="265" w:lineRule="exact"/>
              <w:ind w:left="107"/>
              <w:rPr>
                <w:sz w:val="21"/>
              </w:rPr>
            </w:pPr>
            <w:r>
              <w:rPr>
                <w:rFonts w:hint="eastAsia" w:ascii="仿宋_GB2312" w:hAnsi="仿宋_GB2312" w:eastAsia="仿宋_GB2312" w:cs="仿宋_GB2312"/>
                <w:color w:val="202020"/>
                <w:sz w:val="21"/>
              </w:rPr>
              <w:t>事件</w:t>
            </w:r>
          </w:p>
        </w:tc>
        <w:tc>
          <w:tcPr>
            <w:tcW w:w="6073" w:type="dxa"/>
            <w:tcBorders>
              <w:top w:val="nil"/>
              <w:bottom w:val="nil"/>
            </w:tcBorders>
          </w:tcPr>
          <w:p w14:paraId="4B74E70C">
            <w:pPr>
              <w:pStyle w:val="8"/>
              <w:spacing w:before="15"/>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3"/>
                <w:sz w:val="21"/>
              </w:rPr>
              <w:t xml:space="preserve">床表现相似，且罕见或非预期的不良事件的人数超过 </w:t>
            </w:r>
            <w:r>
              <w:rPr>
                <w:rFonts w:hint="eastAsia" w:ascii="仿宋_GB2312" w:hAnsi="仿宋_GB2312" w:eastAsia="仿宋_GB2312" w:cs="仿宋_GB2312"/>
                <w:color w:val="202020"/>
                <w:sz w:val="21"/>
              </w:rPr>
              <w:t>10</w:t>
            </w:r>
            <w:r>
              <w:rPr>
                <w:rFonts w:hint="eastAsia" w:ascii="仿宋_GB2312" w:hAnsi="仿宋_GB2312" w:eastAsia="仿宋_GB2312" w:cs="仿宋_GB2312"/>
                <w:color w:val="202020"/>
                <w:spacing w:val="-14"/>
                <w:sz w:val="21"/>
              </w:rPr>
              <w:t xml:space="preserve"> 人、不</w:t>
            </w:r>
          </w:p>
          <w:p w14:paraId="10CF7832">
            <w:pPr>
              <w:pStyle w:val="8"/>
              <w:spacing w:before="31"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19"/>
                <w:sz w:val="21"/>
              </w:rPr>
              <w:t xml:space="preserve">多于 </w:t>
            </w:r>
            <w:r>
              <w:rPr>
                <w:rFonts w:hint="eastAsia" w:ascii="仿宋_GB2312" w:hAnsi="仿宋_GB2312" w:eastAsia="仿宋_GB2312" w:cs="仿宋_GB2312"/>
                <w:color w:val="202020"/>
                <w:sz w:val="21"/>
              </w:rPr>
              <w:t>20</w:t>
            </w:r>
            <w:r>
              <w:rPr>
                <w:rFonts w:hint="eastAsia" w:ascii="仿宋_GB2312" w:hAnsi="仿宋_GB2312" w:eastAsia="仿宋_GB2312" w:cs="仿宋_GB2312"/>
                <w:color w:val="202020"/>
                <w:spacing w:val="-5"/>
                <w:sz w:val="21"/>
              </w:rPr>
              <w:t xml:space="preserve"> 人；或者引起特别严重不良事件</w:t>
            </w:r>
            <w:r>
              <w:rPr>
                <w:rFonts w:hint="eastAsia" w:ascii="仿宋_GB2312" w:hAnsi="仿宋_GB2312" w:eastAsia="仿宋_GB2312" w:cs="仿宋_GB2312"/>
                <w:color w:val="202020"/>
                <w:sz w:val="21"/>
              </w:rPr>
              <w:t>（</w:t>
            </w:r>
            <w:r>
              <w:rPr>
                <w:rFonts w:hint="eastAsia" w:ascii="仿宋_GB2312" w:hAnsi="仿宋_GB2312" w:eastAsia="仿宋_GB2312" w:cs="仿宋_GB2312"/>
                <w:color w:val="202020"/>
                <w:spacing w:val="2"/>
                <w:sz w:val="21"/>
              </w:rPr>
              <w:t>可能对人体造成永久</w:t>
            </w:r>
          </w:p>
        </w:tc>
        <w:tc>
          <w:tcPr>
            <w:tcW w:w="1268" w:type="dxa"/>
            <w:tcBorders>
              <w:top w:val="nil"/>
              <w:bottom w:val="nil"/>
            </w:tcBorders>
          </w:tcPr>
          <w:p w14:paraId="27558A9B">
            <w:pPr>
              <w:pStyle w:val="8"/>
              <w:spacing w:before="166"/>
              <w:ind w:left="193" w:right="184"/>
              <w:jc w:val="center"/>
              <w:rPr>
                <w:rFonts w:hint="eastAsia" w:ascii="仿宋_GB2312" w:hAnsi="仿宋_GB2312" w:eastAsia="仿宋_GB2312" w:cs="仿宋_GB2312"/>
                <w:sz w:val="21"/>
              </w:rPr>
            </w:pPr>
            <w:r>
              <w:rPr>
                <w:rFonts w:hint="eastAsia" w:ascii="仿宋_GB2312" w:hAnsi="仿宋_GB2312" w:eastAsia="仿宋_GB2312" w:cs="仿宋_GB2312"/>
                <w:color w:val="202020"/>
                <w:sz w:val="21"/>
              </w:rPr>
              <w:t>Ⅱ级响应</w:t>
            </w:r>
          </w:p>
        </w:tc>
      </w:tr>
      <w:tr w14:paraId="74B42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16A9E2A7">
            <w:pPr>
              <w:pStyle w:val="8"/>
              <w:rPr>
                <w:rFonts w:ascii="Times New Roman"/>
                <w:sz w:val="20"/>
              </w:rPr>
            </w:pPr>
          </w:p>
        </w:tc>
        <w:tc>
          <w:tcPr>
            <w:tcW w:w="6073" w:type="dxa"/>
            <w:tcBorders>
              <w:top w:val="nil"/>
              <w:bottom w:val="nil"/>
            </w:tcBorders>
          </w:tcPr>
          <w:p w14:paraId="1C676E6A">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2"/>
                <w:sz w:val="21"/>
              </w:rPr>
              <w:t>性伤残、对器官功能造成永久性损伤或危及生命</w:t>
            </w:r>
            <w:r>
              <w:rPr>
                <w:rFonts w:hint="eastAsia" w:ascii="仿宋_GB2312" w:hAnsi="仿宋_GB2312" w:eastAsia="仿宋_GB2312" w:cs="仿宋_GB2312"/>
                <w:color w:val="202020"/>
                <w:spacing w:val="-8"/>
                <w:sz w:val="21"/>
              </w:rPr>
              <w:t>）</w:t>
            </w:r>
            <w:r>
              <w:rPr>
                <w:rFonts w:hint="eastAsia" w:ascii="仿宋_GB2312" w:hAnsi="仿宋_GB2312" w:eastAsia="仿宋_GB2312" w:cs="仿宋_GB2312"/>
                <w:color w:val="202020"/>
                <w:spacing w:val="-19"/>
                <w:sz w:val="21"/>
              </w:rPr>
              <w:t xml:space="preserve">超过 </w:t>
            </w:r>
            <w:r>
              <w:rPr>
                <w:rFonts w:hint="eastAsia" w:ascii="仿宋_GB2312" w:hAnsi="仿宋_GB2312" w:eastAsia="仿宋_GB2312" w:cs="仿宋_GB2312"/>
                <w:color w:val="202020"/>
                <w:sz w:val="21"/>
              </w:rPr>
              <w:t>3</w:t>
            </w:r>
            <w:r>
              <w:rPr>
                <w:rFonts w:hint="eastAsia" w:ascii="仿宋_GB2312" w:hAnsi="仿宋_GB2312" w:eastAsia="仿宋_GB2312" w:cs="仿宋_GB2312"/>
                <w:color w:val="202020"/>
                <w:spacing w:val="-16"/>
                <w:sz w:val="21"/>
              </w:rPr>
              <w:t xml:space="preserve"> 人、不</w:t>
            </w:r>
          </w:p>
        </w:tc>
        <w:tc>
          <w:tcPr>
            <w:tcW w:w="1268" w:type="dxa"/>
            <w:tcBorders>
              <w:top w:val="nil"/>
              <w:bottom w:val="nil"/>
            </w:tcBorders>
          </w:tcPr>
          <w:p w14:paraId="3ED1D932">
            <w:pPr>
              <w:pStyle w:val="8"/>
              <w:rPr>
                <w:rFonts w:ascii="Times New Roman"/>
                <w:sz w:val="20"/>
              </w:rPr>
            </w:pPr>
          </w:p>
        </w:tc>
      </w:tr>
      <w:tr w14:paraId="42C9C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6A68C614">
            <w:pPr>
              <w:pStyle w:val="8"/>
              <w:rPr>
                <w:rFonts w:ascii="Times New Roman"/>
                <w:sz w:val="20"/>
              </w:rPr>
            </w:pPr>
          </w:p>
        </w:tc>
        <w:tc>
          <w:tcPr>
            <w:tcW w:w="6073" w:type="dxa"/>
            <w:tcBorders>
              <w:top w:val="nil"/>
              <w:bottom w:val="nil"/>
            </w:tcBorders>
          </w:tcPr>
          <w:p w14:paraId="3A04BFE2">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多于 5 人，疑似与质量相关的事件；</w:t>
            </w:r>
          </w:p>
        </w:tc>
        <w:tc>
          <w:tcPr>
            <w:tcW w:w="1268" w:type="dxa"/>
            <w:tcBorders>
              <w:top w:val="nil"/>
              <w:bottom w:val="nil"/>
            </w:tcBorders>
          </w:tcPr>
          <w:p w14:paraId="2FC86889">
            <w:pPr>
              <w:pStyle w:val="8"/>
              <w:rPr>
                <w:rFonts w:ascii="Times New Roman"/>
                <w:sz w:val="20"/>
              </w:rPr>
            </w:pPr>
          </w:p>
        </w:tc>
      </w:tr>
      <w:tr w14:paraId="3CF5A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75EDCD61">
            <w:pPr>
              <w:pStyle w:val="8"/>
              <w:rPr>
                <w:rFonts w:ascii="Times New Roman"/>
                <w:sz w:val="20"/>
              </w:rPr>
            </w:pPr>
          </w:p>
        </w:tc>
        <w:tc>
          <w:tcPr>
            <w:tcW w:w="6073" w:type="dxa"/>
            <w:tcBorders>
              <w:top w:val="nil"/>
              <w:bottom w:val="nil"/>
            </w:tcBorders>
          </w:tcPr>
          <w:p w14:paraId="673345E9">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3.确认出现质量问题，涉及 2 个以上省份的；</w:t>
            </w:r>
          </w:p>
        </w:tc>
        <w:tc>
          <w:tcPr>
            <w:tcW w:w="1268" w:type="dxa"/>
            <w:tcBorders>
              <w:top w:val="nil"/>
              <w:bottom w:val="nil"/>
            </w:tcBorders>
          </w:tcPr>
          <w:p w14:paraId="1450DD76">
            <w:pPr>
              <w:pStyle w:val="8"/>
              <w:rPr>
                <w:rFonts w:ascii="Times New Roman"/>
                <w:sz w:val="20"/>
              </w:rPr>
            </w:pPr>
          </w:p>
        </w:tc>
      </w:tr>
      <w:tr w14:paraId="7FCD5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1555" w:type="dxa"/>
            <w:tcBorders>
              <w:top w:val="nil"/>
            </w:tcBorders>
          </w:tcPr>
          <w:p w14:paraId="55DB53C6">
            <w:pPr>
              <w:pStyle w:val="8"/>
              <w:rPr>
                <w:rFonts w:ascii="Times New Roman"/>
                <w:sz w:val="20"/>
              </w:rPr>
            </w:pPr>
          </w:p>
        </w:tc>
        <w:tc>
          <w:tcPr>
            <w:tcW w:w="6073" w:type="dxa"/>
            <w:tcBorders>
              <w:top w:val="nil"/>
            </w:tcBorders>
          </w:tcPr>
          <w:p w14:paraId="16F0CC35">
            <w:pPr>
              <w:pStyle w:val="8"/>
              <w:spacing w:before="15" w:line="251"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4.其他危害严重且引发社会影响的疫苗安全突发事件。</w:t>
            </w:r>
          </w:p>
        </w:tc>
        <w:tc>
          <w:tcPr>
            <w:tcW w:w="1268" w:type="dxa"/>
            <w:tcBorders>
              <w:top w:val="nil"/>
            </w:tcBorders>
          </w:tcPr>
          <w:p w14:paraId="5B3B389A">
            <w:pPr>
              <w:pStyle w:val="8"/>
              <w:rPr>
                <w:rFonts w:ascii="Times New Roman"/>
                <w:sz w:val="20"/>
              </w:rPr>
            </w:pPr>
          </w:p>
        </w:tc>
      </w:tr>
      <w:tr w14:paraId="62AB3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555" w:type="dxa"/>
            <w:tcBorders>
              <w:bottom w:val="nil"/>
            </w:tcBorders>
          </w:tcPr>
          <w:p w14:paraId="36CC284A">
            <w:pPr>
              <w:pStyle w:val="8"/>
              <w:rPr>
                <w:rFonts w:hint="eastAsia" w:ascii="仿宋_GB2312" w:hAnsi="仿宋_GB2312" w:eastAsia="仿宋_GB2312" w:cs="仿宋_GB2312"/>
                <w:sz w:val="20"/>
              </w:rPr>
            </w:pPr>
          </w:p>
        </w:tc>
        <w:tc>
          <w:tcPr>
            <w:tcW w:w="6073" w:type="dxa"/>
            <w:tcBorders>
              <w:bottom w:val="nil"/>
            </w:tcBorders>
          </w:tcPr>
          <w:p w14:paraId="2A764034">
            <w:pPr>
              <w:pStyle w:val="8"/>
              <w:spacing w:before="29"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符合下列情形之一的：</w:t>
            </w:r>
          </w:p>
        </w:tc>
        <w:tc>
          <w:tcPr>
            <w:tcW w:w="1268" w:type="dxa"/>
            <w:tcBorders>
              <w:bottom w:val="nil"/>
            </w:tcBorders>
          </w:tcPr>
          <w:p w14:paraId="3B8D8C81">
            <w:pPr>
              <w:pStyle w:val="8"/>
              <w:rPr>
                <w:rFonts w:hint="eastAsia" w:ascii="仿宋_GB2312" w:hAnsi="仿宋_GB2312" w:eastAsia="仿宋_GB2312" w:cs="仿宋_GB2312"/>
                <w:sz w:val="20"/>
              </w:rPr>
            </w:pPr>
          </w:p>
        </w:tc>
      </w:tr>
      <w:tr w14:paraId="6060C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3B7942C7">
            <w:pPr>
              <w:pStyle w:val="8"/>
              <w:rPr>
                <w:rFonts w:hint="eastAsia" w:ascii="仿宋_GB2312" w:hAnsi="仿宋_GB2312" w:eastAsia="仿宋_GB2312" w:cs="仿宋_GB2312"/>
                <w:sz w:val="20"/>
              </w:rPr>
            </w:pPr>
          </w:p>
        </w:tc>
        <w:tc>
          <w:tcPr>
            <w:tcW w:w="6073" w:type="dxa"/>
            <w:tcBorders>
              <w:top w:val="nil"/>
              <w:bottom w:val="nil"/>
            </w:tcBorders>
          </w:tcPr>
          <w:p w14:paraId="13E81D73">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1.同一批号疫苗引起 1 例患者死亡，疑似与质量相关的事件；</w:t>
            </w:r>
          </w:p>
        </w:tc>
        <w:tc>
          <w:tcPr>
            <w:tcW w:w="1268" w:type="dxa"/>
            <w:tcBorders>
              <w:top w:val="nil"/>
              <w:bottom w:val="nil"/>
            </w:tcBorders>
          </w:tcPr>
          <w:p w14:paraId="1553A6E6">
            <w:pPr>
              <w:pStyle w:val="8"/>
              <w:rPr>
                <w:rFonts w:hint="eastAsia" w:ascii="仿宋_GB2312" w:hAnsi="仿宋_GB2312" w:eastAsia="仿宋_GB2312" w:cs="仿宋_GB2312"/>
                <w:sz w:val="20"/>
              </w:rPr>
            </w:pPr>
          </w:p>
        </w:tc>
      </w:tr>
      <w:tr w14:paraId="1A7DF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7E916B24">
            <w:pPr>
              <w:pStyle w:val="8"/>
              <w:rPr>
                <w:rFonts w:hint="eastAsia" w:ascii="仿宋_GB2312" w:hAnsi="仿宋_GB2312" w:eastAsia="仿宋_GB2312" w:cs="仿宋_GB2312"/>
                <w:sz w:val="20"/>
              </w:rPr>
            </w:pPr>
          </w:p>
        </w:tc>
        <w:tc>
          <w:tcPr>
            <w:tcW w:w="6073" w:type="dxa"/>
            <w:tcBorders>
              <w:top w:val="nil"/>
              <w:bottom w:val="nil"/>
            </w:tcBorders>
          </w:tcPr>
          <w:p w14:paraId="7A3A5FF2">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2.在相对集中的时间和区域内，批号相对集中的同一疫苗引起临</w:t>
            </w:r>
          </w:p>
        </w:tc>
        <w:tc>
          <w:tcPr>
            <w:tcW w:w="1268" w:type="dxa"/>
            <w:tcBorders>
              <w:top w:val="nil"/>
              <w:bottom w:val="nil"/>
            </w:tcBorders>
          </w:tcPr>
          <w:p w14:paraId="5E237019">
            <w:pPr>
              <w:pStyle w:val="8"/>
              <w:rPr>
                <w:rFonts w:hint="eastAsia" w:ascii="仿宋_GB2312" w:hAnsi="仿宋_GB2312" w:eastAsia="仿宋_GB2312" w:cs="仿宋_GB2312"/>
                <w:sz w:val="20"/>
              </w:rPr>
            </w:pPr>
          </w:p>
        </w:tc>
      </w:tr>
      <w:tr w14:paraId="3E1B9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08C8BEE2">
            <w:pPr>
              <w:pStyle w:val="8"/>
              <w:rPr>
                <w:rFonts w:hint="eastAsia" w:ascii="仿宋_GB2312" w:hAnsi="仿宋_GB2312" w:eastAsia="仿宋_GB2312" w:cs="仿宋_GB2312"/>
                <w:sz w:val="20"/>
              </w:rPr>
            </w:pPr>
          </w:p>
        </w:tc>
        <w:tc>
          <w:tcPr>
            <w:tcW w:w="6073" w:type="dxa"/>
            <w:tcBorders>
              <w:top w:val="nil"/>
              <w:bottom w:val="nil"/>
            </w:tcBorders>
          </w:tcPr>
          <w:p w14:paraId="1AFF4199">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5"/>
                <w:sz w:val="21"/>
              </w:rPr>
              <w:t xml:space="preserve">床表现相似，且罕见或非预期的不良事件的人数超过 </w:t>
            </w:r>
            <w:r>
              <w:rPr>
                <w:rFonts w:hint="eastAsia" w:ascii="仿宋_GB2312" w:hAnsi="仿宋_GB2312" w:eastAsia="仿宋_GB2312" w:cs="仿宋_GB2312"/>
                <w:color w:val="202020"/>
                <w:sz w:val="21"/>
              </w:rPr>
              <w:t>5</w:t>
            </w:r>
            <w:r>
              <w:rPr>
                <w:rFonts w:hint="eastAsia" w:ascii="仿宋_GB2312" w:hAnsi="仿宋_GB2312" w:eastAsia="仿宋_GB2312" w:cs="仿宋_GB2312"/>
                <w:color w:val="202020"/>
                <w:spacing w:val="-14"/>
                <w:sz w:val="21"/>
              </w:rPr>
              <w:t xml:space="preserve"> 人、不多</w:t>
            </w:r>
          </w:p>
        </w:tc>
        <w:tc>
          <w:tcPr>
            <w:tcW w:w="1268" w:type="dxa"/>
            <w:tcBorders>
              <w:top w:val="nil"/>
              <w:bottom w:val="nil"/>
            </w:tcBorders>
          </w:tcPr>
          <w:p w14:paraId="1B435258">
            <w:pPr>
              <w:pStyle w:val="8"/>
              <w:rPr>
                <w:rFonts w:hint="eastAsia" w:ascii="仿宋_GB2312" w:hAnsi="仿宋_GB2312" w:eastAsia="仿宋_GB2312" w:cs="仿宋_GB2312"/>
                <w:sz w:val="20"/>
              </w:rPr>
            </w:pPr>
          </w:p>
        </w:tc>
      </w:tr>
      <w:tr w14:paraId="4A76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555" w:type="dxa"/>
            <w:tcBorders>
              <w:top w:val="nil"/>
              <w:bottom w:val="nil"/>
            </w:tcBorders>
          </w:tcPr>
          <w:p w14:paraId="6E8D1199">
            <w:pPr>
              <w:pStyle w:val="8"/>
              <w:spacing w:before="15"/>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较大疫苗安全</w:t>
            </w:r>
          </w:p>
          <w:p w14:paraId="2C37B9D9">
            <w:pPr>
              <w:pStyle w:val="8"/>
              <w:spacing w:before="31"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事件</w:t>
            </w:r>
          </w:p>
        </w:tc>
        <w:tc>
          <w:tcPr>
            <w:tcW w:w="6073" w:type="dxa"/>
            <w:tcBorders>
              <w:top w:val="nil"/>
              <w:bottom w:val="nil"/>
            </w:tcBorders>
          </w:tcPr>
          <w:p w14:paraId="7D903390">
            <w:pPr>
              <w:pStyle w:val="8"/>
              <w:spacing w:before="15"/>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31"/>
                <w:sz w:val="21"/>
              </w:rPr>
              <w:t xml:space="preserve">于 </w:t>
            </w:r>
            <w:r>
              <w:rPr>
                <w:rFonts w:hint="eastAsia" w:ascii="仿宋_GB2312" w:hAnsi="仿宋_GB2312" w:eastAsia="仿宋_GB2312" w:cs="仿宋_GB2312"/>
                <w:color w:val="202020"/>
                <w:sz w:val="21"/>
              </w:rPr>
              <w:t>10</w:t>
            </w:r>
            <w:r>
              <w:rPr>
                <w:rFonts w:hint="eastAsia" w:ascii="仿宋_GB2312" w:hAnsi="仿宋_GB2312" w:eastAsia="仿宋_GB2312" w:cs="仿宋_GB2312"/>
                <w:color w:val="202020"/>
                <w:spacing w:val="-5"/>
                <w:sz w:val="21"/>
              </w:rPr>
              <w:t xml:space="preserve"> 人；或者引起特别严重不良事件</w:t>
            </w:r>
            <w:r>
              <w:rPr>
                <w:rFonts w:hint="eastAsia" w:ascii="仿宋_GB2312" w:hAnsi="仿宋_GB2312" w:eastAsia="仿宋_GB2312" w:cs="仿宋_GB2312"/>
                <w:color w:val="202020"/>
                <w:sz w:val="21"/>
              </w:rPr>
              <w:t>（</w:t>
            </w:r>
            <w:r>
              <w:rPr>
                <w:rFonts w:hint="eastAsia" w:ascii="仿宋_GB2312" w:hAnsi="仿宋_GB2312" w:eastAsia="仿宋_GB2312" w:cs="仿宋_GB2312"/>
                <w:color w:val="202020"/>
                <w:spacing w:val="2"/>
                <w:sz w:val="21"/>
              </w:rPr>
              <w:t>可能对人体造成永久性</w:t>
            </w:r>
          </w:p>
          <w:p w14:paraId="6797ADF5">
            <w:pPr>
              <w:pStyle w:val="8"/>
              <w:spacing w:before="31"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3"/>
                <w:sz w:val="21"/>
              </w:rPr>
              <w:t>伤残、对器官功能造成永久性损伤或危及生命</w:t>
            </w:r>
            <w:r>
              <w:rPr>
                <w:rFonts w:hint="eastAsia" w:ascii="仿宋_GB2312" w:hAnsi="仿宋_GB2312" w:eastAsia="仿宋_GB2312" w:cs="仿宋_GB2312"/>
                <w:color w:val="202020"/>
                <w:spacing w:val="-5"/>
                <w:sz w:val="21"/>
              </w:rPr>
              <w:t>）</w:t>
            </w:r>
            <w:r>
              <w:rPr>
                <w:rFonts w:hint="eastAsia" w:ascii="仿宋_GB2312" w:hAnsi="仿宋_GB2312" w:eastAsia="仿宋_GB2312" w:cs="仿宋_GB2312"/>
                <w:color w:val="202020"/>
                <w:spacing w:val="-21"/>
                <w:sz w:val="21"/>
              </w:rPr>
              <w:t xml:space="preserve">超过 </w:t>
            </w:r>
            <w:r>
              <w:rPr>
                <w:rFonts w:hint="eastAsia" w:ascii="仿宋_GB2312" w:hAnsi="仿宋_GB2312" w:eastAsia="仿宋_GB2312" w:cs="仿宋_GB2312"/>
                <w:color w:val="202020"/>
                <w:sz w:val="21"/>
              </w:rPr>
              <w:t>2</w:t>
            </w:r>
            <w:r>
              <w:rPr>
                <w:rFonts w:hint="eastAsia" w:ascii="仿宋_GB2312" w:hAnsi="仿宋_GB2312" w:eastAsia="仿宋_GB2312" w:cs="仿宋_GB2312"/>
                <w:color w:val="202020"/>
                <w:spacing w:val="-14"/>
                <w:sz w:val="21"/>
              </w:rPr>
              <w:t xml:space="preserve"> 人，疑似</w:t>
            </w:r>
          </w:p>
        </w:tc>
        <w:tc>
          <w:tcPr>
            <w:tcW w:w="1268" w:type="dxa"/>
            <w:tcBorders>
              <w:top w:val="nil"/>
              <w:bottom w:val="nil"/>
            </w:tcBorders>
          </w:tcPr>
          <w:p w14:paraId="6FCBFF2D">
            <w:pPr>
              <w:pStyle w:val="8"/>
              <w:spacing w:before="166"/>
              <w:ind w:left="193" w:right="184"/>
              <w:jc w:val="center"/>
              <w:rPr>
                <w:rFonts w:hint="eastAsia" w:ascii="仿宋_GB2312" w:hAnsi="仿宋_GB2312" w:eastAsia="仿宋_GB2312" w:cs="仿宋_GB2312"/>
                <w:sz w:val="21"/>
              </w:rPr>
            </w:pPr>
            <w:r>
              <w:rPr>
                <w:rFonts w:hint="eastAsia" w:ascii="仿宋_GB2312" w:hAnsi="仿宋_GB2312" w:eastAsia="仿宋_GB2312" w:cs="仿宋_GB2312"/>
                <w:color w:val="202020"/>
                <w:sz w:val="21"/>
              </w:rPr>
              <w:t>Ⅲ级响应</w:t>
            </w:r>
          </w:p>
        </w:tc>
      </w:tr>
      <w:tr w14:paraId="55E1F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72CA9887">
            <w:pPr>
              <w:pStyle w:val="8"/>
              <w:rPr>
                <w:rFonts w:hint="eastAsia" w:ascii="仿宋_GB2312" w:hAnsi="仿宋_GB2312" w:eastAsia="仿宋_GB2312" w:cs="仿宋_GB2312"/>
                <w:sz w:val="20"/>
              </w:rPr>
            </w:pPr>
          </w:p>
        </w:tc>
        <w:tc>
          <w:tcPr>
            <w:tcW w:w="6073" w:type="dxa"/>
            <w:tcBorders>
              <w:top w:val="nil"/>
              <w:bottom w:val="nil"/>
            </w:tcBorders>
          </w:tcPr>
          <w:p w14:paraId="6DC41712">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与质量相关的事件；</w:t>
            </w:r>
          </w:p>
        </w:tc>
        <w:tc>
          <w:tcPr>
            <w:tcW w:w="1268" w:type="dxa"/>
            <w:tcBorders>
              <w:top w:val="nil"/>
              <w:bottom w:val="nil"/>
            </w:tcBorders>
          </w:tcPr>
          <w:p w14:paraId="4159CFF1">
            <w:pPr>
              <w:pStyle w:val="8"/>
              <w:rPr>
                <w:rFonts w:hint="eastAsia" w:ascii="仿宋_GB2312" w:hAnsi="仿宋_GB2312" w:eastAsia="仿宋_GB2312" w:cs="仿宋_GB2312"/>
                <w:sz w:val="20"/>
              </w:rPr>
            </w:pPr>
          </w:p>
        </w:tc>
      </w:tr>
      <w:tr w14:paraId="02D73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1F8E5E32">
            <w:pPr>
              <w:pStyle w:val="8"/>
              <w:rPr>
                <w:rFonts w:hint="eastAsia" w:ascii="仿宋_GB2312" w:hAnsi="仿宋_GB2312" w:eastAsia="仿宋_GB2312" w:cs="仿宋_GB2312"/>
                <w:sz w:val="20"/>
              </w:rPr>
            </w:pPr>
          </w:p>
        </w:tc>
        <w:tc>
          <w:tcPr>
            <w:tcW w:w="6073" w:type="dxa"/>
            <w:tcBorders>
              <w:top w:val="nil"/>
              <w:bottom w:val="nil"/>
            </w:tcBorders>
          </w:tcPr>
          <w:p w14:paraId="0BA6A4B9">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3.确认出现质量问题，涉及 1 个省份的；</w:t>
            </w:r>
          </w:p>
        </w:tc>
        <w:tc>
          <w:tcPr>
            <w:tcW w:w="1268" w:type="dxa"/>
            <w:tcBorders>
              <w:top w:val="nil"/>
              <w:bottom w:val="nil"/>
            </w:tcBorders>
          </w:tcPr>
          <w:p w14:paraId="6B35040F">
            <w:pPr>
              <w:pStyle w:val="8"/>
              <w:rPr>
                <w:rFonts w:hint="eastAsia" w:ascii="仿宋_GB2312" w:hAnsi="仿宋_GB2312" w:eastAsia="仿宋_GB2312" w:cs="仿宋_GB2312"/>
                <w:sz w:val="20"/>
              </w:rPr>
            </w:pPr>
          </w:p>
        </w:tc>
      </w:tr>
      <w:tr w14:paraId="42401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213FA90D">
            <w:pPr>
              <w:pStyle w:val="8"/>
              <w:rPr>
                <w:rFonts w:hint="eastAsia" w:ascii="仿宋_GB2312" w:hAnsi="仿宋_GB2312" w:eastAsia="仿宋_GB2312" w:cs="仿宋_GB2312"/>
                <w:sz w:val="20"/>
              </w:rPr>
            </w:pPr>
          </w:p>
        </w:tc>
        <w:tc>
          <w:tcPr>
            <w:tcW w:w="6073" w:type="dxa"/>
            <w:tcBorders>
              <w:top w:val="nil"/>
              <w:bottom w:val="nil"/>
            </w:tcBorders>
          </w:tcPr>
          <w:p w14:paraId="373668BE">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4.其他危害较大且引发社会影响局限于某一省份的疫苗安全突发</w:t>
            </w:r>
          </w:p>
        </w:tc>
        <w:tc>
          <w:tcPr>
            <w:tcW w:w="1268" w:type="dxa"/>
            <w:tcBorders>
              <w:top w:val="nil"/>
              <w:bottom w:val="nil"/>
            </w:tcBorders>
          </w:tcPr>
          <w:p w14:paraId="586C1125">
            <w:pPr>
              <w:pStyle w:val="8"/>
              <w:rPr>
                <w:rFonts w:hint="eastAsia" w:ascii="仿宋_GB2312" w:hAnsi="仿宋_GB2312" w:eastAsia="仿宋_GB2312" w:cs="仿宋_GB2312"/>
                <w:sz w:val="20"/>
              </w:rPr>
            </w:pPr>
          </w:p>
        </w:tc>
      </w:tr>
      <w:tr w14:paraId="1FF0E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1555" w:type="dxa"/>
            <w:tcBorders>
              <w:top w:val="nil"/>
            </w:tcBorders>
          </w:tcPr>
          <w:p w14:paraId="0139C008">
            <w:pPr>
              <w:pStyle w:val="8"/>
              <w:rPr>
                <w:rFonts w:hint="eastAsia" w:ascii="仿宋_GB2312" w:hAnsi="仿宋_GB2312" w:eastAsia="仿宋_GB2312" w:cs="仿宋_GB2312"/>
                <w:sz w:val="20"/>
              </w:rPr>
            </w:pPr>
          </w:p>
        </w:tc>
        <w:tc>
          <w:tcPr>
            <w:tcW w:w="6073" w:type="dxa"/>
            <w:tcBorders>
              <w:top w:val="nil"/>
            </w:tcBorders>
          </w:tcPr>
          <w:p w14:paraId="371ECCFC">
            <w:pPr>
              <w:pStyle w:val="8"/>
              <w:spacing w:before="15" w:line="251"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事件。</w:t>
            </w:r>
          </w:p>
        </w:tc>
        <w:tc>
          <w:tcPr>
            <w:tcW w:w="1268" w:type="dxa"/>
            <w:tcBorders>
              <w:top w:val="nil"/>
            </w:tcBorders>
          </w:tcPr>
          <w:p w14:paraId="1E1BCAD3">
            <w:pPr>
              <w:pStyle w:val="8"/>
              <w:rPr>
                <w:rFonts w:hint="eastAsia" w:ascii="仿宋_GB2312" w:hAnsi="仿宋_GB2312" w:eastAsia="仿宋_GB2312" w:cs="仿宋_GB2312"/>
                <w:sz w:val="20"/>
              </w:rPr>
            </w:pPr>
          </w:p>
        </w:tc>
      </w:tr>
      <w:tr w14:paraId="6BA8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555" w:type="dxa"/>
            <w:tcBorders>
              <w:bottom w:val="nil"/>
            </w:tcBorders>
          </w:tcPr>
          <w:p w14:paraId="3BF3AF90">
            <w:pPr>
              <w:pStyle w:val="8"/>
              <w:rPr>
                <w:rFonts w:hint="eastAsia" w:ascii="仿宋_GB2312" w:hAnsi="仿宋_GB2312" w:eastAsia="仿宋_GB2312" w:cs="仿宋_GB2312"/>
                <w:sz w:val="20"/>
              </w:rPr>
            </w:pPr>
          </w:p>
        </w:tc>
        <w:tc>
          <w:tcPr>
            <w:tcW w:w="6073" w:type="dxa"/>
            <w:tcBorders>
              <w:bottom w:val="nil"/>
            </w:tcBorders>
          </w:tcPr>
          <w:p w14:paraId="54675D6A">
            <w:pPr>
              <w:pStyle w:val="8"/>
              <w:spacing w:before="98"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符合下列情形之一的：</w:t>
            </w:r>
          </w:p>
        </w:tc>
        <w:tc>
          <w:tcPr>
            <w:tcW w:w="1268" w:type="dxa"/>
            <w:tcBorders>
              <w:bottom w:val="nil"/>
            </w:tcBorders>
          </w:tcPr>
          <w:p w14:paraId="01EEDE9E">
            <w:pPr>
              <w:pStyle w:val="8"/>
              <w:rPr>
                <w:rFonts w:hint="eastAsia" w:ascii="仿宋_GB2312" w:hAnsi="仿宋_GB2312" w:eastAsia="仿宋_GB2312" w:cs="仿宋_GB2312"/>
                <w:sz w:val="20"/>
              </w:rPr>
            </w:pPr>
          </w:p>
        </w:tc>
      </w:tr>
      <w:tr w14:paraId="3F93E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55" w:type="dxa"/>
            <w:tcBorders>
              <w:top w:val="nil"/>
              <w:bottom w:val="nil"/>
            </w:tcBorders>
          </w:tcPr>
          <w:p w14:paraId="228D647B">
            <w:pPr>
              <w:pStyle w:val="8"/>
              <w:rPr>
                <w:rFonts w:hint="eastAsia" w:ascii="仿宋_GB2312" w:hAnsi="仿宋_GB2312" w:eastAsia="仿宋_GB2312" w:cs="仿宋_GB2312"/>
                <w:sz w:val="20"/>
              </w:rPr>
            </w:pPr>
          </w:p>
        </w:tc>
        <w:tc>
          <w:tcPr>
            <w:tcW w:w="6073" w:type="dxa"/>
            <w:tcBorders>
              <w:top w:val="nil"/>
              <w:bottom w:val="nil"/>
            </w:tcBorders>
          </w:tcPr>
          <w:p w14:paraId="1CEBB282">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1.在相对集中的时间和区域内，批号相对集中的同一疫苗引起临</w:t>
            </w:r>
          </w:p>
        </w:tc>
        <w:tc>
          <w:tcPr>
            <w:tcW w:w="1268" w:type="dxa"/>
            <w:tcBorders>
              <w:top w:val="nil"/>
              <w:bottom w:val="nil"/>
            </w:tcBorders>
          </w:tcPr>
          <w:p w14:paraId="61FEA8C4">
            <w:pPr>
              <w:pStyle w:val="8"/>
              <w:rPr>
                <w:rFonts w:hint="eastAsia" w:ascii="仿宋_GB2312" w:hAnsi="仿宋_GB2312" w:eastAsia="仿宋_GB2312" w:cs="仿宋_GB2312"/>
                <w:sz w:val="20"/>
              </w:rPr>
            </w:pPr>
          </w:p>
        </w:tc>
      </w:tr>
      <w:tr w14:paraId="0662D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555" w:type="dxa"/>
            <w:tcBorders>
              <w:top w:val="nil"/>
              <w:bottom w:val="nil"/>
            </w:tcBorders>
          </w:tcPr>
          <w:p w14:paraId="2199A0D7">
            <w:pPr>
              <w:pStyle w:val="8"/>
              <w:spacing w:before="164" w:line="266" w:lineRule="auto"/>
              <w:ind w:left="107" w:right="98"/>
              <w:rPr>
                <w:rFonts w:hint="eastAsia" w:ascii="仿宋_GB2312" w:hAnsi="仿宋_GB2312" w:eastAsia="仿宋_GB2312" w:cs="仿宋_GB2312"/>
                <w:sz w:val="21"/>
              </w:rPr>
            </w:pPr>
            <w:r>
              <w:rPr>
                <w:rFonts w:hint="eastAsia" w:ascii="仿宋_GB2312" w:hAnsi="仿宋_GB2312" w:eastAsia="仿宋_GB2312" w:cs="仿宋_GB2312"/>
                <w:color w:val="202020"/>
                <w:sz w:val="21"/>
              </w:rPr>
              <w:t>一般疫苗安全事件</w:t>
            </w:r>
          </w:p>
        </w:tc>
        <w:tc>
          <w:tcPr>
            <w:tcW w:w="6073" w:type="dxa"/>
            <w:tcBorders>
              <w:top w:val="nil"/>
              <w:bottom w:val="nil"/>
            </w:tcBorders>
          </w:tcPr>
          <w:p w14:paraId="1BFBF754">
            <w:pPr>
              <w:pStyle w:val="8"/>
              <w:spacing w:before="15"/>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5"/>
                <w:sz w:val="21"/>
              </w:rPr>
              <w:t xml:space="preserve">床表现相似，且罕见或非预期的不良事件的人数超过 </w:t>
            </w:r>
            <w:r>
              <w:rPr>
                <w:rFonts w:hint="eastAsia" w:ascii="仿宋_GB2312" w:hAnsi="仿宋_GB2312" w:eastAsia="仿宋_GB2312" w:cs="仿宋_GB2312"/>
                <w:color w:val="202020"/>
                <w:sz w:val="21"/>
              </w:rPr>
              <w:t>3</w:t>
            </w:r>
            <w:r>
              <w:rPr>
                <w:rFonts w:hint="eastAsia" w:ascii="仿宋_GB2312" w:hAnsi="仿宋_GB2312" w:eastAsia="仿宋_GB2312" w:cs="仿宋_GB2312"/>
                <w:color w:val="202020"/>
                <w:spacing w:val="-15"/>
                <w:sz w:val="21"/>
              </w:rPr>
              <w:t xml:space="preserve"> 人、不多</w:t>
            </w:r>
          </w:p>
          <w:p w14:paraId="7BAF0DC5">
            <w:pPr>
              <w:pStyle w:val="8"/>
              <w:spacing w:before="31"/>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31"/>
                <w:sz w:val="21"/>
              </w:rPr>
              <w:t xml:space="preserve">于 </w:t>
            </w:r>
            <w:r>
              <w:rPr>
                <w:rFonts w:hint="eastAsia" w:ascii="仿宋_GB2312" w:hAnsi="仿宋_GB2312" w:eastAsia="仿宋_GB2312" w:cs="仿宋_GB2312"/>
                <w:color w:val="202020"/>
                <w:sz w:val="21"/>
              </w:rPr>
              <w:t>5</w:t>
            </w:r>
            <w:r>
              <w:rPr>
                <w:rFonts w:hint="eastAsia" w:ascii="仿宋_GB2312" w:hAnsi="仿宋_GB2312" w:eastAsia="仿宋_GB2312" w:cs="仿宋_GB2312"/>
                <w:color w:val="202020"/>
                <w:spacing w:val="-10"/>
                <w:sz w:val="21"/>
              </w:rPr>
              <w:t xml:space="preserve"> 人；或者引起特别严重不良事件</w:t>
            </w:r>
            <w:r>
              <w:rPr>
                <w:rFonts w:hint="eastAsia" w:ascii="仿宋_GB2312" w:hAnsi="仿宋_GB2312" w:eastAsia="仿宋_GB2312" w:cs="仿宋_GB2312"/>
                <w:color w:val="202020"/>
                <w:sz w:val="21"/>
              </w:rPr>
              <w:t>（可能对人体造成永久性伤</w:t>
            </w:r>
          </w:p>
          <w:p w14:paraId="0A481AE7">
            <w:pPr>
              <w:pStyle w:val="8"/>
              <w:spacing w:before="31"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pacing w:val="-2"/>
                <w:sz w:val="21"/>
              </w:rPr>
              <w:t>残、对器官功能造成永久性损伤或危及生命</w:t>
            </w:r>
            <w:r>
              <w:rPr>
                <w:rFonts w:hint="eastAsia" w:ascii="仿宋_GB2312" w:hAnsi="仿宋_GB2312" w:eastAsia="仿宋_GB2312" w:cs="仿宋_GB2312"/>
                <w:color w:val="202020"/>
                <w:spacing w:val="-8"/>
                <w:sz w:val="21"/>
              </w:rPr>
              <w:t>）</w:t>
            </w:r>
            <w:r>
              <w:rPr>
                <w:rFonts w:hint="eastAsia" w:ascii="仿宋_GB2312" w:hAnsi="仿宋_GB2312" w:eastAsia="仿宋_GB2312" w:cs="仿宋_GB2312"/>
                <w:color w:val="202020"/>
                <w:spacing w:val="-21"/>
                <w:sz w:val="21"/>
              </w:rPr>
              <w:t xml:space="preserve">超过 </w:t>
            </w:r>
            <w:r>
              <w:rPr>
                <w:rFonts w:hint="eastAsia" w:ascii="仿宋_GB2312" w:hAnsi="仿宋_GB2312" w:eastAsia="仿宋_GB2312" w:cs="仿宋_GB2312"/>
                <w:color w:val="202020"/>
                <w:sz w:val="21"/>
              </w:rPr>
              <w:t>1</w:t>
            </w:r>
            <w:r>
              <w:rPr>
                <w:rFonts w:hint="eastAsia" w:ascii="仿宋_GB2312" w:hAnsi="仿宋_GB2312" w:eastAsia="仿宋_GB2312" w:cs="仿宋_GB2312"/>
                <w:color w:val="202020"/>
                <w:spacing w:val="-13"/>
                <w:sz w:val="21"/>
              </w:rPr>
              <w:t xml:space="preserve"> 人，疑似与</w:t>
            </w:r>
          </w:p>
        </w:tc>
        <w:tc>
          <w:tcPr>
            <w:tcW w:w="1268" w:type="dxa"/>
            <w:tcBorders>
              <w:top w:val="nil"/>
              <w:bottom w:val="nil"/>
            </w:tcBorders>
          </w:tcPr>
          <w:p w14:paraId="61D883E3">
            <w:pPr>
              <w:pStyle w:val="8"/>
              <w:spacing w:before="7"/>
              <w:rPr>
                <w:rFonts w:hint="eastAsia" w:ascii="仿宋_GB2312" w:hAnsi="仿宋_GB2312" w:eastAsia="仿宋_GB2312" w:cs="仿宋_GB2312"/>
                <w:sz w:val="24"/>
              </w:rPr>
            </w:pPr>
          </w:p>
          <w:p w14:paraId="5924464D">
            <w:pPr>
              <w:pStyle w:val="8"/>
              <w:ind w:left="193" w:right="184"/>
              <w:jc w:val="center"/>
              <w:rPr>
                <w:rFonts w:hint="eastAsia" w:ascii="仿宋_GB2312" w:hAnsi="仿宋_GB2312" w:eastAsia="仿宋_GB2312" w:cs="仿宋_GB2312"/>
                <w:sz w:val="21"/>
              </w:rPr>
            </w:pPr>
            <w:r>
              <w:rPr>
                <w:rFonts w:hint="eastAsia" w:ascii="仿宋_GB2312" w:hAnsi="仿宋_GB2312" w:eastAsia="仿宋_GB2312" w:cs="仿宋_GB2312"/>
                <w:color w:val="202020"/>
                <w:sz w:val="21"/>
              </w:rPr>
              <w:t>Ⅳ级响应</w:t>
            </w:r>
          </w:p>
        </w:tc>
      </w:tr>
      <w:tr w14:paraId="2AEED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555" w:type="dxa"/>
            <w:tcBorders>
              <w:top w:val="nil"/>
              <w:bottom w:val="nil"/>
            </w:tcBorders>
          </w:tcPr>
          <w:p w14:paraId="0A15FBC1">
            <w:pPr>
              <w:pStyle w:val="8"/>
              <w:rPr>
                <w:rFonts w:hint="eastAsia" w:ascii="仿宋_GB2312" w:hAnsi="仿宋_GB2312" w:eastAsia="仿宋_GB2312" w:cs="仿宋_GB2312"/>
                <w:sz w:val="20"/>
              </w:rPr>
            </w:pPr>
          </w:p>
        </w:tc>
        <w:tc>
          <w:tcPr>
            <w:tcW w:w="6073" w:type="dxa"/>
            <w:tcBorders>
              <w:top w:val="nil"/>
              <w:bottom w:val="nil"/>
            </w:tcBorders>
          </w:tcPr>
          <w:p w14:paraId="1C0B9502">
            <w:pPr>
              <w:pStyle w:val="8"/>
              <w:spacing w:before="15" w:line="265" w:lineRule="exact"/>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质量相关的事件；</w:t>
            </w:r>
          </w:p>
        </w:tc>
        <w:tc>
          <w:tcPr>
            <w:tcW w:w="1268" w:type="dxa"/>
            <w:tcBorders>
              <w:top w:val="nil"/>
              <w:bottom w:val="nil"/>
            </w:tcBorders>
          </w:tcPr>
          <w:p w14:paraId="1ED24605">
            <w:pPr>
              <w:pStyle w:val="8"/>
              <w:rPr>
                <w:rFonts w:hint="eastAsia" w:ascii="仿宋_GB2312" w:hAnsi="仿宋_GB2312" w:eastAsia="仿宋_GB2312" w:cs="仿宋_GB2312"/>
                <w:sz w:val="20"/>
              </w:rPr>
            </w:pPr>
          </w:p>
        </w:tc>
      </w:tr>
      <w:tr w14:paraId="4159F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555" w:type="dxa"/>
            <w:tcBorders>
              <w:top w:val="nil"/>
            </w:tcBorders>
          </w:tcPr>
          <w:p w14:paraId="12FA4467">
            <w:pPr>
              <w:pStyle w:val="8"/>
              <w:rPr>
                <w:rFonts w:hint="eastAsia" w:ascii="仿宋_GB2312" w:hAnsi="仿宋_GB2312" w:eastAsia="仿宋_GB2312" w:cs="仿宋_GB2312"/>
                <w:sz w:val="20"/>
              </w:rPr>
            </w:pPr>
          </w:p>
        </w:tc>
        <w:tc>
          <w:tcPr>
            <w:tcW w:w="6073" w:type="dxa"/>
            <w:tcBorders>
              <w:top w:val="nil"/>
            </w:tcBorders>
          </w:tcPr>
          <w:p w14:paraId="23CF50C0">
            <w:pPr>
              <w:pStyle w:val="8"/>
              <w:spacing w:before="15"/>
              <w:ind w:left="107"/>
              <w:rPr>
                <w:rFonts w:hint="eastAsia" w:ascii="仿宋_GB2312" w:hAnsi="仿宋_GB2312" w:eastAsia="仿宋_GB2312" w:cs="仿宋_GB2312"/>
                <w:sz w:val="21"/>
              </w:rPr>
            </w:pPr>
            <w:r>
              <w:rPr>
                <w:rFonts w:hint="eastAsia" w:ascii="仿宋_GB2312" w:hAnsi="仿宋_GB2312" w:eastAsia="仿宋_GB2312" w:cs="仿宋_GB2312"/>
                <w:color w:val="202020"/>
                <w:sz w:val="21"/>
              </w:rPr>
              <w:t>2.其他一般疫苗安全事件。</w:t>
            </w:r>
          </w:p>
        </w:tc>
        <w:tc>
          <w:tcPr>
            <w:tcW w:w="1268" w:type="dxa"/>
            <w:tcBorders>
              <w:top w:val="nil"/>
            </w:tcBorders>
          </w:tcPr>
          <w:p w14:paraId="1734FEE2">
            <w:pPr>
              <w:pStyle w:val="8"/>
              <w:rPr>
                <w:rFonts w:hint="eastAsia" w:ascii="仿宋_GB2312" w:hAnsi="仿宋_GB2312" w:eastAsia="仿宋_GB2312" w:cs="仿宋_GB2312"/>
                <w:sz w:val="20"/>
              </w:rPr>
            </w:pPr>
          </w:p>
        </w:tc>
      </w:tr>
    </w:tbl>
    <w:p w14:paraId="6FB6937A">
      <w:pPr>
        <w:spacing w:after="0"/>
        <w:rPr>
          <w:rFonts w:ascii="Times New Roman"/>
          <w:sz w:val="20"/>
        </w:rPr>
        <w:sectPr>
          <w:type w:val="continuous"/>
          <w:pgSz w:w="11910" w:h="16840"/>
          <w:pgMar w:top="1580" w:right="820" w:bottom="1420" w:left="1400" w:header="720" w:footer="720" w:gutter="0"/>
          <w:cols w:space="720" w:num="1"/>
        </w:sectPr>
      </w:pPr>
    </w:p>
    <w:p w14:paraId="69BF47CA">
      <w:pPr>
        <w:pStyle w:val="3"/>
        <w:keepNext w:val="0"/>
        <w:keepLines w:val="0"/>
        <w:pageBreakBefore w:val="0"/>
        <w:widowControl w:val="0"/>
        <w:kinsoku/>
        <w:wordWrap/>
        <w:overflowPunct/>
        <w:topLinePunct w:val="0"/>
        <w:autoSpaceDE w:val="0"/>
        <w:autoSpaceDN w:val="0"/>
        <w:bidi w:val="0"/>
        <w:adjustRightInd/>
        <w:snapToGrid/>
        <w:spacing w:line="20" w:lineRule="exact"/>
        <w:textAlignment w:val="auto"/>
        <w:rPr>
          <w:sz w:val="20"/>
        </w:rPr>
      </w:pPr>
    </w:p>
    <w:p w14:paraId="4CD31C9C">
      <w:pPr>
        <w:pStyle w:val="3"/>
        <w:spacing w:before="7"/>
        <w:rPr>
          <w:sz w:val="22"/>
        </w:rPr>
      </w:pPr>
    </w:p>
    <w:p w14:paraId="6E6AF6FD">
      <w:pPr>
        <w:pStyle w:val="3"/>
        <w:spacing w:before="54"/>
        <w:ind w:left="131"/>
      </w:pPr>
      <w:r>
        <w:t>附件 2</w:t>
      </w:r>
    </w:p>
    <w:p w14:paraId="7D8AAE44">
      <w:pPr>
        <w:pStyle w:val="3"/>
        <w:spacing w:before="11"/>
        <w:rPr>
          <w:sz w:val="24"/>
        </w:rPr>
      </w:pPr>
    </w:p>
    <w:p w14:paraId="77DF97C1">
      <w:pPr>
        <w:pStyle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疫苗安全重大信息报告表（初报）</w:t>
      </w:r>
    </w:p>
    <w:p w14:paraId="52B818FA">
      <w:pPr>
        <w:pStyle w:val="3"/>
        <w:spacing w:before="1"/>
        <w:rPr>
          <w:sz w:val="13"/>
        </w:rPr>
      </w:pPr>
    </w:p>
    <w:tbl>
      <w:tblPr>
        <w:tblStyle w:val="4"/>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0"/>
        <w:gridCol w:w="1172"/>
        <w:gridCol w:w="1526"/>
        <w:gridCol w:w="695"/>
        <w:gridCol w:w="1688"/>
        <w:gridCol w:w="406"/>
        <w:gridCol w:w="200"/>
        <w:gridCol w:w="2261"/>
      </w:tblGrid>
      <w:tr w14:paraId="10F0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trPr>
        <w:tc>
          <w:tcPr>
            <w:tcW w:w="2342" w:type="dxa"/>
            <w:gridSpan w:val="2"/>
          </w:tcPr>
          <w:p w14:paraId="49E575A9">
            <w:pPr>
              <w:pStyle w:val="8"/>
              <w:spacing w:before="8"/>
              <w:rPr>
                <w:rFonts w:hint="eastAsia" w:ascii="仿宋_GB2312" w:hAnsi="仿宋_GB2312" w:eastAsia="仿宋_GB2312" w:cs="仿宋_GB2312"/>
                <w:sz w:val="18"/>
              </w:rPr>
            </w:pPr>
          </w:p>
          <w:p w14:paraId="57C0C2EE">
            <w:pPr>
              <w:pStyle w:val="8"/>
              <w:ind w:left="689"/>
              <w:rPr>
                <w:rFonts w:hint="eastAsia" w:ascii="仿宋_GB2312" w:hAnsi="仿宋_GB2312" w:eastAsia="仿宋_GB2312" w:cs="仿宋_GB2312"/>
                <w:sz w:val="24"/>
              </w:rPr>
            </w:pPr>
            <w:r>
              <w:rPr>
                <w:rFonts w:hint="eastAsia" w:ascii="仿宋_GB2312" w:hAnsi="仿宋_GB2312" w:eastAsia="仿宋_GB2312" w:cs="仿宋_GB2312"/>
                <w:sz w:val="24"/>
              </w:rPr>
              <w:t>事件名称</w:t>
            </w:r>
          </w:p>
        </w:tc>
        <w:tc>
          <w:tcPr>
            <w:tcW w:w="6776" w:type="dxa"/>
            <w:gridSpan w:val="6"/>
          </w:tcPr>
          <w:p w14:paraId="16874774">
            <w:pPr>
              <w:pStyle w:val="8"/>
              <w:rPr>
                <w:rFonts w:hint="eastAsia" w:ascii="仿宋_GB2312" w:hAnsi="仿宋_GB2312" w:eastAsia="仿宋_GB2312" w:cs="仿宋_GB2312"/>
                <w:sz w:val="26"/>
              </w:rPr>
            </w:pPr>
          </w:p>
        </w:tc>
      </w:tr>
      <w:tr w14:paraId="69E86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342" w:type="dxa"/>
            <w:gridSpan w:val="2"/>
          </w:tcPr>
          <w:p w14:paraId="0EE5065C">
            <w:pPr>
              <w:pStyle w:val="8"/>
              <w:spacing w:before="11"/>
              <w:rPr>
                <w:rFonts w:hint="eastAsia" w:ascii="仿宋_GB2312" w:hAnsi="仿宋_GB2312" w:eastAsia="仿宋_GB2312" w:cs="仿宋_GB2312"/>
                <w:sz w:val="19"/>
              </w:rPr>
            </w:pPr>
          </w:p>
          <w:p w14:paraId="5B7EA1D5">
            <w:pPr>
              <w:pStyle w:val="8"/>
              <w:ind w:left="689"/>
              <w:rPr>
                <w:rFonts w:hint="eastAsia" w:ascii="仿宋_GB2312" w:hAnsi="仿宋_GB2312" w:eastAsia="仿宋_GB2312" w:cs="仿宋_GB2312"/>
                <w:sz w:val="24"/>
              </w:rPr>
            </w:pPr>
            <w:r>
              <w:rPr>
                <w:rFonts w:hint="eastAsia" w:ascii="仿宋_GB2312" w:hAnsi="仿宋_GB2312" w:eastAsia="仿宋_GB2312" w:cs="仿宋_GB2312"/>
                <w:sz w:val="24"/>
              </w:rPr>
              <w:t>事发地点</w:t>
            </w:r>
          </w:p>
        </w:tc>
        <w:tc>
          <w:tcPr>
            <w:tcW w:w="2221" w:type="dxa"/>
            <w:gridSpan w:val="2"/>
          </w:tcPr>
          <w:p w14:paraId="599BDD32">
            <w:pPr>
              <w:pStyle w:val="8"/>
              <w:rPr>
                <w:rFonts w:hint="eastAsia" w:ascii="仿宋_GB2312" w:hAnsi="仿宋_GB2312" w:eastAsia="仿宋_GB2312" w:cs="仿宋_GB2312"/>
                <w:sz w:val="26"/>
              </w:rPr>
            </w:pPr>
          </w:p>
        </w:tc>
        <w:tc>
          <w:tcPr>
            <w:tcW w:w="2094" w:type="dxa"/>
            <w:gridSpan w:val="2"/>
          </w:tcPr>
          <w:p w14:paraId="07AF780F">
            <w:pPr>
              <w:pStyle w:val="8"/>
              <w:spacing w:before="6"/>
              <w:rPr>
                <w:rFonts w:hint="eastAsia" w:ascii="仿宋_GB2312" w:hAnsi="仿宋_GB2312" w:eastAsia="仿宋_GB2312" w:cs="仿宋_GB2312"/>
                <w:sz w:val="19"/>
              </w:rPr>
            </w:pPr>
          </w:p>
          <w:p w14:paraId="488E6528">
            <w:pPr>
              <w:pStyle w:val="8"/>
              <w:ind w:left="547"/>
              <w:rPr>
                <w:rFonts w:hint="eastAsia" w:ascii="仿宋_GB2312" w:hAnsi="仿宋_GB2312" w:eastAsia="仿宋_GB2312" w:cs="仿宋_GB2312"/>
                <w:sz w:val="24"/>
              </w:rPr>
            </w:pPr>
            <w:r>
              <w:rPr>
                <w:rFonts w:hint="eastAsia" w:ascii="仿宋_GB2312" w:hAnsi="仿宋_GB2312" w:eastAsia="仿宋_GB2312" w:cs="仿宋_GB2312"/>
                <w:sz w:val="24"/>
              </w:rPr>
              <w:t>涉及单位</w:t>
            </w:r>
          </w:p>
        </w:tc>
        <w:tc>
          <w:tcPr>
            <w:tcW w:w="2461" w:type="dxa"/>
            <w:gridSpan w:val="2"/>
          </w:tcPr>
          <w:p w14:paraId="70AC4303">
            <w:pPr>
              <w:pStyle w:val="8"/>
              <w:rPr>
                <w:rFonts w:hint="eastAsia" w:ascii="仿宋_GB2312" w:hAnsi="仿宋_GB2312" w:eastAsia="仿宋_GB2312" w:cs="仿宋_GB2312"/>
                <w:sz w:val="26"/>
              </w:rPr>
            </w:pPr>
          </w:p>
        </w:tc>
      </w:tr>
      <w:tr w14:paraId="30A4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2342" w:type="dxa"/>
            <w:gridSpan w:val="2"/>
          </w:tcPr>
          <w:p w14:paraId="327AFF03">
            <w:pPr>
              <w:pStyle w:val="8"/>
              <w:spacing w:before="2"/>
              <w:rPr>
                <w:rFonts w:hint="eastAsia" w:ascii="仿宋_GB2312" w:hAnsi="仿宋_GB2312" w:eastAsia="仿宋_GB2312" w:cs="仿宋_GB2312"/>
                <w:sz w:val="24"/>
              </w:rPr>
            </w:pPr>
          </w:p>
          <w:p w14:paraId="1432BB7C">
            <w:pPr>
              <w:pStyle w:val="8"/>
              <w:ind w:left="689"/>
              <w:rPr>
                <w:rFonts w:hint="eastAsia" w:ascii="仿宋_GB2312" w:hAnsi="仿宋_GB2312" w:eastAsia="仿宋_GB2312" w:cs="仿宋_GB2312"/>
                <w:sz w:val="24"/>
              </w:rPr>
            </w:pPr>
            <w:r>
              <w:rPr>
                <w:rFonts w:hint="eastAsia" w:ascii="仿宋_GB2312" w:hAnsi="仿宋_GB2312" w:eastAsia="仿宋_GB2312" w:cs="仿宋_GB2312"/>
                <w:sz w:val="24"/>
              </w:rPr>
              <w:t>发生事件</w:t>
            </w:r>
          </w:p>
        </w:tc>
        <w:tc>
          <w:tcPr>
            <w:tcW w:w="3909" w:type="dxa"/>
            <w:gridSpan w:val="3"/>
            <w:tcBorders>
              <w:right w:val="nil"/>
            </w:tcBorders>
          </w:tcPr>
          <w:p w14:paraId="0AF5B100">
            <w:pPr>
              <w:pStyle w:val="8"/>
              <w:spacing w:before="8"/>
              <w:rPr>
                <w:rFonts w:hint="eastAsia" w:ascii="仿宋_GB2312" w:hAnsi="仿宋_GB2312" w:eastAsia="仿宋_GB2312" w:cs="仿宋_GB2312"/>
                <w:sz w:val="23"/>
              </w:rPr>
            </w:pPr>
          </w:p>
          <w:p w14:paraId="3AD4A7DF">
            <w:pPr>
              <w:pStyle w:val="8"/>
              <w:ind w:left="2348"/>
              <w:rPr>
                <w:rFonts w:hint="eastAsia" w:ascii="仿宋_GB2312" w:hAnsi="仿宋_GB2312" w:eastAsia="仿宋_GB2312" w:cs="仿宋_GB2312"/>
                <w:sz w:val="24"/>
              </w:rPr>
            </w:pPr>
            <w:r>
              <w:rPr>
                <w:rFonts w:hint="eastAsia" w:ascii="仿宋_GB2312" w:hAnsi="仿宋_GB2312" w:eastAsia="仿宋_GB2312" w:cs="仿宋_GB2312"/>
                <w:sz w:val="24"/>
              </w:rPr>
              <w:t>X</w:t>
            </w:r>
            <w:r>
              <w:rPr>
                <w:rFonts w:hint="eastAsia" w:ascii="仿宋_GB2312" w:hAnsi="仿宋_GB2312" w:eastAsia="仿宋_GB2312" w:cs="仿宋_GB2312"/>
                <w:spacing w:val="-22"/>
                <w:sz w:val="24"/>
              </w:rPr>
              <w:t xml:space="preserve"> 年 </w:t>
            </w:r>
            <w:r>
              <w:rPr>
                <w:rFonts w:hint="eastAsia" w:ascii="仿宋_GB2312" w:hAnsi="仿宋_GB2312" w:eastAsia="仿宋_GB2312" w:cs="仿宋_GB2312"/>
                <w:sz w:val="24"/>
              </w:rPr>
              <w:t>X</w:t>
            </w:r>
            <w:r>
              <w:rPr>
                <w:rFonts w:hint="eastAsia" w:ascii="仿宋_GB2312" w:hAnsi="仿宋_GB2312" w:eastAsia="仿宋_GB2312" w:cs="仿宋_GB2312"/>
                <w:spacing w:val="-23"/>
                <w:sz w:val="24"/>
              </w:rPr>
              <w:t xml:space="preserve"> 月 </w:t>
            </w:r>
            <w:r>
              <w:rPr>
                <w:rFonts w:hint="eastAsia" w:ascii="仿宋_GB2312" w:hAnsi="仿宋_GB2312" w:eastAsia="仿宋_GB2312" w:cs="仿宋_GB2312"/>
                <w:sz w:val="24"/>
              </w:rPr>
              <w:t>X</w:t>
            </w:r>
            <w:r>
              <w:rPr>
                <w:rFonts w:hint="eastAsia" w:ascii="仿宋_GB2312" w:hAnsi="仿宋_GB2312" w:eastAsia="仿宋_GB2312" w:cs="仿宋_GB2312"/>
                <w:spacing w:val="-4"/>
                <w:sz w:val="24"/>
              </w:rPr>
              <w:t xml:space="preserve"> 日</w:t>
            </w:r>
          </w:p>
        </w:tc>
        <w:tc>
          <w:tcPr>
            <w:tcW w:w="2867" w:type="dxa"/>
            <w:gridSpan w:val="3"/>
            <w:tcBorders>
              <w:left w:val="nil"/>
            </w:tcBorders>
          </w:tcPr>
          <w:p w14:paraId="4F277586">
            <w:pPr>
              <w:pStyle w:val="8"/>
              <w:spacing w:before="8"/>
              <w:rPr>
                <w:rFonts w:hint="eastAsia" w:ascii="仿宋_GB2312" w:hAnsi="仿宋_GB2312" w:eastAsia="仿宋_GB2312" w:cs="仿宋_GB2312"/>
                <w:sz w:val="23"/>
              </w:rPr>
            </w:pPr>
          </w:p>
          <w:p w14:paraId="63153CFE">
            <w:pPr>
              <w:pStyle w:val="8"/>
              <w:ind w:left="45"/>
              <w:rPr>
                <w:rFonts w:hint="eastAsia" w:ascii="仿宋_GB2312" w:hAnsi="仿宋_GB2312" w:eastAsia="仿宋_GB2312" w:cs="仿宋_GB2312"/>
                <w:sz w:val="24"/>
              </w:rPr>
            </w:pPr>
            <w:r>
              <w:rPr>
                <w:rFonts w:hint="eastAsia" w:ascii="仿宋_GB2312" w:hAnsi="仿宋_GB2312" w:eastAsia="仿宋_GB2312" w:cs="仿宋_GB2312"/>
                <w:sz w:val="24"/>
              </w:rPr>
              <w:t>X 时</w:t>
            </w:r>
          </w:p>
        </w:tc>
      </w:tr>
      <w:tr w14:paraId="14436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trPr>
        <w:tc>
          <w:tcPr>
            <w:tcW w:w="2342" w:type="dxa"/>
            <w:gridSpan w:val="2"/>
          </w:tcPr>
          <w:p w14:paraId="67CFEEF0">
            <w:pPr>
              <w:pStyle w:val="8"/>
              <w:rPr>
                <w:rFonts w:hint="eastAsia" w:ascii="仿宋_GB2312" w:hAnsi="仿宋_GB2312" w:eastAsia="仿宋_GB2312" w:cs="仿宋_GB2312"/>
                <w:sz w:val="24"/>
              </w:rPr>
            </w:pPr>
          </w:p>
          <w:p w14:paraId="40ADE906">
            <w:pPr>
              <w:pStyle w:val="8"/>
              <w:spacing w:before="11"/>
              <w:rPr>
                <w:rFonts w:hint="eastAsia" w:ascii="仿宋_GB2312" w:hAnsi="仿宋_GB2312" w:eastAsia="仿宋_GB2312" w:cs="仿宋_GB2312"/>
                <w:sz w:val="18"/>
              </w:rPr>
            </w:pPr>
          </w:p>
          <w:p w14:paraId="2900BD60">
            <w:pPr>
              <w:pStyle w:val="8"/>
              <w:ind w:left="689"/>
              <w:rPr>
                <w:rFonts w:hint="eastAsia" w:ascii="仿宋_GB2312" w:hAnsi="仿宋_GB2312" w:eastAsia="仿宋_GB2312" w:cs="仿宋_GB2312"/>
                <w:sz w:val="24"/>
              </w:rPr>
            </w:pPr>
            <w:r>
              <w:rPr>
                <w:rFonts w:hint="eastAsia" w:ascii="仿宋_GB2312" w:hAnsi="仿宋_GB2312" w:eastAsia="仿宋_GB2312" w:cs="仿宋_GB2312"/>
                <w:sz w:val="24"/>
              </w:rPr>
              <w:t>初判等级</w:t>
            </w:r>
          </w:p>
        </w:tc>
        <w:tc>
          <w:tcPr>
            <w:tcW w:w="1526" w:type="dxa"/>
            <w:tcBorders>
              <w:right w:val="nil"/>
            </w:tcBorders>
          </w:tcPr>
          <w:p w14:paraId="4A7DA0BD">
            <w:pPr>
              <w:pStyle w:val="8"/>
              <w:spacing w:before="1"/>
              <w:rPr>
                <w:rFonts w:hint="eastAsia" w:ascii="仿宋_GB2312" w:hAnsi="仿宋_GB2312" w:eastAsia="仿宋_GB2312" w:cs="仿宋_GB2312"/>
                <w:sz w:val="18"/>
              </w:rPr>
            </w:pPr>
          </w:p>
          <w:p w14:paraId="3A4E0299">
            <w:pPr>
              <w:pStyle w:val="8"/>
              <w:ind w:right="113"/>
              <w:jc w:val="right"/>
              <w:rPr>
                <w:rFonts w:hint="eastAsia" w:ascii="仿宋_GB2312" w:hAnsi="仿宋_GB2312" w:eastAsia="仿宋_GB2312" w:cs="仿宋_GB2312"/>
                <w:sz w:val="24"/>
              </w:rPr>
            </w:pPr>
            <w:r>
              <w:rPr>
                <w:rFonts w:hint="eastAsia" w:ascii="仿宋_GB2312" w:hAnsi="仿宋_GB2312" w:eastAsia="仿宋_GB2312" w:cs="仿宋_GB2312"/>
                <w:sz w:val="24"/>
              </w:rPr>
              <w:t>（</w:t>
            </w:r>
          </w:p>
          <w:p w14:paraId="7A30F732">
            <w:pPr>
              <w:pStyle w:val="8"/>
              <w:spacing w:before="9"/>
              <w:rPr>
                <w:rFonts w:hint="eastAsia" w:ascii="仿宋_GB2312" w:hAnsi="仿宋_GB2312" w:eastAsia="仿宋_GB2312" w:cs="仿宋_GB2312"/>
                <w:sz w:val="24"/>
              </w:rPr>
            </w:pPr>
          </w:p>
          <w:p w14:paraId="010DFE0F">
            <w:pPr>
              <w:pStyle w:val="8"/>
              <w:ind w:right="113"/>
              <w:jc w:val="right"/>
              <w:rPr>
                <w:rFonts w:hint="eastAsia" w:ascii="仿宋_GB2312" w:hAnsi="仿宋_GB2312" w:eastAsia="仿宋_GB2312" w:cs="仿宋_GB2312"/>
                <w:sz w:val="24"/>
              </w:rPr>
            </w:pPr>
            <w:r>
              <w:rPr>
                <w:rFonts w:hint="eastAsia" w:ascii="仿宋_GB2312" w:hAnsi="仿宋_GB2312" w:eastAsia="仿宋_GB2312" w:cs="仿宋_GB2312"/>
                <w:sz w:val="24"/>
              </w:rPr>
              <w:t>（</w:t>
            </w:r>
          </w:p>
        </w:tc>
        <w:tc>
          <w:tcPr>
            <w:tcW w:w="2383" w:type="dxa"/>
            <w:gridSpan w:val="2"/>
            <w:tcBorders>
              <w:left w:val="nil"/>
              <w:right w:val="nil"/>
            </w:tcBorders>
          </w:tcPr>
          <w:p w14:paraId="0740303A">
            <w:pPr>
              <w:pStyle w:val="8"/>
              <w:spacing w:before="1"/>
              <w:rPr>
                <w:rFonts w:hint="eastAsia" w:ascii="仿宋_GB2312" w:hAnsi="仿宋_GB2312" w:eastAsia="仿宋_GB2312" w:cs="仿宋_GB2312"/>
                <w:sz w:val="18"/>
              </w:rPr>
            </w:pPr>
          </w:p>
          <w:p w14:paraId="0B0C4BE3">
            <w:pPr>
              <w:pStyle w:val="8"/>
              <w:ind w:left="124"/>
              <w:rPr>
                <w:rFonts w:hint="eastAsia" w:ascii="仿宋_GB2312" w:hAnsi="仿宋_GB2312" w:eastAsia="仿宋_GB2312" w:cs="仿宋_GB2312"/>
                <w:sz w:val="24"/>
              </w:rPr>
            </w:pPr>
            <w:r>
              <w:rPr>
                <w:rFonts w:hint="eastAsia" w:ascii="仿宋_GB2312" w:hAnsi="仿宋_GB2312" w:eastAsia="仿宋_GB2312" w:cs="仿宋_GB2312"/>
                <w:sz w:val="24"/>
              </w:rPr>
              <w:t>）一般（Ⅳ级） （</w:t>
            </w:r>
          </w:p>
          <w:p w14:paraId="77B218C2">
            <w:pPr>
              <w:pStyle w:val="8"/>
              <w:spacing w:before="9"/>
              <w:rPr>
                <w:rFonts w:hint="eastAsia" w:ascii="仿宋_GB2312" w:hAnsi="仿宋_GB2312" w:eastAsia="仿宋_GB2312" w:cs="仿宋_GB2312"/>
                <w:sz w:val="24"/>
              </w:rPr>
            </w:pPr>
          </w:p>
          <w:p w14:paraId="4818735F">
            <w:pPr>
              <w:pStyle w:val="8"/>
              <w:ind w:left="124"/>
              <w:rPr>
                <w:rFonts w:hint="eastAsia" w:ascii="仿宋_GB2312" w:hAnsi="仿宋_GB2312" w:eastAsia="仿宋_GB2312" w:cs="仿宋_GB2312"/>
                <w:sz w:val="24"/>
              </w:rPr>
            </w:pPr>
            <w:r>
              <w:rPr>
                <w:rFonts w:hint="eastAsia" w:ascii="仿宋_GB2312" w:hAnsi="仿宋_GB2312" w:eastAsia="仿宋_GB2312" w:cs="仿宋_GB2312"/>
                <w:sz w:val="24"/>
              </w:rPr>
              <w:t>）重大（Ⅱ级） （</w:t>
            </w:r>
          </w:p>
        </w:tc>
        <w:tc>
          <w:tcPr>
            <w:tcW w:w="2867" w:type="dxa"/>
            <w:gridSpan w:val="3"/>
            <w:tcBorders>
              <w:left w:val="nil"/>
            </w:tcBorders>
          </w:tcPr>
          <w:p w14:paraId="398EEE52">
            <w:pPr>
              <w:pStyle w:val="8"/>
              <w:spacing w:before="1"/>
              <w:rPr>
                <w:rFonts w:hint="eastAsia" w:ascii="仿宋_GB2312" w:hAnsi="仿宋_GB2312" w:eastAsia="仿宋_GB2312" w:cs="仿宋_GB2312"/>
                <w:sz w:val="18"/>
              </w:rPr>
            </w:pPr>
          </w:p>
          <w:p w14:paraId="20FAA94D">
            <w:pPr>
              <w:pStyle w:val="8"/>
              <w:ind w:left="21"/>
              <w:rPr>
                <w:rFonts w:hint="eastAsia" w:ascii="仿宋_GB2312" w:hAnsi="仿宋_GB2312" w:eastAsia="仿宋_GB2312" w:cs="仿宋_GB2312"/>
                <w:sz w:val="24"/>
              </w:rPr>
            </w:pPr>
            <w:r>
              <w:rPr>
                <w:rFonts w:hint="eastAsia" w:ascii="仿宋_GB2312" w:hAnsi="仿宋_GB2312" w:eastAsia="仿宋_GB2312" w:cs="仿宋_GB2312"/>
                <w:sz w:val="24"/>
              </w:rPr>
              <w:t>）较大（Ⅲ级）</w:t>
            </w:r>
          </w:p>
          <w:p w14:paraId="08DD488D">
            <w:pPr>
              <w:pStyle w:val="8"/>
              <w:spacing w:before="9"/>
              <w:rPr>
                <w:rFonts w:hint="eastAsia" w:ascii="仿宋_GB2312" w:hAnsi="仿宋_GB2312" w:eastAsia="仿宋_GB2312" w:cs="仿宋_GB2312"/>
                <w:sz w:val="24"/>
              </w:rPr>
            </w:pPr>
          </w:p>
          <w:p w14:paraId="372D06E4">
            <w:pPr>
              <w:pStyle w:val="8"/>
              <w:ind w:left="21"/>
              <w:rPr>
                <w:rFonts w:hint="eastAsia" w:ascii="仿宋_GB2312" w:hAnsi="仿宋_GB2312" w:eastAsia="仿宋_GB2312" w:cs="仿宋_GB2312"/>
                <w:sz w:val="24"/>
              </w:rPr>
            </w:pPr>
            <w:r>
              <w:rPr>
                <w:rFonts w:hint="eastAsia" w:ascii="仿宋_GB2312" w:hAnsi="仿宋_GB2312" w:eastAsia="仿宋_GB2312" w:cs="仿宋_GB2312"/>
                <w:sz w:val="24"/>
              </w:rPr>
              <w:t>）特大（Ⅰ级）</w:t>
            </w:r>
          </w:p>
        </w:tc>
      </w:tr>
      <w:tr w14:paraId="7AF7C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1" w:hRule="atLeast"/>
        </w:trPr>
        <w:tc>
          <w:tcPr>
            <w:tcW w:w="9118" w:type="dxa"/>
            <w:gridSpan w:val="8"/>
          </w:tcPr>
          <w:p w14:paraId="376D4B1E">
            <w:pPr>
              <w:pStyle w:val="8"/>
              <w:rPr>
                <w:rFonts w:hint="eastAsia" w:ascii="仿宋_GB2312" w:hAnsi="仿宋_GB2312" w:eastAsia="仿宋_GB2312" w:cs="仿宋_GB2312"/>
                <w:sz w:val="24"/>
              </w:rPr>
            </w:pPr>
          </w:p>
          <w:p w14:paraId="29687371">
            <w:pPr>
              <w:pStyle w:val="8"/>
              <w:rPr>
                <w:rFonts w:hint="eastAsia" w:ascii="仿宋_GB2312" w:hAnsi="仿宋_GB2312" w:eastAsia="仿宋_GB2312" w:cs="仿宋_GB2312"/>
                <w:sz w:val="24"/>
              </w:rPr>
            </w:pPr>
          </w:p>
          <w:p w14:paraId="2A574399">
            <w:pPr>
              <w:pStyle w:val="8"/>
              <w:rPr>
                <w:rFonts w:hint="eastAsia" w:ascii="仿宋_GB2312" w:hAnsi="仿宋_GB2312" w:eastAsia="仿宋_GB2312" w:cs="仿宋_GB2312"/>
                <w:sz w:val="24"/>
              </w:rPr>
            </w:pPr>
          </w:p>
          <w:p w14:paraId="51BF8232">
            <w:pPr>
              <w:pStyle w:val="8"/>
              <w:rPr>
                <w:rFonts w:hint="eastAsia" w:ascii="仿宋_GB2312" w:hAnsi="仿宋_GB2312" w:eastAsia="仿宋_GB2312" w:cs="仿宋_GB2312"/>
                <w:sz w:val="24"/>
              </w:rPr>
            </w:pPr>
          </w:p>
          <w:p w14:paraId="7D1D978D">
            <w:pPr>
              <w:pStyle w:val="8"/>
              <w:rPr>
                <w:rFonts w:hint="eastAsia" w:ascii="仿宋_GB2312" w:hAnsi="仿宋_GB2312" w:eastAsia="仿宋_GB2312" w:cs="仿宋_GB2312"/>
                <w:sz w:val="24"/>
              </w:rPr>
            </w:pPr>
          </w:p>
          <w:p w14:paraId="478E4239">
            <w:pPr>
              <w:pStyle w:val="8"/>
              <w:rPr>
                <w:rFonts w:hint="eastAsia" w:ascii="仿宋_GB2312" w:hAnsi="仿宋_GB2312" w:eastAsia="仿宋_GB2312" w:cs="仿宋_GB2312"/>
                <w:sz w:val="24"/>
              </w:rPr>
            </w:pPr>
          </w:p>
          <w:p w14:paraId="4333BC69">
            <w:pPr>
              <w:pStyle w:val="8"/>
              <w:spacing w:before="10"/>
              <w:rPr>
                <w:rFonts w:hint="eastAsia" w:ascii="仿宋_GB2312" w:hAnsi="仿宋_GB2312" w:eastAsia="仿宋_GB2312" w:cs="仿宋_GB2312"/>
                <w:sz w:val="25"/>
              </w:rPr>
            </w:pPr>
          </w:p>
          <w:p w14:paraId="49152F79">
            <w:pPr>
              <w:pStyle w:val="8"/>
              <w:ind w:left="836"/>
              <w:rPr>
                <w:rFonts w:hint="eastAsia" w:ascii="仿宋_GB2312" w:hAnsi="仿宋_GB2312" w:eastAsia="仿宋_GB2312" w:cs="仿宋_GB2312"/>
                <w:sz w:val="24"/>
              </w:rPr>
            </w:pPr>
            <w:r>
              <w:rPr>
                <w:rFonts w:hint="eastAsia" w:ascii="仿宋_GB2312" w:hAnsi="仿宋_GB2312" w:eastAsia="仿宋_GB2312" w:cs="仿宋_GB2312"/>
                <w:sz w:val="24"/>
              </w:rPr>
              <w:t>基本情况：（主要包括事件概况，报告和通报情况，已采取的措施等）</w:t>
            </w:r>
          </w:p>
        </w:tc>
      </w:tr>
      <w:tr w14:paraId="19633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2342" w:type="dxa"/>
            <w:gridSpan w:val="2"/>
          </w:tcPr>
          <w:p w14:paraId="61CD1B28">
            <w:pPr>
              <w:pStyle w:val="8"/>
              <w:spacing w:before="215"/>
              <w:ind w:left="689"/>
              <w:rPr>
                <w:rFonts w:hint="eastAsia" w:ascii="仿宋_GB2312" w:hAnsi="仿宋_GB2312" w:eastAsia="仿宋_GB2312" w:cs="仿宋_GB2312"/>
                <w:sz w:val="24"/>
              </w:rPr>
            </w:pPr>
            <w:r>
              <w:rPr>
                <w:rFonts w:hint="eastAsia" w:ascii="仿宋_GB2312" w:hAnsi="仿宋_GB2312" w:eastAsia="仿宋_GB2312" w:cs="仿宋_GB2312"/>
                <w:sz w:val="24"/>
              </w:rPr>
              <w:t>报告单位</w:t>
            </w:r>
          </w:p>
        </w:tc>
        <w:tc>
          <w:tcPr>
            <w:tcW w:w="2221" w:type="dxa"/>
            <w:gridSpan w:val="2"/>
          </w:tcPr>
          <w:p w14:paraId="6BFF2A7E">
            <w:pPr>
              <w:pStyle w:val="8"/>
              <w:rPr>
                <w:rFonts w:hint="eastAsia" w:ascii="仿宋_GB2312" w:hAnsi="仿宋_GB2312" w:eastAsia="仿宋_GB2312" w:cs="仿宋_GB2312"/>
                <w:sz w:val="26"/>
              </w:rPr>
            </w:pPr>
          </w:p>
        </w:tc>
        <w:tc>
          <w:tcPr>
            <w:tcW w:w="2294" w:type="dxa"/>
            <w:gridSpan w:val="3"/>
          </w:tcPr>
          <w:p w14:paraId="71ACBB72">
            <w:pPr>
              <w:pStyle w:val="8"/>
              <w:spacing w:before="215"/>
              <w:ind w:left="681"/>
              <w:rPr>
                <w:rFonts w:hint="eastAsia" w:ascii="仿宋_GB2312" w:hAnsi="仿宋_GB2312" w:eastAsia="仿宋_GB2312" w:cs="仿宋_GB2312"/>
                <w:sz w:val="24"/>
              </w:rPr>
            </w:pPr>
            <w:r>
              <w:rPr>
                <w:rFonts w:hint="eastAsia" w:ascii="仿宋_GB2312" w:hAnsi="仿宋_GB2312" w:eastAsia="仿宋_GB2312" w:cs="仿宋_GB2312"/>
                <w:sz w:val="24"/>
              </w:rPr>
              <w:t>报告时间</w:t>
            </w:r>
          </w:p>
        </w:tc>
        <w:tc>
          <w:tcPr>
            <w:tcW w:w="2261" w:type="dxa"/>
          </w:tcPr>
          <w:p w14:paraId="39F8CE7F">
            <w:pPr>
              <w:pStyle w:val="8"/>
              <w:rPr>
                <w:rFonts w:hint="eastAsia" w:ascii="仿宋_GB2312" w:hAnsi="仿宋_GB2312" w:eastAsia="仿宋_GB2312" w:cs="仿宋_GB2312"/>
                <w:sz w:val="26"/>
              </w:rPr>
            </w:pPr>
          </w:p>
        </w:tc>
      </w:tr>
      <w:tr w14:paraId="1ED9B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2342" w:type="dxa"/>
            <w:gridSpan w:val="2"/>
          </w:tcPr>
          <w:p w14:paraId="33B89E21">
            <w:pPr>
              <w:pStyle w:val="8"/>
              <w:spacing w:before="8"/>
              <w:rPr>
                <w:rFonts w:hint="eastAsia" w:ascii="仿宋_GB2312" w:hAnsi="仿宋_GB2312" w:eastAsia="仿宋_GB2312" w:cs="仿宋_GB2312"/>
                <w:sz w:val="24"/>
              </w:rPr>
            </w:pPr>
          </w:p>
          <w:p w14:paraId="3C8DD886">
            <w:pPr>
              <w:pStyle w:val="8"/>
              <w:ind w:left="789" w:right="782"/>
              <w:jc w:val="center"/>
              <w:rPr>
                <w:rFonts w:hint="eastAsia" w:ascii="仿宋_GB2312" w:hAnsi="仿宋_GB2312" w:eastAsia="仿宋_GB2312" w:cs="仿宋_GB2312"/>
                <w:sz w:val="24"/>
              </w:rPr>
            </w:pPr>
            <w:r>
              <w:rPr>
                <w:rFonts w:hint="eastAsia" w:ascii="仿宋_GB2312" w:hAnsi="仿宋_GB2312" w:eastAsia="仿宋_GB2312" w:cs="仿宋_GB2312"/>
                <w:sz w:val="24"/>
              </w:rPr>
              <w:t>报告人</w:t>
            </w:r>
          </w:p>
        </w:tc>
        <w:tc>
          <w:tcPr>
            <w:tcW w:w="2221" w:type="dxa"/>
            <w:gridSpan w:val="2"/>
          </w:tcPr>
          <w:p w14:paraId="4B8DB737">
            <w:pPr>
              <w:pStyle w:val="8"/>
              <w:rPr>
                <w:rFonts w:hint="eastAsia" w:ascii="仿宋_GB2312" w:hAnsi="仿宋_GB2312" w:eastAsia="仿宋_GB2312" w:cs="仿宋_GB2312"/>
                <w:sz w:val="26"/>
              </w:rPr>
            </w:pPr>
          </w:p>
        </w:tc>
        <w:tc>
          <w:tcPr>
            <w:tcW w:w="2294" w:type="dxa"/>
            <w:gridSpan w:val="3"/>
            <w:vMerge w:val="restart"/>
          </w:tcPr>
          <w:p w14:paraId="0A62B9E6">
            <w:pPr>
              <w:pStyle w:val="8"/>
              <w:rPr>
                <w:rFonts w:hint="eastAsia" w:ascii="仿宋_GB2312" w:hAnsi="仿宋_GB2312" w:eastAsia="仿宋_GB2312" w:cs="仿宋_GB2312"/>
                <w:sz w:val="24"/>
              </w:rPr>
            </w:pPr>
          </w:p>
          <w:p w14:paraId="234E40E2">
            <w:pPr>
              <w:pStyle w:val="8"/>
              <w:rPr>
                <w:rFonts w:hint="eastAsia" w:ascii="仿宋_GB2312" w:hAnsi="仿宋_GB2312" w:eastAsia="仿宋_GB2312" w:cs="仿宋_GB2312"/>
                <w:sz w:val="24"/>
              </w:rPr>
            </w:pPr>
          </w:p>
          <w:p w14:paraId="76E5CB32">
            <w:pPr>
              <w:pStyle w:val="8"/>
              <w:spacing w:before="183"/>
              <w:ind w:left="681"/>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2261" w:type="dxa"/>
            <w:vMerge w:val="restart"/>
          </w:tcPr>
          <w:p w14:paraId="413A43A0">
            <w:pPr>
              <w:pStyle w:val="8"/>
              <w:spacing w:before="174" w:line="487" w:lineRule="auto"/>
              <w:ind w:left="103" w:right="1425"/>
              <w:rPr>
                <w:rFonts w:hint="eastAsia" w:ascii="仿宋_GB2312" w:hAnsi="仿宋_GB2312" w:eastAsia="仿宋_GB2312" w:cs="仿宋_GB2312"/>
                <w:sz w:val="24"/>
              </w:rPr>
            </w:pPr>
            <w:r>
              <w:rPr>
                <w:rFonts w:hint="eastAsia" w:ascii="仿宋_GB2312" w:hAnsi="仿宋_GB2312" w:eastAsia="仿宋_GB2312" w:cs="仿宋_GB2312"/>
                <w:spacing w:val="-6"/>
                <w:sz w:val="24"/>
              </w:rPr>
              <w:t>电话： 手机：</w:t>
            </w:r>
          </w:p>
          <w:p w14:paraId="5B527339">
            <w:pPr>
              <w:pStyle w:val="8"/>
              <w:spacing w:line="307" w:lineRule="exact"/>
              <w:ind w:left="103"/>
              <w:rPr>
                <w:rFonts w:hint="eastAsia" w:ascii="仿宋_GB2312" w:hAnsi="仿宋_GB2312" w:eastAsia="仿宋_GB2312" w:cs="仿宋_GB2312"/>
                <w:sz w:val="24"/>
              </w:rPr>
            </w:pPr>
            <w:r>
              <w:rPr>
                <w:rFonts w:hint="eastAsia" w:ascii="仿宋_GB2312" w:hAnsi="仿宋_GB2312" w:eastAsia="仿宋_GB2312" w:cs="仿宋_GB2312"/>
                <w:sz w:val="24"/>
              </w:rPr>
              <w:t>传真：</w:t>
            </w:r>
          </w:p>
        </w:tc>
      </w:tr>
      <w:tr w14:paraId="6F647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1170" w:type="dxa"/>
            <w:tcBorders>
              <w:right w:val="nil"/>
            </w:tcBorders>
          </w:tcPr>
          <w:p w14:paraId="6F507BD8">
            <w:pPr>
              <w:pStyle w:val="8"/>
              <w:spacing w:before="9"/>
              <w:rPr>
                <w:rFonts w:hint="eastAsia" w:ascii="仿宋_GB2312" w:hAnsi="仿宋_GB2312" w:eastAsia="仿宋_GB2312" w:cs="仿宋_GB2312"/>
                <w:sz w:val="24"/>
              </w:rPr>
            </w:pPr>
          </w:p>
          <w:p w14:paraId="4D507C80">
            <w:pPr>
              <w:pStyle w:val="8"/>
              <w:ind w:right="113"/>
              <w:jc w:val="right"/>
              <w:rPr>
                <w:rFonts w:hint="eastAsia" w:ascii="仿宋_GB2312" w:hAnsi="仿宋_GB2312" w:eastAsia="仿宋_GB2312" w:cs="仿宋_GB2312"/>
                <w:sz w:val="24"/>
              </w:rPr>
            </w:pPr>
            <w:r>
              <w:rPr>
                <w:rFonts w:hint="eastAsia" w:ascii="仿宋_GB2312" w:hAnsi="仿宋_GB2312" w:eastAsia="仿宋_GB2312" w:cs="仿宋_GB2312"/>
                <w:sz w:val="24"/>
              </w:rPr>
              <w:t>职</w:t>
            </w:r>
          </w:p>
        </w:tc>
        <w:tc>
          <w:tcPr>
            <w:tcW w:w="1172" w:type="dxa"/>
            <w:tcBorders>
              <w:left w:val="nil"/>
            </w:tcBorders>
          </w:tcPr>
          <w:p w14:paraId="139055FC">
            <w:pPr>
              <w:pStyle w:val="8"/>
              <w:spacing w:before="9"/>
              <w:rPr>
                <w:rFonts w:hint="eastAsia" w:ascii="仿宋_GB2312" w:hAnsi="仿宋_GB2312" w:eastAsia="仿宋_GB2312" w:cs="仿宋_GB2312"/>
                <w:sz w:val="24"/>
              </w:rPr>
            </w:pPr>
          </w:p>
          <w:p w14:paraId="1CE9581A">
            <w:pPr>
              <w:pStyle w:val="8"/>
              <w:ind w:left="124"/>
              <w:rPr>
                <w:rFonts w:hint="eastAsia" w:ascii="仿宋_GB2312" w:hAnsi="仿宋_GB2312" w:eastAsia="仿宋_GB2312" w:cs="仿宋_GB2312"/>
                <w:sz w:val="24"/>
              </w:rPr>
            </w:pPr>
            <w:r>
              <w:rPr>
                <w:rFonts w:hint="eastAsia" w:ascii="仿宋_GB2312" w:hAnsi="仿宋_GB2312" w:eastAsia="仿宋_GB2312" w:cs="仿宋_GB2312"/>
                <w:sz w:val="24"/>
              </w:rPr>
              <w:t>务</w:t>
            </w:r>
          </w:p>
        </w:tc>
        <w:tc>
          <w:tcPr>
            <w:tcW w:w="2221" w:type="dxa"/>
            <w:gridSpan w:val="2"/>
          </w:tcPr>
          <w:p w14:paraId="325D53E3">
            <w:pPr>
              <w:pStyle w:val="8"/>
              <w:rPr>
                <w:rFonts w:ascii="Times New Roman"/>
                <w:sz w:val="26"/>
              </w:rPr>
            </w:pPr>
          </w:p>
        </w:tc>
        <w:tc>
          <w:tcPr>
            <w:tcW w:w="2294" w:type="dxa"/>
            <w:gridSpan w:val="3"/>
            <w:vMerge w:val="continue"/>
            <w:tcBorders>
              <w:top w:val="nil"/>
            </w:tcBorders>
          </w:tcPr>
          <w:p w14:paraId="5EEF0C3C">
            <w:pPr>
              <w:rPr>
                <w:sz w:val="2"/>
                <w:szCs w:val="2"/>
              </w:rPr>
            </w:pPr>
          </w:p>
        </w:tc>
        <w:tc>
          <w:tcPr>
            <w:tcW w:w="2261" w:type="dxa"/>
            <w:vMerge w:val="continue"/>
            <w:tcBorders>
              <w:top w:val="nil"/>
            </w:tcBorders>
          </w:tcPr>
          <w:p w14:paraId="3161DAEA">
            <w:pPr>
              <w:rPr>
                <w:sz w:val="2"/>
                <w:szCs w:val="2"/>
              </w:rPr>
            </w:pPr>
          </w:p>
        </w:tc>
      </w:tr>
    </w:tbl>
    <w:p w14:paraId="5F006567">
      <w:pPr>
        <w:spacing w:after="0"/>
        <w:rPr>
          <w:sz w:val="2"/>
          <w:szCs w:val="2"/>
        </w:rPr>
        <w:sectPr>
          <w:pgSz w:w="11910" w:h="16840"/>
          <w:pgMar w:top="1580" w:right="820" w:bottom="1420" w:left="1400" w:header="0" w:footer="1236" w:gutter="0"/>
          <w:cols w:space="720" w:num="1"/>
        </w:sectPr>
      </w:pPr>
    </w:p>
    <w:p w14:paraId="05D60CB9">
      <w:pPr>
        <w:pStyle w:val="3"/>
        <w:spacing w:before="7"/>
        <w:rPr>
          <w:sz w:val="22"/>
        </w:rPr>
      </w:pPr>
    </w:p>
    <w:p w14:paraId="08122469">
      <w:pPr>
        <w:pStyle w:val="3"/>
        <w:spacing w:before="54"/>
        <w:ind w:left="131"/>
      </w:pPr>
      <w:r>
        <w:t>附件 3</w:t>
      </w:r>
    </w:p>
    <w:p w14:paraId="224D4F4A">
      <w:pPr>
        <w:pStyle w:val="3"/>
        <w:spacing w:before="11"/>
        <w:rPr>
          <w:sz w:val="24"/>
        </w:rPr>
      </w:pPr>
    </w:p>
    <w:p w14:paraId="0C1835B0">
      <w:pPr>
        <w:pStyle w:val="2"/>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疫苗安全重大信息报告表（续报）</w:t>
      </w:r>
    </w:p>
    <w:p w14:paraId="359C97AC">
      <w:pPr>
        <w:pStyle w:val="3"/>
        <w:spacing w:before="1"/>
        <w:rPr>
          <w:sz w:val="13"/>
        </w:rPr>
      </w:pPr>
    </w:p>
    <w:tbl>
      <w:tblPr>
        <w:tblStyle w:val="4"/>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2"/>
        <w:gridCol w:w="800"/>
        <w:gridCol w:w="2033"/>
        <w:gridCol w:w="1299"/>
        <w:gridCol w:w="3325"/>
      </w:tblGrid>
      <w:tr w14:paraId="6DF61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162" w:type="dxa"/>
            <w:gridSpan w:val="2"/>
          </w:tcPr>
          <w:p w14:paraId="34343C26">
            <w:pPr>
              <w:pStyle w:val="8"/>
              <w:spacing w:before="186"/>
              <w:ind w:left="599"/>
              <w:rPr>
                <w:rFonts w:hint="eastAsia" w:ascii="仿宋_GB2312" w:hAnsi="仿宋_GB2312" w:eastAsia="仿宋_GB2312" w:cs="仿宋_GB2312"/>
                <w:sz w:val="24"/>
              </w:rPr>
            </w:pPr>
            <w:r>
              <w:rPr>
                <w:rFonts w:hint="eastAsia" w:ascii="仿宋_GB2312" w:hAnsi="仿宋_GB2312" w:eastAsia="仿宋_GB2312" w:cs="仿宋_GB2312"/>
                <w:sz w:val="24"/>
              </w:rPr>
              <w:t>事件名称</w:t>
            </w:r>
          </w:p>
        </w:tc>
        <w:tc>
          <w:tcPr>
            <w:tcW w:w="6657" w:type="dxa"/>
            <w:gridSpan w:val="3"/>
          </w:tcPr>
          <w:p w14:paraId="0611739C">
            <w:pPr>
              <w:pStyle w:val="8"/>
              <w:rPr>
                <w:rFonts w:hint="eastAsia" w:ascii="仿宋_GB2312" w:hAnsi="仿宋_GB2312" w:eastAsia="仿宋_GB2312" w:cs="仿宋_GB2312"/>
                <w:sz w:val="26"/>
              </w:rPr>
            </w:pPr>
          </w:p>
        </w:tc>
      </w:tr>
      <w:tr w14:paraId="5BED7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2162" w:type="dxa"/>
            <w:gridSpan w:val="2"/>
          </w:tcPr>
          <w:p w14:paraId="59A59E62">
            <w:pPr>
              <w:pStyle w:val="8"/>
              <w:spacing w:before="7"/>
              <w:rPr>
                <w:rFonts w:hint="eastAsia" w:ascii="仿宋_GB2312" w:hAnsi="仿宋_GB2312" w:eastAsia="仿宋_GB2312" w:cs="仿宋_GB2312"/>
                <w:sz w:val="22"/>
              </w:rPr>
            </w:pPr>
          </w:p>
          <w:p w14:paraId="4BC01125">
            <w:pPr>
              <w:pStyle w:val="8"/>
              <w:ind w:left="99" w:right="92"/>
              <w:jc w:val="center"/>
              <w:rPr>
                <w:rFonts w:hint="eastAsia" w:ascii="仿宋_GB2312" w:hAnsi="仿宋_GB2312" w:eastAsia="仿宋_GB2312" w:cs="仿宋_GB2312"/>
                <w:sz w:val="24"/>
              </w:rPr>
            </w:pPr>
            <w:r>
              <w:rPr>
                <w:rFonts w:hint="eastAsia" w:ascii="仿宋_GB2312" w:hAnsi="仿宋_GB2312" w:eastAsia="仿宋_GB2312" w:cs="仿宋_GB2312"/>
                <w:sz w:val="24"/>
              </w:rPr>
              <w:t>当前事件等级判断</w:t>
            </w:r>
          </w:p>
          <w:p w14:paraId="6B4F1AD6">
            <w:pPr>
              <w:pStyle w:val="8"/>
              <w:spacing w:before="53"/>
              <w:ind w:left="99" w:right="92"/>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color w:val="202020"/>
                <w:sz w:val="24"/>
              </w:rPr>
              <w:t>√</w:t>
            </w:r>
            <w:r>
              <w:rPr>
                <w:rFonts w:hint="eastAsia" w:ascii="仿宋_GB2312" w:hAnsi="仿宋_GB2312" w:eastAsia="仿宋_GB2312" w:cs="仿宋_GB2312"/>
                <w:sz w:val="24"/>
              </w:rPr>
              <w:t>）</w:t>
            </w:r>
          </w:p>
        </w:tc>
        <w:tc>
          <w:tcPr>
            <w:tcW w:w="6657" w:type="dxa"/>
            <w:gridSpan w:val="3"/>
          </w:tcPr>
          <w:p w14:paraId="2569C6CB">
            <w:pPr>
              <w:pStyle w:val="8"/>
              <w:spacing w:before="7"/>
              <w:rPr>
                <w:rFonts w:hint="eastAsia" w:ascii="仿宋_GB2312" w:hAnsi="仿宋_GB2312" w:eastAsia="仿宋_GB2312" w:cs="仿宋_GB2312"/>
                <w:sz w:val="22"/>
              </w:rPr>
            </w:pPr>
          </w:p>
          <w:p w14:paraId="31F6AA24">
            <w:pPr>
              <w:pStyle w:val="8"/>
              <w:tabs>
                <w:tab w:val="left" w:pos="486"/>
                <w:tab w:val="left" w:pos="2766"/>
              </w:tabs>
              <w:ind w:left="6"/>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）一般（Ⅳ级） （</w:t>
            </w:r>
            <w:r>
              <w:rPr>
                <w:rFonts w:hint="eastAsia" w:ascii="仿宋_GB2312" w:hAnsi="仿宋_GB2312" w:eastAsia="仿宋_GB2312" w:cs="仿宋_GB2312"/>
                <w:sz w:val="24"/>
              </w:rPr>
              <w:tab/>
            </w:r>
            <w:r>
              <w:rPr>
                <w:rFonts w:hint="eastAsia" w:ascii="仿宋_GB2312" w:hAnsi="仿宋_GB2312" w:eastAsia="仿宋_GB2312" w:cs="仿宋_GB2312"/>
                <w:sz w:val="24"/>
              </w:rPr>
              <w:t>）较大（Ⅲ级）</w:t>
            </w:r>
          </w:p>
          <w:p w14:paraId="30B3DEEA">
            <w:pPr>
              <w:pStyle w:val="8"/>
              <w:tabs>
                <w:tab w:val="left" w:pos="486"/>
                <w:tab w:val="left" w:pos="2766"/>
              </w:tabs>
              <w:spacing w:before="53"/>
              <w:ind w:left="6"/>
              <w:jc w:val="center"/>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rPr>
              <w:tab/>
            </w:r>
            <w:r>
              <w:rPr>
                <w:rFonts w:hint="eastAsia" w:ascii="仿宋_GB2312" w:hAnsi="仿宋_GB2312" w:eastAsia="仿宋_GB2312" w:cs="仿宋_GB2312"/>
                <w:sz w:val="24"/>
              </w:rPr>
              <w:t>）重大（Ⅱ级） （</w:t>
            </w:r>
            <w:r>
              <w:rPr>
                <w:rFonts w:hint="eastAsia" w:ascii="仿宋_GB2312" w:hAnsi="仿宋_GB2312" w:eastAsia="仿宋_GB2312" w:cs="仿宋_GB2312"/>
                <w:sz w:val="24"/>
              </w:rPr>
              <w:tab/>
            </w:r>
            <w:r>
              <w:rPr>
                <w:rFonts w:hint="eastAsia" w:ascii="仿宋_GB2312" w:hAnsi="仿宋_GB2312" w:eastAsia="仿宋_GB2312" w:cs="仿宋_GB2312"/>
                <w:sz w:val="24"/>
              </w:rPr>
              <w:t>）特大（Ⅰ级）</w:t>
            </w:r>
          </w:p>
        </w:tc>
      </w:tr>
      <w:tr w14:paraId="7C07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7" w:hRule="atLeast"/>
        </w:trPr>
        <w:tc>
          <w:tcPr>
            <w:tcW w:w="8819" w:type="dxa"/>
            <w:gridSpan w:val="5"/>
          </w:tcPr>
          <w:p w14:paraId="6D43D88A">
            <w:pPr>
              <w:pStyle w:val="8"/>
              <w:rPr>
                <w:rFonts w:hint="eastAsia" w:ascii="仿宋_GB2312" w:hAnsi="仿宋_GB2312" w:eastAsia="仿宋_GB2312" w:cs="仿宋_GB2312"/>
                <w:sz w:val="24"/>
              </w:rPr>
            </w:pPr>
          </w:p>
          <w:p w14:paraId="43E70F6A">
            <w:pPr>
              <w:pStyle w:val="8"/>
              <w:rPr>
                <w:rFonts w:hint="eastAsia" w:ascii="仿宋_GB2312" w:hAnsi="仿宋_GB2312" w:eastAsia="仿宋_GB2312" w:cs="仿宋_GB2312"/>
                <w:sz w:val="24"/>
              </w:rPr>
            </w:pPr>
          </w:p>
          <w:p w14:paraId="6C8BEF65">
            <w:pPr>
              <w:pStyle w:val="8"/>
              <w:rPr>
                <w:rFonts w:hint="eastAsia" w:ascii="仿宋_GB2312" w:hAnsi="仿宋_GB2312" w:eastAsia="仿宋_GB2312" w:cs="仿宋_GB2312"/>
                <w:sz w:val="24"/>
              </w:rPr>
            </w:pPr>
          </w:p>
          <w:p w14:paraId="556AB9E0">
            <w:pPr>
              <w:pStyle w:val="8"/>
              <w:rPr>
                <w:rFonts w:hint="eastAsia" w:ascii="仿宋_GB2312" w:hAnsi="仿宋_GB2312" w:eastAsia="仿宋_GB2312" w:cs="仿宋_GB2312"/>
                <w:sz w:val="24"/>
              </w:rPr>
            </w:pPr>
          </w:p>
          <w:p w14:paraId="6BF47608">
            <w:pPr>
              <w:pStyle w:val="8"/>
              <w:rPr>
                <w:rFonts w:hint="eastAsia" w:ascii="仿宋_GB2312" w:hAnsi="仿宋_GB2312" w:eastAsia="仿宋_GB2312" w:cs="仿宋_GB2312"/>
                <w:sz w:val="24"/>
              </w:rPr>
            </w:pPr>
          </w:p>
          <w:p w14:paraId="42B92B59">
            <w:pPr>
              <w:pStyle w:val="8"/>
              <w:rPr>
                <w:rFonts w:hint="eastAsia" w:ascii="仿宋_GB2312" w:hAnsi="仿宋_GB2312" w:eastAsia="仿宋_GB2312" w:cs="仿宋_GB2312"/>
                <w:sz w:val="24"/>
              </w:rPr>
            </w:pPr>
          </w:p>
          <w:p w14:paraId="7CE1FCA0">
            <w:pPr>
              <w:pStyle w:val="8"/>
              <w:rPr>
                <w:rFonts w:hint="eastAsia" w:ascii="仿宋_GB2312" w:hAnsi="仿宋_GB2312" w:eastAsia="仿宋_GB2312" w:cs="仿宋_GB2312"/>
                <w:sz w:val="24"/>
              </w:rPr>
            </w:pPr>
          </w:p>
          <w:p w14:paraId="23155A9C">
            <w:pPr>
              <w:pStyle w:val="8"/>
              <w:rPr>
                <w:rFonts w:hint="eastAsia" w:ascii="仿宋_GB2312" w:hAnsi="仿宋_GB2312" w:eastAsia="仿宋_GB2312" w:cs="仿宋_GB2312"/>
                <w:sz w:val="24"/>
              </w:rPr>
            </w:pPr>
          </w:p>
          <w:p w14:paraId="51BA7CCF">
            <w:pPr>
              <w:pStyle w:val="8"/>
              <w:rPr>
                <w:rFonts w:hint="eastAsia" w:ascii="仿宋_GB2312" w:hAnsi="仿宋_GB2312" w:eastAsia="仿宋_GB2312" w:cs="仿宋_GB2312"/>
                <w:sz w:val="24"/>
              </w:rPr>
            </w:pPr>
          </w:p>
          <w:p w14:paraId="240BDBF1">
            <w:pPr>
              <w:pStyle w:val="8"/>
              <w:rPr>
                <w:rFonts w:hint="eastAsia" w:ascii="仿宋_GB2312" w:hAnsi="仿宋_GB2312" w:eastAsia="仿宋_GB2312" w:cs="仿宋_GB2312"/>
                <w:sz w:val="24"/>
              </w:rPr>
            </w:pPr>
          </w:p>
          <w:p w14:paraId="06278316">
            <w:pPr>
              <w:pStyle w:val="8"/>
              <w:rPr>
                <w:rFonts w:hint="eastAsia" w:ascii="仿宋_GB2312" w:hAnsi="仿宋_GB2312" w:eastAsia="仿宋_GB2312" w:cs="仿宋_GB2312"/>
                <w:sz w:val="24"/>
              </w:rPr>
            </w:pPr>
          </w:p>
          <w:p w14:paraId="3DFB2319">
            <w:pPr>
              <w:pStyle w:val="8"/>
              <w:rPr>
                <w:rFonts w:hint="eastAsia" w:ascii="仿宋_GB2312" w:hAnsi="仿宋_GB2312" w:eastAsia="仿宋_GB2312" w:cs="仿宋_GB2312"/>
                <w:sz w:val="17"/>
              </w:rPr>
            </w:pPr>
          </w:p>
          <w:p w14:paraId="61BB7611">
            <w:pPr>
              <w:pStyle w:val="8"/>
              <w:ind w:left="988"/>
              <w:rPr>
                <w:rFonts w:hint="eastAsia" w:ascii="仿宋_GB2312" w:hAnsi="仿宋_GB2312" w:eastAsia="仿宋_GB2312" w:cs="仿宋_GB2312"/>
                <w:sz w:val="24"/>
              </w:rPr>
            </w:pPr>
            <w:r>
              <w:rPr>
                <w:rFonts w:hint="eastAsia" w:ascii="仿宋_GB2312" w:hAnsi="仿宋_GB2312" w:eastAsia="仿宋_GB2312" w:cs="仿宋_GB2312"/>
                <w:spacing w:val="-18"/>
                <w:sz w:val="24"/>
              </w:rPr>
              <w:t>事件进展情况：</w:t>
            </w:r>
            <w:r>
              <w:rPr>
                <w:rFonts w:hint="eastAsia" w:ascii="仿宋_GB2312" w:hAnsi="仿宋_GB2312" w:eastAsia="仿宋_GB2312" w:cs="仿宋_GB2312"/>
                <w:sz w:val="24"/>
              </w:rPr>
              <w:t>（主要包括事件调查核实情况，处置进展情况等）</w:t>
            </w:r>
          </w:p>
        </w:tc>
      </w:tr>
      <w:tr w14:paraId="1DA83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362" w:type="dxa"/>
          </w:tcPr>
          <w:p w14:paraId="6DF42F49">
            <w:pPr>
              <w:pStyle w:val="8"/>
              <w:spacing w:before="159"/>
              <w:ind w:left="181" w:right="170"/>
              <w:jc w:val="center"/>
              <w:rPr>
                <w:rFonts w:hint="eastAsia" w:ascii="仿宋_GB2312" w:hAnsi="仿宋_GB2312" w:eastAsia="仿宋_GB2312" w:cs="仿宋_GB2312"/>
                <w:sz w:val="24"/>
              </w:rPr>
            </w:pPr>
            <w:r>
              <w:rPr>
                <w:rFonts w:hint="eastAsia" w:ascii="仿宋_GB2312" w:hAnsi="仿宋_GB2312" w:eastAsia="仿宋_GB2312" w:cs="仿宋_GB2312"/>
                <w:sz w:val="24"/>
              </w:rPr>
              <w:t>续报单位</w:t>
            </w:r>
          </w:p>
        </w:tc>
        <w:tc>
          <w:tcPr>
            <w:tcW w:w="2833" w:type="dxa"/>
            <w:gridSpan w:val="2"/>
          </w:tcPr>
          <w:p w14:paraId="2D5EE0D9">
            <w:pPr>
              <w:pStyle w:val="8"/>
              <w:rPr>
                <w:rFonts w:hint="eastAsia" w:ascii="仿宋_GB2312" w:hAnsi="仿宋_GB2312" w:eastAsia="仿宋_GB2312" w:cs="仿宋_GB2312"/>
                <w:sz w:val="26"/>
              </w:rPr>
            </w:pPr>
          </w:p>
        </w:tc>
        <w:tc>
          <w:tcPr>
            <w:tcW w:w="1299" w:type="dxa"/>
          </w:tcPr>
          <w:p w14:paraId="35459B64">
            <w:pPr>
              <w:pStyle w:val="8"/>
              <w:spacing w:before="159"/>
              <w:ind w:left="168"/>
              <w:rPr>
                <w:rFonts w:hint="eastAsia" w:ascii="仿宋_GB2312" w:hAnsi="仿宋_GB2312" w:eastAsia="仿宋_GB2312" w:cs="仿宋_GB2312"/>
                <w:sz w:val="24"/>
              </w:rPr>
            </w:pPr>
            <w:r>
              <w:rPr>
                <w:rFonts w:hint="eastAsia" w:ascii="仿宋_GB2312" w:hAnsi="仿宋_GB2312" w:eastAsia="仿宋_GB2312" w:cs="仿宋_GB2312"/>
                <w:sz w:val="24"/>
              </w:rPr>
              <w:t>续报时间</w:t>
            </w:r>
          </w:p>
        </w:tc>
        <w:tc>
          <w:tcPr>
            <w:tcW w:w="3325" w:type="dxa"/>
          </w:tcPr>
          <w:p w14:paraId="6D39CBAA">
            <w:pPr>
              <w:pStyle w:val="8"/>
              <w:rPr>
                <w:rFonts w:hint="eastAsia" w:ascii="仿宋_GB2312" w:hAnsi="仿宋_GB2312" w:eastAsia="仿宋_GB2312" w:cs="仿宋_GB2312"/>
                <w:sz w:val="26"/>
              </w:rPr>
            </w:pPr>
          </w:p>
        </w:tc>
      </w:tr>
      <w:tr w14:paraId="53C9C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362" w:type="dxa"/>
          </w:tcPr>
          <w:p w14:paraId="781B7124">
            <w:pPr>
              <w:pStyle w:val="8"/>
              <w:rPr>
                <w:rFonts w:hint="eastAsia" w:ascii="仿宋_GB2312" w:hAnsi="仿宋_GB2312" w:eastAsia="仿宋_GB2312" w:cs="仿宋_GB2312"/>
                <w:sz w:val="18"/>
              </w:rPr>
            </w:pPr>
          </w:p>
          <w:p w14:paraId="67AD3505">
            <w:pPr>
              <w:pStyle w:val="8"/>
              <w:ind w:left="181" w:right="170"/>
              <w:jc w:val="center"/>
              <w:rPr>
                <w:rFonts w:hint="eastAsia" w:ascii="仿宋_GB2312" w:hAnsi="仿宋_GB2312" w:eastAsia="仿宋_GB2312" w:cs="仿宋_GB2312"/>
                <w:sz w:val="24"/>
              </w:rPr>
            </w:pPr>
            <w:r>
              <w:rPr>
                <w:rFonts w:hint="eastAsia" w:ascii="仿宋_GB2312" w:hAnsi="仿宋_GB2312" w:eastAsia="仿宋_GB2312" w:cs="仿宋_GB2312"/>
                <w:sz w:val="24"/>
              </w:rPr>
              <w:t>报告人</w:t>
            </w:r>
          </w:p>
        </w:tc>
        <w:tc>
          <w:tcPr>
            <w:tcW w:w="2833" w:type="dxa"/>
            <w:gridSpan w:val="2"/>
          </w:tcPr>
          <w:p w14:paraId="1D48FB6E">
            <w:pPr>
              <w:pStyle w:val="8"/>
              <w:rPr>
                <w:rFonts w:hint="eastAsia" w:ascii="仿宋_GB2312" w:hAnsi="仿宋_GB2312" w:eastAsia="仿宋_GB2312" w:cs="仿宋_GB2312"/>
                <w:sz w:val="26"/>
              </w:rPr>
            </w:pPr>
          </w:p>
        </w:tc>
        <w:tc>
          <w:tcPr>
            <w:tcW w:w="1299" w:type="dxa"/>
            <w:vMerge w:val="restart"/>
          </w:tcPr>
          <w:p w14:paraId="5A663D88">
            <w:pPr>
              <w:pStyle w:val="8"/>
              <w:rPr>
                <w:rFonts w:hint="eastAsia" w:ascii="仿宋_GB2312" w:hAnsi="仿宋_GB2312" w:eastAsia="仿宋_GB2312" w:cs="仿宋_GB2312"/>
                <w:sz w:val="24"/>
              </w:rPr>
            </w:pPr>
          </w:p>
          <w:p w14:paraId="0EC4BA63">
            <w:pPr>
              <w:pStyle w:val="8"/>
              <w:spacing w:before="8"/>
              <w:rPr>
                <w:rFonts w:hint="eastAsia" w:ascii="仿宋_GB2312" w:hAnsi="仿宋_GB2312" w:eastAsia="仿宋_GB2312" w:cs="仿宋_GB2312"/>
                <w:sz w:val="22"/>
              </w:rPr>
            </w:pPr>
          </w:p>
          <w:p w14:paraId="2BD7AB73">
            <w:pPr>
              <w:pStyle w:val="8"/>
              <w:spacing w:before="1"/>
              <w:ind w:left="168"/>
              <w:rPr>
                <w:rFonts w:hint="eastAsia" w:ascii="仿宋_GB2312" w:hAnsi="仿宋_GB2312" w:eastAsia="仿宋_GB2312" w:cs="仿宋_GB2312"/>
                <w:sz w:val="24"/>
              </w:rPr>
            </w:pPr>
            <w:r>
              <w:rPr>
                <w:rFonts w:hint="eastAsia" w:ascii="仿宋_GB2312" w:hAnsi="仿宋_GB2312" w:eastAsia="仿宋_GB2312" w:cs="仿宋_GB2312"/>
                <w:sz w:val="24"/>
              </w:rPr>
              <w:t>联系方式</w:t>
            </w:r>
          </w:p>
        </w:tc>
        <w:tc>
          <w:tcPr>
            <w:tcW w:w="3325" w:type="dxa"/>
            <w:vMerge w:val="restart"/>
          </w:tcPr>
          <w:p w14:paraId="514E5985">
            <w:pPr>
              <w:pStyle w:val="8"/>
              <w:spacing w:before="7"/>
              <w:rPr>
                <w:rFonts w:hint="eastAsia" w:ascii="仿宋_GB2312" w:hAnsi="仿宋_GB2312" w:eastAsia="仿宋_GB2312" w:cs="仿宋_GB2312"/>
                <w:sz w:val="18"/>
              </w:rPr>
            </w:pPr>
          </w:p>
          <w:p w14:paraId="7D34800F">
            <w:pPr>
              <w:pStyle w:val="8"/>
              <w:spacing w:line="280" w:lineRule="auto"/>
              <w:ind w:left="107" w:right="2485"/>
              <w:jc w:val="both"/>
              <w:rPr>
                <w:rFonts w:hint="eastAsia" w:ascii="仿宋_GB2312" w:hAnsi="仿宋_GB2312" w:eastAsia="仿宋_GB2312" w:cs="仿宋_GB2312"/>
                <w:sz w:val="24"/>
              </w:rPr>
            </w:pPr>
            <w:r>
              <w:rPr>
                <w:rFonts w:hint="eastAsia" w:ascii="仿宋_GB2312" w:hAnsi="仿宋_GB2312" w:eastAsia="仿宋_GB2312" w:cs="仿宋_GB2312"/>
                <w:sz w:val="24"/>
              </w:rPr>
              <w:t>电话： 手机： 传真：</w:t>
            </w:r>
          </w:p>
        </w:tc>
      </w:tr>
      <w:tr w14:paraId="022F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1362" w:type="dxa"/>
          </w:tcPr>
          <w:p w14:paraId="436C38DA">
            <w:pPr>
              <w:pStyle w:val="8"/>
              <w:rPr>
                <w:rFonts w:hint="eastAsia" w:ascii="仿宋_GB2312" w:hAnsi="仿宋_GB2312" w:eastAsia="仿宋_GB2312" w:cs="仿宋_GB2312"/>
                <w:sz w:val="18"/>
              </w:rPr>
            </w:pPr>
          </w:p>
          <w:p w14:paraId="0D90F1D6">
            <w:pPr>
              <w:pStyle w:val="8"/>
              <w:ind w:left="181" w:right="170"/>
              <w:jc w:val="center"/>
              <w:rPr>
                <w:rFonts w:hint="eastAsia" w:ascii="仿宋_GB2312" w:hAnsi="仿宋_GB2312" w:eastAsia="仿宋_GB2312" w:cs="仿宋_GB2312"/>
                <w:sz w:val="24"/>
              </w:rPr>
            </w:pPr>
            <w:r>
              <w:rPr>
                <w:rFonts w:hint="eastAsia" w:ascii="仿宋_GB2312" w:hAnsi="仿宋_GB2312" w:eastAsia="仿宋_GB2312" w:cs="仿宋_GB2312"/>
                <w:sz w:val="24"/>
              </w:rPr>
              <w:t>职务</w:t>
            </w:r>
          </w:p>
        </w:tc>
        <w:tc>
          <w:tcPr>
            <w:tcW w:w="2833" w:type="dxa"/>
            <w:gridSpan w:val="2"/>
          </w:tcPr>
          <w:p w14:paraId="4F234FC0">
            <w:pPr>
              <w:pStyle w:val="8"/>
              <w:rPr>
                <w:rFonts w:hint="eastAsia" w:ascii="仿宋_GB2312" w:hAnsi="仿宋_GB2312" w:eastAsia="仿宋_GB2312" w:cs="仿宋_GB2312"/>
                <w:sz w:val="26"/>
              </w:rPr>
            </w:pPr>
          </w:p>
        </w:tc>
        <w:tc>
          <w:tcPr>
            <w:tcW w:w="1299" w:type="dxa"/>
            <w:vMerge w:val="continue"/>
            <w:tcBorders>
              <w:top w:val="nil"/>
            </w:tcBorders>
          </w:tcPr>
          <w:p w14:paraId="5F696CD7">
            <w:pPr>
              <w:rPr>
                <w:rFonts w:hint="eastAsia" w:ascii="仿宋_GB2312" w:hAnsi="仿宋_GB2312" w:eastAsia="仿宋_GB2312" w:cs="仿宋_GB2312"/>
                <w:sz w:val="2"/>
                <w:szCs w:val="2"/>
              </w:rPr>
            </w:pPr>
          </w:p>
        </w:tc>
        <w:tc>
          <w:tcPr>
            <w:tcW w:w="3325" w:type="dxa"/>
            <w:vMerge w:val="continue"/>
            <w:tcBorders>
              <w:top w:val="nil"/>
            </w:tcBorders>
          </w:tcPr>
          <w:p w14:paraId="4FA60464">
            <w:pPr>
              <w:rPr>
                <w:rFonts w:hint="eastAsia" w:ascii="仿宋_GB2312" w:hAnsi="仿宋_GB2312" w:eastAsia="仿宋_GB2312" w:cs="仿宋_GB2312"/>
                <w:sz w:val="2"/>
                <w:szCs w:val="2"/>
              </w:rPr>
            </w:pPr>
          </w:p>
        </w:tc>
      </w:tr>
    </w:tbl>
    <w:p w14:paraId="584F9ABD">
      <w:pPr>
        <w:spacing w:after="0"/>
        <w:rPr>
          <w:rFonts w:hint="eastAsia" w:ascii="仿宋_GB2312" w:hAnsi="仿宋_GB2312" w:eastAsia="仿宋_GB2312" w:cs="仿宋_GB2312"/>
          <w:sz w:val="2"/>
          <w:szCs w:val="2"/>
        </w:rPr>
        <w:sectPr>
          <w:pgSz w:w="11910" w:h="16840"/>
          <w:pgMar w:top="1580" w:right="820" w:bottom="1420" w:left="1400" w:header="0" w:footer="1236" w:gutter="0"/>
          <w:cols w:space="720" w:num="1"/>
        </w:sectPr>
      </w:pPr>
    </w:p>
    <w:p w14:paraId="7787990E">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14:paraId="64BE9231">
      <w:pPr>
        <w:jc w:val="center"/>
        <w:rPr>
          <w:rFonts w:hint="eastAsia" w:ascii="方正小标宋简体" w:eastAsia="方正小标宋简体"/>
          <w:sz w:val="44"/>
          <w:szCs w:val="44"/>
        </w:rPr>
      </w:pPr>
      <w:r>
        <w:rPr>
          <w:rFonts w:hint="eastAsia" w:ascii="方正小标宋简体" w:eastAsia="方正小标宋简体"/>
          <w:sz w:val="44"/>
          <w:szCs w:val="44"/>
        </w:rPr>
        <w:t>疫苗安全事件应急处置流程</w:t>
      </w:r>
    </w:p>
    <w:p w14:paraId="6D874413">
      <w:pPr>
        <w:pStyle w:val="9"/>
        <w:rPr>
          <w:rFonts w:hint="eastAsia"/>
        </w:rPr>
      </w:pPr>
    </w:p>
    <w:p w14:paraId="3C450256">
      <w:pPr>
        <w:pStyle w:val="9"/>
        <w:rPr>
          <w:rFonts w:hint="eastAsia"/>
        </w:rPr>
      </w:pPr>
      <w:r>
        <w:rPr>
          <w:rFonts w:hint="eastAsia"/>
        </w:rPr>
        <mc:AlternateContent>
          <mc:Choice Requires="wpg">
            <w:drawing>
              <wp:anchor distT="0" distB="0" distL="114300" distR="114300" simplePos="0" relativeHeight="251663360" behindDoc="0" locked="0" layoutInCell="1" allowOverlap="1">
                <wp:simplePos x="0" y="0"/>
                <wp:positionH relativeFrom="column">
                  <wp:posOffset>-147955</wp:posOffset>
                </wp:positionH>
                <wp:positionV relativeFrom="paragraph">
                  <wp:posOffset>69850</wp:posOffset>
                </wp:positionV>
                <wp:extent cx="5862955" cy="4578350"/>
                <wp:effectExtent l="6350" t="0" r="17145" b="12700"/>
                <wp:wrapNone/>
                <wp:docPr id="67" name="组合 67"/>
                <wp:cNvGraphicFramePr/>
                <a:graphic xmlns:a="http://schemas.openxmlformats.org/drawingml/2006/main">
                  <a:graphicData uri="http://schemas.microsoft.com/office/word/2010/wordprocessingGroup">
                    <wpg:wgp>
                      <wpg:cNvGrpSpPr/>
                      <wpg:grpSpPr>
                        <a:xfrm>
                          <a:off x="0" y="0"/>
                          <a:ext cx="5862955" cy="4578350"/>
                          <a:chOff x="1306" y="5241"/>
                          <a:chExt cx="9233" cy="7210"/>
                        </a:xfrm>
                      </wpg:grpSpPr>
                      <wps:wsp>
                        <wps:cNvPr id="1" name="流程图: 过程 1"/>
                        <wps:cNvSpPr/>
                        <wps:spPr>
                          <a:xfrm>
                            <a:off x="2701" y="9216"/>
                            <a:ext cx="867" cy="2703"/>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3576C72">
                              <w:pPr>
                                <w:rPr>
                                  <w:szCs w:val="21"/>
                                </w:rPr>
                              </w:pPr>
                              <w:r>
                                <w:rPr>
                                  <w:rFonts w:hint="eastAsia"/>
                                  <w:szCs w:val="21"/>
                                </w:rPr>
                                <w:t>报市人民政府批准，启动相应级别响应</w:t>
                              </w:r>
                            </w:p>
                          </w:txbxContent>
                        </wps:txbx>
                        <wps:bodyPr anchor="ctr" anchorCtr="0" upright="1"/>
                      </wps:wsp>
                      <wps:wsp>
                        <wps:cNvPr id="2" name="流程图: 过程 2"/>
                        <wps:cNvSpPr/>
                        <wps:spPr>
                          <a:xfrm>
                            <a:off x="3845" y="9537"/>
                            <a:ext cx="380" cy="210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21448EA">
                              <w:pPr>
                                <w:jc w:val="center"/>
                                <w:rPr>
                                  <w:rFonts w:hint="eastAsia"/>
                                </w:rPr>
                              </w:pPr>
                              <w:r>
                                <w:rPr>
                                  <w:rFonts w:hint="eastAsia"/>
                                  <w:lang w:eastAsia="zh-CN"/>
                                </w:rPr>
                                <w:t>区</w:t>
                              </w:r>
                              <w:r>
                                <w:rPr>
                                  <w:rFonts w:hint="eastAsia"/>
                                </w:rPr>
                                <w:t>应急指挥部</w:t>
                              </w:r>
                            </w:p>
                          </w:txbxContent>
                        </wps:txbx>
                        <wps:bodyPr lIns="36000" tIns="45720" rIns="36000" bIns="45720" anchor="ctr" anchorCtr="0" upright="1"/>
                      </wps:wsp>
                      <wps:wsp>
                        <wps:cNvPr id="3" name="流程图: 过程 3"/>
                        <wps:cNvSpPr/>
                        <wps:spPr>
                          <a:xfrm>
                            <a:off x="4546" y="9517"/>
                            <a:ext cx="395" cy="2084"/>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E046839">
                              <w:pPr>
                                <w:jc w:val="center"/>
                                <w:rPr>
                                  <w:rFonts w:hint="eastAsia"/>
                                </w:rPr>
                              </w:pPr>
                              <w:r>
                                <w:rPr>
                                  <w:rFonts w:hint="eastAsia"/>
                                </w:rPr>
                                <w:t>现场指挥机构</w:t>
                              </w:r>
                            </w:p>
                          </w:txbxContent>
                        </wps:txbx>
                        <wps:bodyPr lIns="36000" tIns="45720" rIns="36000" bIns="45720" anchor="ctr" anchorCtr="0" upright="1"/>
                      </wps:wsp>
                      <wps:wsp>
                        <wps:cNvPr id="5" name="流程图: 过程 5"/>
                        <wps:cNvSpPr/>
                        <wps:spPr>
                          <a:xfrm>
                            <a:off x="1733" y="6977"/>
                            <a:ext cx="1888"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51046DDF">
                              <w:pPr>
                                <w:jc w:val="center"/>
                                <w:rPr>
                                  <w:rFonts w:hint="eastAsia"/>
                                </w:rPr>
                              </w:pPr>
                              <w:r>
                                <w:rPr>
                                  <w:rFonts w:hint="eastAsia"/>
                                </w:rPr>
                                <w:t>市应急指挥部</w:t>
                              </w:r>
                            </w:p>
                          </w:txbxContent>
                        </wps:txbx>
                        <wps:bodyPr anchor="ctr" anchorCtr="0" upright="1"/>
                      </wps:wsp>
                      <wps:wsp>
                        <wps:cNvPr id="6" name="流程图: 过程 6"/>
                        <wps:cNvSpPr/>
                        <wps:spPr>
                          <a:xfrm>
                            <a:off x="4278" y="6964"/>
                            <a:ext cx="1923"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F8DFBA4">
                              <w:pPr>
                                <w:jc w:val="center"/>
                                <w:rPr>
                                  <w:rFonts w:hint="eastAsia"/>
                                </w:rPr>
                              </w:pPr>
                              <w:r>
                                <w:rPr>
                                  <w:rFonts w:hint="eastAsia"/>
                                  <w:lang w:eastAsia="zh-CN"/>
                                </w:rPr>
                                <w:t>区</w:t>
                              </w:r>
                              <w:r>
                                <w:rPr>
                                  <w:rFonts w:hint="eastAsia"/>
                                </w:rPr>
                                <w:t>人民政府</w:t>
                              </w:r>
                            </w:p>
                          </w:txbxContent>
                        </wps:txbx>
                        <wps:bodyPr anchor="ctr" anchorCtr="0" upright="1"/>
                      </wps:wsp>
                      <wps:wsp>
                        <wps:cNvPr id="7" name="流程图: 过程 7"/>
                        <wps:cNvSpPr/>
                        <wps:spPr>
                          <a:xfrm>
                            <a:off x="5649" y="8706"/>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60ECBD1">
                              <w:pPr>
                                <w:jc w:val="center"/>
                                <w:rPr>
                                  <w:rFonts w:hint="eastAsia"/>
                                  <w:sz w:val="18"/>
                                  <w:szCs w:val="18"/>
                                </w:rPr>
                              </w:pPr>
                              <w:r>
                                <w:rPr>
                                  <w:rFonts w:hint="eastAsia"/>
                                  <w:sz w:val="18"/>
                                  <w:szCs w:val="18"/>
                                </w:rPr>
                                <w:t>综合协调组</w:t>
                              </w:r>
                            </w:p>
                          </w:txbxContent>
                        </wps:txbx>
                        <wps:bodyPr anchor="ctr" anchorCtr="0" upright="1"/>
                      </wps:wsp>
                      <wps:wsp>
                        <wps:cNvPr id="8" name="流程图: 过程 8"/>
                        <wps:cNvSpPr/>
                        <wps:spPr>
                          <a:xfrm>
                            <a:off x="5657" y="9375"/>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0BECF680">
                              <w:pPr>
                                <w:jc w:val="center"/>
                                <w:rPr>
                                  <w:rFonts w:hint="eastAsia"/>
                                  <w:sz w:val="18"/>
                                  <w:szCs w:val="18"/>
                                </w:rPr>
                              </w:pPr>
                              <w:r>
                                <w:rPr>
                                  <w:rFonts w:hint="eastAsia"/>
                                  <w:sz w:val="18"/>
                                  <w:szCs w:val="18"/>
                                </w:rPr>
                                <w:t>事情调查组</w:t>
                              </w:r>
                            </w:p>
                          </w:txbxContent>
                        </wps:txbx>
                        <wps:bodyPr anchor="ctr" anchorCtr="0" upright="1"/>
                      </wps:wsp>
                      <wps:wsp>
                        <wps:cNvPr id="9" name="流程图: 过程 9"/>
                        <wps:cNvSpPr/>
                        <wps:spPr>
                          <a:xfrm>
                            <a:off x="5657" y="10004"/>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0EB79004">
                              <w:pPr>
                                <w:jc w:val="center"/>
                                <w:rPr>
                                  <w:rFonts w:hint="eastAsia"/>
                                  <w:sz w:val="18"/>
                                  <w:szCs w:val="18"/>
                                </w:rPr>
                              </w:pPr>
                              <w:r>
                                <w:rPr>
                                  <w:rFonts w:hint="eastAsia"/>
                                  <w:sz w:val="18"/>
                                  <w:szCs w:val="18"/>
                                </w:rPr>
                                <w:t>危害控制组</w:t>
                              </w:r>
                            </w:p>
                          </w:txbxContent>
                        </wps:txbx>
                        <wps:bodyPr anchor="ctr" anchorCtr="0" upright="1"/>
                      </wps:wsp>
                      <wps:wsp>
                        <wps:cNvPr id="10" name="流程图: 过程 10"/>
                        <wps:cNvSpPr/>
                        <wps:spPr>
                          <a:xfrm>
                            <a:off x="5671" y="10650"/>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9D1C97A">
                              <w:pPr>
                                <w:jc w:val="center"/>
                                <w:rPr>
                                  <w:rFonts w:hint="eastAsia"/>
                                  <w:sz w:val="18"/>
                                  <w:szCs w:val="18"/>
                                </w:rPr>
                              </w:pPr>
                              <w:r>
                                <w:rPr>
                                  <w:rFonts w:hint="eastAsia"/>
                                  <w:sz w:val="18"/>
                                  <w:szCs w:val="18"/>
                                </w:rPr>
                                <w:t>医疗救治组</w:t>
                              </w:r>
                            </w:p>
                          </w:txbxContent>
                        </wps:txbx>
                        <wps:bodyPr anchor="ctr" anchorCtr="0" upright="1"/>
                      </wps:wsp>
                      <wps:wsp>
                        <wps:cNvPr id="11" name="流程图: 过程 11"/>
                        <wps:cNvSpPr/>
                        <wps:spPr>
                          <a:xfrm>
                            <a:off x="5668" y="11283"/>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064F54C8">
                              <w:pPr>
                                <w:jc w:val="center"/>
                                <w:rPr>
                                  <w:rFonts w:hint="eastAsia"/>
                                  <w:sz w:val="18"/>
                                  <w:szCs w:val="18"/>
                                </w:rPr>
                              </w:pPr>
                              <w:r>
                                <w:rPr>
                                  <w:rFonts w:hint="eastAsia"/>
                                  <w:sz w:val="18"/>
                                  <w:szCs w:val="18"/>
                                </w:rPr>
                                <w:t>应急保障组</w:t>
                              </w:r>
                            </w:p>
                          </w:txbxContent>
                        </wps:txbx>
                        <wps:bodyPr anchor="ctr" anchorCtr="0" upright="1"/>
                      </wps:wsp>
                      <wps:wsp>
                        <wps:cNvPr id="12" name="流程图: 过程 12"/>
                        <wps:cNvSpPr/>
                        <wps:spPr>
                          <a:xfrm>
                            <a:off x="5665" y="11919"/>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2EC611D8">
                              <w:pPr>
                                <w:jc w:val="center"/>
                                <w:rPr>
                                  <w:rFonts w:hint="eastAsia"/>
                                  <w:sz w:val="18"/>
                                  <w:szCs w:val="18"/>
                                </w:rPr>
                              </w:pPr>
                              <w:r>
                                <w:rPr>
                                  <w:rFonts w:hint="eastAsia"/>
                                  <w:sz w:val="18"/>
                                  <w:szCs w:val="18"/>
                                </w:rPr>
                                <w:t>宣传报道组</w:t>
                              </w:r>
                            </w:p>
                          </w:txbxContent>
                        </wps:txbx>
                        <wps:bodyPr anchor="ctr" anchorCtr="0" upright="1"/>
                      </wps:wsp>
                      <wps:wsp>
                        <wps:cNvPr id="13" name="流程图: 过程 13"/>
                        <wps:cNvSpPr/>
                        <wps:spPr>
                          <a:xfrm>
                            <a:off x="7181" y="8706"/>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733E3644">
                              <w:pPr>
                                <w:jc w:val="center"/>
                                <w:rPr>
                                  <w:rFonts w:hint="eastAsia"/>
                                  <w:sz w:val="18"/>
                                  <w:szCs w:val="18"/>
                                </w:rPr>
                              </w:pPr>
                              <w:r>
                                <w:rPr>
                                  <w:rFonts w:hint="eastAsia"/>
                                  <w:sz w:val="18"/>
                                  <w:szCs w:val="18"/>
                                </w:rPr>
                                <w:t>综合协调等</w:t>
                              </w:r>
                            </w:p>
                          </w:txbxContent>
                        </wps:txbx>
                        <wps:bodyPr anchor="ctr" anchorCtr="0" upright="1"/>
                      </wps:wsp>
                      <wps:wsp>
                        <wps:cNvPr id="14" name="流程图: 过程 14"/>
                        <wps:cNvSpPr/>
                        <wps:spPr>
                          <a:xfrm>
                            <a:off x="7198" y="9368"/>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2BC29432">
                              <w:pPr>
                                <w:jc w:val="center"/>
                                <w:rPr>
                                  <w:rFonts w:hint="eastAsia"/>
                                  <w:sz w:val="18"/>
                                  <w:szCs w:val="18"/>
                                </w:rPr>
                              </w:pPr>
                              <w:r>
                                <w:rPr>
                                  <w:rFonts w:hint="eastAsia"/>
                                  <w:sz w:val="18"/>
                                  <w:szCs w:val="18"/>
                                </w:rPr>
                                <w:t>综合协调等</w:t>
                              </w:r>
                            </w:p>
                          </w:txbxContent>
                        </wps:txbx>
                        <wps:bodyPr anchor="ctr" anchorCtr="0" upright="1"/>
                      </wps:wsp>
                      <wps:wsp>
                        <wps:cNvPr id="15" name="流程图: 过程 15"/>
                        <wps:cNvSpPr/>
                        <wps:spPr>
                          <a:xfrm>
                            <a:off x="7196" y="9991"/>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2A1DFB8">
                              <w:pPr>
                                <w:jc w:val="center"/>
                                <w:rPr>
                                  <w:rFonts w:hint="eastAsia"/>
                                  <w:sz w:val="18"/>
                                  <w:szCs w:val="18"/>
                                </w:rPr>
                              </w:pPr>
                              <w:r>
                                <w:rPr>
                                  <w:rFonts w:hint="eastAsia"/>
                                  <w:sz w:val="18"/>
                                  <w:szCs w:val="18"/>
                                </w:rPr>
                                <w:t>危害控制等</w:t>
                              </w:r>
                            </w:p>
                          </w:txbxContent>
                        </wps:txbx>
                        <wps:bodyPr anchor="ctr" anchorCtr="0" upright="1"/>
                      </wps:wsp>
                      <wps:wsp>
                        <wps:cNvPr id="16" name="流程图: 过程 16"/>
                        <wps:cNvSpPr/>
                        <wps:spPr>
                          <a:xfrm>
                            <a:off x="7211" y="10627"/>
                            <a:ext cx="124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509B47E2">
                              <w:pPr>
                                <w:jc w:val="center"/>
                                <w:rPr>
                                  <w:rFonts w:hint="eastAsia"/>
                                  <w:sz w:val="18"/>
                                  <w:szCs w:val="18"/>
                                </w:rPr>
                              </w:pPr>
                              <w:r>
                                <w:rPr>
                                  <w:rFonts w:hint="eastAsia"/>
                                  <w:sz w:val="18"/>
                                  <w:szCs w:val="18"/>
                                </w:rPr>
                                <w:t>医疗救治等</w:t>
                              </w:r>
                            </w:p>
                          </w:txbxContent>
                        </wps:txbx>
                        <wps:bodyPr anchor="ctr" anchorCtr="0" upright="1"/>
                      </wps:wsp>
                      <wps:wsp>
                        <wps:cNvPr id="17" name="流程图: 过程 17"/>
                        <wps:cNvSpPr/>
                        <wps:spPr>
                          <a:xfrm>
                            <a:off x="7199" y="11283"/>
                            <a:ext cx="1602"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6FBDE932">
                              <w:pPr>
                                <w:jc w:val="center"/>
                                <w:rPr>
                                  <w:rFonts w:hint="eastAsia"/>
                                  <w:sz w:val="18"/>
                                  <w:szCs w:val="18"/>
                                </w:rPr>
                              </w:pPr>
                              <w:r>
                                <w:rPr>
                                  <w:rFonts w:hint="eastAsia"/>
                                  <w:sz w:val="18"/>
                                  <w:szCs w:val="18"/>
                                </w:rPr>
                                <w:t>协调应急救援等</w:t>
                              </w:r>
                            </w:p>
                          </w:txbxContent>
                        </wps:txbx>
                        <wps:bodyPr anchor="ctr" anchorCtr="0" upright="1"/>
                      </wps:wsp>
                      <wps:wsp>
                        <wps:cNvPr id="18" name="流程图: 过程 18"/>
                        <wps:cNvSpPr/>
                        <wps:spPr>
                          <a:xfrm>
                            <a:off x="7198" y="11941"/>
                            <a:ext cx="1950" cy="5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9B1F2F0">
                              <w:pPr>
                                <w:jc w:val="center"/>
                                <w:rPr>
                                  <w:rFonts w:hint="eastAsia"/>
                                  <w:sz w:val="18"/>
                                  <w:szCs w:val="18"/>
                                </w:rPr>
                              </w:pPr>
                              <w:r>
                                <w:rPr>
                                  <w:rFonts w:hint="eastAsia"/>
                                  <w:sz w:val="18"/>
                                  <w:szCs w:val="18"/>
                                </w:rPr>
                                <w:t>新闻宣传、引导舆论</w:t>
                              </w:r>
                            </w:p>
                          </w:txbxContent>
                        </wps:txbx>
                        <wps:bodyPr anchor="ctr" anchorCtr="0" upright="1"/>
                      </wps:wsp>
                      <wps:wsp>
                        <wps:cNvPr id="19" name="流程图: 过程 19"/>
                        <wps:cNvSpPr/>
                        <wps:spPr>
                          <a:xfrm>
                            <a:off x="9557" y="8938"/>
                            <a:ext cx="982" cy="2971"/>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6EAA8867">
                              <w:pPr>
                                <w:rPr>
                                  <w:rFonts w:hint="eastAsia"/>
                                  <w:sz w:val="18"/>
                                  <w:szCs w:val="18"/>
                                </w:rPr>
                              </w:pPr>
                              <w:r>
                                <w:rPr>
                                  <w:rFonts w:hint="eastAsia"/>
                                  <w:sz w:val="18"/>
                                  <w:szCs w:val="18"/>
                                  <w:lang w:eastAsia="zh-CN"/>
                                </w:rPr>
                                <w:t>区</w:t>
                              </w:r>
                              <w:r>
                                <w:rPr>
                                  <w:rFonts w:hint="eastAsia"/>
                                  <w:sz w:val="18"/>
                                  <w:szCs w:val="18"/>
                                </w:rPr>
                                <w:t>应急指挥部逐级上报后，经市人民政府批准，响应终止</w:t>
                              </w:r>
                            </w:p>
                          </w:txbxContent>
                        </wps:txbx>
                        <wps:bodyPr anchor="ctr" anchorCtr="0" upright="1"/>
                      </wps:wsp>
                      <wps:wsp>
                        <wps:cNvPr id="20" name="文本框 20"/>
                        <wps:cNvSpPr txBox="1"/>
                        <wps:spPr>
                          <a:xfrm>
                            <a:off x="8968" y="7738"/>
                            <a:ext cx="1014" cy="683"/>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1CE31DB2">
                              <w:pPr>
                                <w:spacing w:line="240" w:lineRule="exact"/>
                                <w:jc w:val="center"/>
                                <w:rPr>
                                  <w:rFonts w:hint="eastAsia"/>
                                  <w:color w:val="000000"/>
                                  <w:sz w:val="18"/>
                                  <w:szCs w:val="18"/>
                                </w:rPr>
                              </w:pPr>
                              <w:r>
                                <w:rPr>
                                  <w:rFonts w:hint="eastAsia"/>
                                  <w:color w:val="000000"/>
                                  <w:sz w:val="18"/>
                                  <w:szCs w:val="18"/>
                                  <w:lang w:eastAsia="zh-CN"/>
                                </w:rPr>
                                <w:t>区</w:t>
                              </w:r>
                              <w:r>
                                <w:rPr>
                                  <w:rFonts w:hint="eastAsia"/>
                                  <w:color w:val="000000"/>
                                  <w:sz w:val="18"/>
                                  <w:szCs w:val="18"/>
                                </w:rPr>
                                <w:t>应急指挥部</w:t>
                              </w:r>
                            </w:p>
                          </w:txbxContent>
                        </wps:txbx>
                        <wps:bodyPr upright="1"/>
                      </wps:wsp>
                      <wps:wsp>
                        <wps:cNvPr id="21" name="流程图: 过程 21"/>
                        <wps:cNvSpPr/>
                        <wps:spPr>
                          <a:xfrm>
                            <a:off x="9638" y="6380"/>
                            <a:ext cx="850" cy="907"/>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602C612D">
                              <w:pPr>
                                <w:jc w:val="center"/>
                                <w:rPr>
                                  <w:rFonts w:hint="eastAsia"/>
                                </w:rPr>
                              </w:pPr>
                              <w:r>
                                <w:rPr>
                                  <w:rFonts w:hint="eastAsia"/>
                                </w:rPr>
                                <w:t>总结评估</w:t>
                              </w:r>
                            </w:p>
                          </w:txbxContent>
                        </wps:txbx>
                        <wps:bodyPr anchor="ctr" anchorCtr="0" upright="1"/>
                      </wps:wsp>
                      <wps:wsp>
                        <wps:cNvPr id="22" name="流程图: 过程 22"/>
                        <wps:cNvSpPr/>
                        <wps:spPr>
                          <a:xfrm>
                            <a:off x="1306" y="9456"/>
                            <a:ext cx="380" cy="238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CBA5619">
                              <w:pPr>
                                <w:rPr>
                                  <w:rFonts w:hint="eastAsia"/>
                                </w:rPr>
                              </w:pPr>
                              <w:r>
                                <w:rPr>
                                  <w:rFonts w:hint="eastAsia"/>
                                </w:rPr>
                                <w:t>疫苗安全事件</w:t>
                              </w:r>
                            </w:p>
                          </w:txbxContent>
                        </wps:txbx>
                        <wps:bodyPr lIns="36000" tIns="45720" rIns="36000" bIns="45720" anchor="ctr" anchorCtr="0" upright="1"/>
                      </wps:wsp>
                      <wps:wsp>
                        <wps:cNvPr id="23" name="流程图: 过程 23"/>
                        <wps:cNvSpPr/>
                        <wps:spPr>
                          <a:xfrm>
                            <a:off x="2013" y="9573"/>
                            <a:ext cx="380" cy="2067"/>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12823265">
                              <w:pPr>
                                <w:rPr>
                                  <w:rFonts w:hint="eastAsia"/>
                                </w:rPr>
                              </w:pPr>
                              <w:r>
                                <w:rPr>
                                  <w:rFonts w:hint="eastAsia"/>
                                  <w:lang w:eastAsia="zh-CN"/>
                                </w:rPr>
                                <w:t>区</w:t>
                              </w:r>
                              <w:r>
                                <w:rPr>
                                  <w:rFonts w:hint="eastAsia"/>
                                </w:rPr>
                                <w:t>人民政府</w:t>
                              </w:r>
                            </w:p>
                          </w:txbxContent>
                        </wps:txbx>
                        <wps:bodyPr lIns="36000" tIns="45720" rIns="36000" bIns="45720" anchor="ctr" anchorCtr="0" upright="1"/>
                      </wps:wsp>
                      <wps:wsp>
                        <wps:cNvPr id="24" name="直接连接符 24"/>
                        <wps:cNvCnPr/>
                        <wps:spPr>
                          <a:xfrm flipV="1">
                            <a:off x="10048" y="5241"/>
                            <a:ext cx="0" cy="1113"/>
                          </a:xfrm>
                          <a:prstGeom prst="line">
                            <a:avLst/>
                          </a:prstGeom>
                          <a:ln w="9525" cap="flat" cmpd="sng">
                            <a:solidFill>
                              <a:srgbClr val="000000"/>
                            </a:solidFill>
                            <a:prstDash val="solid"/>
                            <a:headEnd type="none" w="med" len="med"/>
                            <a:tailEnd type="none" w="med" len="med"/>
                          </a:ln>
                        </wps:spPr>
                        <wps:bodyPr upright="1"/>
                      </wps:wsp>
                      <wps:wsp>
                        <wps:cNvPr id="25" name="直接连接符 25"/>
                        <wps:cNvCnPr/>
                        <wps:spPr>
                          <a:xfrm flipH="1">
                            <a:off x="3928" y="5248"/>
                            <a:ext cx="6120" cy="0"/>
                          </a:xfrm>
                          <a:prstGeom prst="line">
                            <a:avLst/>
                          </a:prstGeom>
                          <a:ln w="9525" cap="flat" cmpd="sng">
                            <a:solidFill>
                              <a:srgbClr val="000000"/>
                            </a:solidFill>
                            <a:prstDash val="solid"/>
                            <a:headEnd type="none" w="med" len="med"/>
                            <a:tailEnd type="none" w="med" len="med"/>
                          </a:ln>
                        </wps:spPr>
                        <wps:bodyPr upright="1"/>
                      </wps:wsp>
                      <wps:wsp>
                        <wps:cNvPr id="26" name="直接连接符 26"/>
                        <wps:cNvCnPr/>
                        <wps:spPr>
                          <a:xfrm>
                            <a:off x="2714" y="6036"/>
                            <a:ext cx="2494" cy="0"/>
                          </a:xfrm>
                          <a:prstGeom prst="line">
                            <a:avLst/>
                          </a:prstGeom>
                          <a:ln w="9525" cap="flat" cmpd="sng">
                            <a:solidFill>
                              <a:srgbClr val="000000"/>
                            </a:solidFill>
                            <a:prstDash val="solid"/>
                            <a:headEnd type="none" w="med" len="med"/>
                            <a:tailEnd type="none" w="med" len="med"/>
                          </a:ln>
                        </wps:spPr>
                        <wps:bodyPr upright="1"/>
                      </wps:wsp>
                      <wps:wsp>
                        <wps:cNvPr id="27" name="直接连接符 27"/>
                        <wps:cNvCnPr/>
                        <wps:spPr>
                          <a:xfrm>
                            <a:off x="3928" y="5241"/>
                            <a:ext cx="0" cy="795"/>
                          </a:xfrm>
                          <a:prstGeom prst="line">
                            <a:avLst/>
                          </a:prstGeom>
                          <a:ln w="9525" cap="flat" cmpd="sng">
                            <a:solidFill>
                              <a:srgbClr val="000000"/>
                            </a:solidFill>
                            <a:prstDash val="solid"/>
                            <a:headEnd type="none" w="med" len="med"/>
                            <a:tailEnd type="triangle" w="med" len="med"/>
                          </a:ln>
                        </wps:spPr>
                        <wps:bodyPr upright="1"/>
                      </wps:wsp>
                      <wps:wsp>
                        <wps:cNvPr id="28" name="直接连接符 28"/>
                        <wps:cNvCnPr/>
                        <wps:spPr>
                          <a:xfrm>
                            <a:off x="2715" y="6036"/>
                            <a:ext cx="0" cy="954"/>
                          </a:xfrm>
                          <a:prstGeom prst="line">
                            <a:avLst/>
                          </a:prstGeom>
                          <a:ln w="9525" cap="flat" cmpd="sng">
                            <a:solidFill>
                              <a:srgbClr val="000000"/>
                            </a:solidFill>
                            <a:prstDash val="solid"/>
                            <a:headEnd type="none" w="med" len="med"/>
                            <a:tailEnd type="triangle" w="med" len="med"/>
                          </a:ln>
                        </wps:spPr>
                        <wps:bodyPr upright="1"/>
                      </wps:wsp>
                      <wps:wsp>
                        <wps:cNvPr id="29" name="直接连接符 29"/>
                        <wps:cNvCnPr/>
                        <wps:spPr>
                          <a:xfrm>
                            <a:off x="5210" y="6036"/>
                            <a:ext cx="0" cy="907"/>
                          </a:xfrm>
                          <a:prstGeom prst="line">
                            <a:avLst/>
                          </a:prstGeom>
                          <a:ln w="9525" cap="flat" cmpd="sng">
                            <a:solidFill>
                              <a:srgbClr val="000000"/>
                            </a:solidFill>
                            <a:prstDash val="solid"/>
                            <a:headEnd type="none" w="med" len="med"/>
                            <a:tailEnd type="triangle" w="med" len="med"/>
                          </a:ln>
                        </wps:spPr>
                        <wps:bodyPr upright="1"/>
                      </wps:wsp>
                      <wps:wsp>
                        <wps:cNvPr id="30" name="直接连接符 30"/>
                        <wps:cNvCnPr/>
                        <wps:spPr>
                          <a:xfrm flipV="1">
                            <a:off x="10048" y="7308"/>
                            <a:ext cx="0" cy="1590"/>
                          </a:xfrm>
                          <a:prstGeom prst="line">
                            <a:avLst/>
                          </a:prstGeom>
                          <a:ln w="9525" cap="flat" cmpd="sng">
                            <a:solidFill>
                              <a:srgbClr val="000000"/>
                            </a:solidFill>
                            <a:prstDash val="solid"/>
                            <a:headEnd type="none" w="med" len="med"/>
                            <a:tailEnd type="triangle" w="med" len="med"/>
                          </a:ln>
                        </wps:spPr>
                        <wps:bodyPr upright="1"/>
                      </wps:wsp>
                      <wps:wsp>
                        <wps:cNvPr id="31" name="直接连接符 31"/>
                        <wps:cNvCnPr/>
                        <wps:spPr>
                          <a:xfrm>
                            <a:off x="6899" y="8963"/>
                            <a:ext cx="283" cy="0"/>
                          </a:xfrm>
                          <a:prstGeom prst="line">
                            <a:avLst/>
                          </a:prstGeom>
                          <a:ln w="9525" cap="flat" cmpd="sng">
                            <a:solidFill>
                              <a:srgbClr val="000000"/>
                            </a:solidFill>
                            <a:prstDash val="solid"/>
                            <a:headEnd type="none" w="med" len="med"/>
                            <a:tailEnd type="triangle" w="med" len="med"/>
                          </a:ln>
                        </wps:spPr>
                        <wps:bodyPr upright="1"/>
                      </wps:wsp>
                      <wps:wsp>
                        <wps:cNvPr id="32" name="直接连接符 32"/>
                        <wps:cNvCnPr/>
                        <wps:spPr>
                          <a:xfrm>
                            <a:off x="6923" y="9625"/>
                            <a:ext cx="283" cy="0"/>
                          </a:xfrm>
                          <a:prstGeom prst="line">
                            <a:avLst/>
                          </a:prstGeom>
                          <a:ln w="9525" cap="flat" cmpd="sng">
                            <a:solidFill>
                              <a:srgbClr val="000000"/>
                            </a:solidFill>
                            <a:prstDash val="solid"/>
                            <a:headEnd type="none" w="med" len="med"/>
                            <a:tailEnd type="triangle" w="med" len="med"/>
                          </a:ln>
                        </wps:spPr>
                        <wps:bodyPr upright="1"/>
                      </wps:wsp>
                      <wps:wsp>
                        <wps:cNvPr id="33" name="直接连接符 33"/>
                        <wps:cNvCnPr/>
                        <wps:spPr>
                          <a:xfrm>
                            <a:off x="6936" y="10277"/>
                            <a:ext cx="283" cy="0"/>
                          </a:xfrm>
                          <a:prstGeom prst="line">
                            <a:avLst/>
                          </a:prstGeom>
                          <a:ln w="9525" cap="flat" cmpd="sng">
                            <a:solidFill>
                              <a:srgbClr val="000000"/>
                            </a:solidFill>
                            <a:prstDash val="solid"/>
                            <a:headEnd type="none" w="med" len="med"/>
                            <a:tailEnd type="triangle" w="med" len="med"/>
                          </a:ln>
                        </wps:spPr>
                        <wps:bodyPr upright="1"/>
                      </wps:wsp>
                      <wps:wsp>
                        <wps:cNvPr id="34" name="直接连接符 34"/>
                        <wps:cNvCnPr/>
                        <wps:spPr>
                          <a:xfrm>
                            <a:off x="6936" y="10913"/>
                            <a:ext cx="283" cy="0"/>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5368" y="8966"/>
                            <a:ext cx="283" cy="0"/>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5368" y="10261"/>
                            <a:ext cx="283" cy="0"/>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6936" y="11549"/>
                            <a:ext cx="283" cy="0"/>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6936" y="12143"/>
                            <a:ext cx="283" cy="0"/>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5368" y="9625"/>
                            <a:ext cx="283" cy="0"/>
                          </a:xfrm>
                          <a:prstGeom prst="line">
                            <a:avLst/>
                          </a:prstGeom>
                          <a:ln w="9525" cap="flat" cmpd="sng">
                            <a:solidFill>
                              <a:srgbClr val="000000"/>
                            </a:solidFill>
                            <a:prstDash val="solid"/>
                            <a:headEnd type="none" w="med" len="med"/>
                            <a:tailEnd type="triangle" w="med" len="med"/>
                          </a:ln>
                        </wps:spPr>
                        <wps:bodyPr upright="1"/>
                      </wps:wsp>
                      <wps:wsp>
                        <wps:cNvPr id="40" name="直接连接符 40"/>
                        <wps:cNvCnPr/>
                        <wps:spPr>
                          <a:xfrm>
                            <a:off x="5368" y="11523"/>
                            <a:ext cx="283" cy="0"/>
                          </a:xfrm>
                          <a:prstGeom prst="line">
                            <a:avLst/>
                          </a:prstGeom>
                          <a:ln w="9525" cap="flat" cmpd="sng">
                            <a:solidFill>
                              <a:srgbClr val="000000"/>
                            </a:solidFill>
                            <a:prstDash val="solid"/>
                            <a:headEnd type="none" w="med" len="med"/>
                            <a:tailEnd type="triangle" w="med" len="med"/>
                          </a:ln>
                        </wps:spPr>
                        <wps:bodyPr upright="1"/>
                      </wps:wsp>
                      <wps:wsp>
                        <wps:cNvPr id="41" name="直接连接符 41"/>
                        <wps:cNvCnPr/>
                        <wps:spPr>
                          <a:xfrm>
                            <a:off x="5368" y="12211"/>
                            <a:ext cx="283" cy="0"/>
                          </a:xfrm>
                          <a:prstGeom prst="line">
                            <a:avLst/>
                          </a:prstGeom>
                          <a:ln w="9525" cap="flat" cmpd="sng">
                            <a:solidFill>
                              <a:srgbClr val="000000"/>
                            </a:solidFill>
                            <a:prstDash val="solid"/>
                            <a:headEnd type="none" w="med" len="med"/>
                            <a:tailEnd type="triangle" w="med" len="med"/>
                          </a:ln>
                        </wps:spPr>
                        <wps:bodyPr upright="1"/>
                      </wps:wsp>
                      <wps:wsp>
                        <wps:cNvPr id="42" name="直接连接符 42"/>
                        <wps:cNvCnPr/>
                        <wps:spPr>
                          <a:xfrm>
                            <a:off x="5368" y="10890"/>
                            <a:ext cx="283" cy="0"/>
                          </a:xfrm>
                          <a:prstGeom prst="line">
                            <a:avLst/>
                          </a:prstGeom>
                          <a:ln w="9525" cap="flat" cmpd="sng">
                            <a:solidFill>
                              <a:srgbClr val="000000"/>
                            </a:solidFill>
                            <a:prstDash val="solid"/>
                            <a:headEnd type="none" w="med" len="med"/>
                            <a:tailEnd type="triangle" w="med" len="med"/>
                          </a:ln>
                        </wps:spPr>
                        <wps:bodyPr upright="1"/>
                      </wps:wsp>
                      <wps:wsp>
                        <wps:cNvPr id="43" name="直接连接符 43"/>
                        <wps:cNvCnPr/>
                        <wps:spPr>
                          <a:xfrm>
                            <a:off x="5368" y="8963"/>
                            <a:ext cx="0" cy="3231"/>
                          </a:xfrm>
                          <a:prstGeom prst="line">
                            <a:avLst/>
                          </a:prstGeom>
                          <a:ln w="9525" cap="flat" cmpd="sng">
                            <a:solidFill>
                              <a:srgbClr val="000000"/>
                            </a:solidFill>
                            <a:prstDash val="solid"/>
                            <a:headEnd type="none" w="med" len="med"/>
                            <a:tailEnd type="none" w="med" len="med"/>
                          </a:ln>
                        </wps:spPr>
                        <wps:bodyPr upright="1"/>
                      </wps:wsp>
                      <wps:wsp>
                        <wps:cNvPr id="44" name="直接连接符 44"/>
                        <wps:cNvCnPr/>
                        <wps:spPr>
                          <a:xfrm>
                            <a:off x="4971" y="10582"/>
                            <a:ext cx="397" cy="0"/>
                          </a:xfrm>
                          <a:prstGeom prst="line">
                            <a:avLst/>
                          </a:prstGeom>
                          <a:ln w="9525" cap="flat" cmpd="sng">
                            <a:solidFill>
                              <a:srgbClr val="000000"/>
                            </a:solidFill>
                            <a:prstDash val="solid"/>
                            <a:headEnd type="none" w="med" len="med"/>
                            <a:tailEnd type="none" w="med" len="med"/>
                          </a:ln>
                        </wps:spPr>
                        <wps:bodyPr upright="1"/>
                      </wps:wsp>
                      <wps:wsp>
                        <wps:cNvPr id="45" name="直接连接符 45"/>
                        <wps:cNvCnPr/>
                        <wps:spPr>
                          <a:xfrm>
                            <a:off x="4237" y="10579"/>
                            <a:ext cx="283" cy="0"/>
                          </a:xfrm>
                          <a:prstGeom prst="line">
                            <a:avLst/>
                          </a:prstGeom>
                          <a:ln w="9525" cap="flat" cmpd="sng">
                            <a:solidFill>
                              <a:srgbClr val="000000"/>
                            </a:solidFill>
                            <a:prstDash val="solid"/>
                            <a:headEnd type="none" w="med" len="med"/>
                            <a:tailEnd type="triangle" w="med" len="med"/>
                          </a:ln>
                        </wps:spPr>
                        <wps:bodyPr upright="1"/>
                      </wps:wsp>
                      <wps:wsp>
                        <wps:cNvPr id="46" name="直接连接符 46"/>
                        <wps:cNvCnPr/>
                        <wps:spPr>
                          <a:xfrm>
                            <a:off x="3568" y="10608"/>
                            <a:ext cx="283" cy="0"/>
                          </a:xfrm>
                          <a:prstGeom prst="line">
                            <a:avLst/>
                          </a:prstGeom>
                          <a:ln w="9525" cap="flat" cmpd="sng">
                            <a:solidFill>
                              <a:srgbClr val="000000"/>
                            </a:solidFill>
                            <a:prstDash val="solid"/>
                            <a:headEnd type="none" w="med" len="med"/>
                            <a:tailEnd type="triangle" w="med" len="med"/>
                          </a:ln>
                        </wps:spPr>
                        <wps:bodyPr upright="1"/>
                      </wps:wsp>
                      <wps:wsp>
                        <wps:cNvPr id="51" name="直接连接符 51"/>
                        <wps:cNvCnPr/>
                        <wps:spPr>
                          <a:xfrm>
                            <a:off x="2412" y="10634"/>
                            <a:ext cx="283" cy="0"/>
                          </a:xfrm>
                          <a:prstGeom prst="line">
                            <a:avLst/>
                          </a:prstGeom>
                          <a:ln w="9525" cap="flat" cmpd="sng">
                            <a:solidFill>
                              <a:srgbClr val="000000"/>
                            </a:solidFill>
                            <a:prstDash val="solid"/>
                            <a:headEnd type="none" w="med" len="med"/>
                            <a:tailEnd type="triangle" w="med" len="med"/>
                          </a:ln>
                        </wps:spPr>
                        <wps:bodyPr upright="1"/>
                      </wps:wsp>
                      <wps:wsp>
                        <wps:cNvPr id="52" name="直接连接符 52"/>
                        <wps:cNvCnPr/>
                        <wps:spPr>
                          <a:xfrm>
                            <a:off x="1718" y="10640"/>
                            <a:ext cx="283" cy="0"/>
                          </a:xfrm>
                          <a:prstGeom prst="line">
                            <a:avLst/>
                          </a:prstGeom>
                          <a:ln w="9525" cap="flat" cmpd="sng">
                            <a:solidFill>
                              <a:srgbClr val="000000"/>
                            </a:solidFill>
                            <a:prstDash val="solid"/>
                            <a:headEnd type="none" w="med" len="med"/>
                            <a:tailEnd type="triangle" w="med" len="med"/>
                          </a:ln>
                        </wps:spPr>
                        <wps:bodyPr upright="1"/>
                      </wps:wsp>
                      <wps:wsp>
                        <wps:cNvPr id="53" name="直接连接符 53"/>
                        <wps:cNvCnPr/>
                        <wps:spPr>
                          <a:xfrm>
                            <a:off x="8441" y="8924"/>
                            <a:ext cx="850" cy="0"/>
                          </a:xfrm>
                          <a:prstGeom prst="line">
                            <a:avLst/>
                          </a:prstGeom>
                          <a:ln w="9525" cap="flat" cmpd="sng">
                            <a:solidFill>
                              <a:srgbClr val="000000"/>
                            </a:solidFill>
                            <a:prstDash val="solid"/>
                            <a:headEnd type="none" w="med" len="med"/>
                            <a:tailEnd type="none" w="med" len="med"/>
                          </a:ln>
                        </wps:spPr>
                        <wps:bodyPr upright="1"/>
                      </wps:wsp>
                      <wps:wsp>
                        <wps:cNvPr id="54" name="直接连接符 54"/>
                        <wps:cNvCnPr/>
                        <wps:spPr>
                          <a:xfrm>
                            <a:off x="8428" y="9615"/>
                            <a:ext cx="850" cy="0"/>
                          </a:xfrm>
                          <a:prstGeom prst="line">
                            <a:avLst/>
                          </a:prstGeom>
                          <a:ln w="9525" cap="flat" cmpd="sng">
                            <a:solidFill>
                              <a:srgbClr val="000000"/>
                            </a:solidFill>
                            <a:prstDash val="solid"/>
                            <a:headEnd type="none" w="med" len="med"/>
                            <a:tailEnd type="none" w="med" len="med"/>
                          </a:ln>
                        </wps:spPr>
                        <wps:bodyPr upright="1"/>
                      </wps:wsp>
                      <wps:wsp>
                        <wps:cNvPr id="55" name="直接连接符 55"/>
                        <wps:cNvCnPr/>
                        <wps:spPr>
                          <a:xfrm>
                            <a:off x="8439" y="10251"/>
                            <a:ext cx="850" cy="0"/>
                          </a:xfrm>
                          <a:prstGeom prst="line">
                            <a:avLst/>
                          </a:prstGeom>
                          <a:ln w="9525" cap="flat" cmpd="sng">
                            <a:solidFill>
                              <a:srgbClr val="000000"/>
                            </a:solidFill>
                            <a:prstDash val="solid"/>
                            <a:headEnd type="none" w="med" len="med"/>
                            <a:tailEnd type="none" w="med" len="med"/>
                          </a:ln>
                        </wps:spPr>
                        <wps:bodyPr upright="1"/>
                      </wps:wsp>
                      <wps:wsp>
                        <wps:cNvPr id="56" name="直接连接符 56"/>
                        <wps:cNvCnPr/>
                        <wps:spPr>
                          <a:xfrm>
                            <a:off x="8439" y="10861"/>
                            <a:ext cx="850" cy="0"/>
                          </a:xfrm>
                          <a:prstGeom prst="line">
                            <a:avLst/>
                          </a:prstGeom>
                          <a:ln w="9525" cap="flat" cmpd="sng">
                            <a:solidFill>
                              <a:srgbClr val="000000"/>
                            </a:solidFill>
                            <a:prstDash val="solid"/>
                            <a:headEnd type="none" w="med" len="med"/>
                            <a:tailEnd type="none" w="med" len="med"/>
                          </a:ln>
                        </wps:spPr>
                        <wps:bodyPr upright="1"/>
                      </wps:wsp>
                      <wps:wsp>
                        <wps:cNvPr id="57" name="直接连接符 57"/>
                        <wps:cNvCnPr/>
                        <wps:spPr>
                          <a:xfrm>
                            <a:off x="9299" y="8934"/>
                            <a:ext cx="0" cy="3288"/>
                          </a:xfrm>
                          <a:prstGeom prst="line">
                            <a:avLst/>
                          </a:prstGeom>
                          <a:ln w="9525" cap="flat" cmpd="sng">
                            <a:solidFill>
                              <a:srgbClr val="000000"/>
                            </a:solidFill>
                            <a:prstDash val="solid"/>
                            <a:headEnd type="none" w="med" len="med"/>
                            <a:tailEnd type="none" w="med" len="med"/>
                          </a:ln>
                        </wps:spPr>
                        <wps:bodyPr upright="1"/>
                      </wps:wsp>
                      <wps:wsp>
                        <wps:cNvPr id="58" name="直接连接符 58"/>
                        <wps:cNvCnPr/>
                        <wps:spPr>
                          <a:xfrm>
                            <a:off x="8838" y="11601"/>
                            <a:ext cx="454" cy="0"/>
                          </a:xfrm>
                          <a:prstGeom prst="line">
                            <a:avLst/>
                          </a:prstGeom>
                          <a:ln w="9525" cap="flat" cmpd="sng">
                            <a:solidFill>
                              <a:srgbClr val="000000"/>
                            </a:solidFill>
                            <a:prstDash val="solid"/>
                            <a:headEnd type="none" w="med" len="med"/>
                            <a:tailEnd type="none" w="med" len="med"/>
                          </a:ln>
                        </wps:spPr>
                        <wps:bodyPr upright="1"/>
                      </wps:wsp>
                      <wps:wsp>
                        <wps:cNvPr id="59" name="直接连接符 59"/>
                        <wps:cNvCnPr/>
                        <wps:spPr>
                          <a:xfrm flipH="1">
                            <a:off x="9148" y="12237"/>
                            <a:ext cx="170" cy="0"/>
                          </a:xfrm>
                          <a:prstGeom prst="line">
                            <a:avLst/>
                          </a:prstGeom>
                          <a:ln w="9525" cap="flat" cmpd="sng">
                            <a:solidFill>
                              <a:srgbClr val="000000"/>
                            </a:solidFill>
                            <a:prstDash val="solid"/>
                            <a:headEnd type="none" w="med" len="med"/>
                            <a:tailEnd type="none" w="med" len="med"/>
                          </a:ln>
                        </wps:spPr>
                        <wps:bodyPr upright="1"/>
                      </wps:wsp>
                      <wps:wsp>
                        <wps:cNvPr id="60" name="直接连接符 60"/>
                        <wps:cNvCnPr/>
                        <wps:spPr>
                          <a:xfrm>
                            <a:off x="9290" y="10530"/>
                            <a:ext cx="283" cy="0"/>
                          </a:xfrm>
                          <a:prstGeom prst="line">
                            <a:avLst/>
                          </a:prstGeom>
                          <a:ln w="9525" cap="flat" cmpd="sng">
                            <a:solidFill>
                              <a:srgbClr val="000000"/>
                            </a:solidFill>
                            <a:prstDash val="solid"/>
                            <a:headEnd type="none" w="med" len="med"/>
                            <a:tailEnd type="triangle" w="med" len="med"/>
                          </a:ln>
                        </wps:spPr>
                        <wps:bodyPr upright="1"/>
                      </wps:wsp>
                      <wps:wsp>
                        <wps:cNvPr id="61" name="文本框 61"/>
                        <wps:cNvSpPr txBox="1"/>
                        <wps:spPr>
                          <a:xfrm>
                            <a:off x="2488" y="8262"/>
                            <a:ext cx="1440" cy="477"/>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0D091144">
                              <w:pPr>
                                <w:rPr>
                                  <w:rFonts w:hint="eastAsia"/>
                                  <w:color w:val="000000"/>
                                  <w:sz w:val="18"/>
                                  <w:szCs w:val="18"/>
                                </w:rPr>
                              </w:pPr>
                              <w:r>
                                <w:rPr>
                                  <w:rFonts w:hint="eastAsia"/>
                                  <w:color w:val="000000"/>
                                  <w:sz w:val="18"/>
                                  <w:szCs w:val="18"/>
                                  <w:lang w:eastAsia="zh-CN"/>
                                </w:rPr>
                                <w:t>区</w:t>
                              </w:r>
                              <w:r>
                                <w:rPr>
                                  <w:rFonts w:hint="eastAsia"/>
                                  <w:color w:val="000000"/>
                                  <w:sz w:val="18"/>
                                  <w:szCs w:val="18"/>
                                </w:rPr>
                                <w:t>应急指挥部</w:t>
                              </w:r>
                            </w:p>
                          </w:txbxContent>
                        </wps:txbx>
                        <wps:bodyPr upright="1"/>
                      </wps:wsp>
                      <wps:wsp>
                        <wps:cNvPr id="62" name="直接连接符 62"/>
                        <wps:cNvCnPr/>
                        <wps:spPr>
                          <a:xfrm flipV="1">
                            <a:off x="2705" y="7467"/>
                            <a:ext cx="0" cy="454"/>
                          </a:xfrm>
                          <a:prstGeom prst="line">
                            <a:avLst/>
                          </a:prstGeom>
                          <a:ln w="9525" cap="flat" cmpd="sng">
                            <a:solidFill>
                              <a:srgbClr val="000000"/>
                            </a:solidFill>
                            <a:prstDash val="solid"/>
                            <a:headEnd type="none" w="med" len="med"/>
                            <a:tailEnd type="triangle" w="med" len="med"/>
                          </a:ln>
                        </wps:spPr>
                        <wps:bodyPr upright="1"/>
                      </wps:wsp>
                      <wps:wsp>
                        <wps:cNvPr id="63" name="直接连接符 63"/>
                        <wps:cNvCnPr/>
                        <wps:spPr>
                          <a:xfrm flipV="1">
                            <a:off x="5225" y="7467"/>
                            <a:ext cx="0" cy="454"/>
                          </a:xfrm>
                          <a:prstGeom prst="line">
                            <a:avLst/>
                          </a:prstGeom>
                          <a:ln w="9525" cap="flat" cmpd="sng">
                            <a:solidFill>
                              <a:srgbClr val="000000"/>
                            </a:solidFill>
                            <a:prstDash val="solid"/>
                            <a:headEnd type="none" w="med" len="med"/>
                            <a:tailEnd type="triangle" w="med" len="med"/>
                          </a:ln>
                        </wps:spPr>
                        <wps:bodyPr upright="1"/>
                      </wps:wsp>
                      <wps:wsp>
                        <wps:cNvPr id="64" name="直接连接符 64"/>
                        <wps:cNvCnPr/>
                        <wps:spPr>
                          <a:xfrm>
                            <a:off x="2705" y="7944"/>
                            <a:ext cx="2520" cy="0"/>
                          </a:xfrm>
                          <a:prstGeom prst="line">
                            <a:avLst/>
                          </a:prstGeom>
                          <a:ln w="9525" cap="flat" cmpd="sng">
                            <a:solidFill>
                              <a:srgbClr val="000000"/>
                            </a:solidFill>
                            <a:prstDash val="solid"/>
                            <a:headEnd type="none" w="med" len="med"/>
                            <a:tailEnd type="none" w="med" len="med"/>
                          </a:ln>
                        </wps:spPr>
                        <wps:bodyPr upright="1"/>
                      </wps:wsp>
                      <wps:wsp>
                        <wps:cNvPr id="65" name="直接连接符 65"/>
                        <wps:cNvCnPr/>
                        <wps:spPr>
                          <a:xfrm flipV="1">
                            <a:off x="4030" y="7944"/>
                            <a:ext cx="0" cy="1590"/>
                          </a:xfrm>
                          <a:prstGeom prst="line">
                            <a:avLst/>
                          </a:prstGeom>
                          <a:ln w="9525" cap="flat" cmpd="sng">
                            <a:solidFill>
                              <a:srgbClr val="000000"/>
                            </a:solidFill>
                            <a:prstDash val="solid"/>
                            <a:headEnd type="none" w="med" len="med"/>
                            <a:tailEnd type="triangle" w="med" len="med"/>
                          </a:ln>
                        </wps:spPr>
                        <wps:bodyPr upright="1"/>
                      </wps:wsp>
                      <wps:wsp>
                        <wps:cNvPr id="66" name="文本框 66"/>
                        <wps:cNvSpPr txBox="1"/>
                        <wps:spPr>
                          <a:xfrm>
                            <a:off x="6283" y="5282"/>
                            <a:ext cx="1230" cy="504"/>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568AEEEF">
                              <w:pPr>
                                <w:spacing w:line="240" w:lineRule="exact"/>
                                <w:jc w:val="center"/>
                                <w:rPr>
                                  <w:rFonts w:hint="eastAsia"/>
                                  <w:color w:val="000000"/>
                                  <w:sz w:val="24"/>
                                </w:rPr>
                              </w:pPr>
                              <w:r>
                                <w:rPr>
                                  <w:rFonts w:hint="eastAsia"/>
                                  <w:color w:val="000000"/>
                                  <w:sz w:val="24"/>
                                </w:rPr>
                                <w:t>报送</w:t>
                              </w:r>
                            </w:p>
                          </w:txbxContent>
                        </wps:txbx>
                        <wps:bodyPr lIns="0" tIns="0" rIns="0" bIns="0" upright="1"/>
                      </wps:wsp>
                    </wpg:wgp>
                  </a:graphicData>
                </a:graphic>
              </wp:anchor>
            </w:drawing>
          </mc:Choice>
          <mc:Fallback>
            <w:pict>
              <v:group id="_x0000_s1026" o:spid="_x0000_s1026" o:spt="203" style="position:absolute;left:0pt;margin-left:-11.65pt;margin-top:5.5pt;height:360.5pt;width:461.65pt;z-index:251663360;mso-width-relative:page;mso-height-relative:page;" coordorigin="1306,5241" coordsize="9233,7210" o:gfxdata="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">
                <o:lock v:ext="edit" aspectratio="f"/>
                <v:shape id="_x0000_s1026" o:spid="_x0000_s1026" o:spt="109" type="#_x0000_t109" style="position:absolute;left:2701;top:9216;height:2703;width:867;v-text-anchor:middle;" fillcolor="#FFFFFF" filled="t" stroked="t" coordsize="21600,21600" o:gfxdata="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tTe8yzAAAA2gAAAA8AAAAA&#10;AAAAAQAgAAAAIgAAAGRycy9kb3ducmV2LnhtbFBLAQIUABQAAAAIAIdO4kAzLwWeOwAAADkAAAAQ&#10;AAAAAAAAAAEAIAAAAAIBAABkcnMvc2hhcGV4bWwueG1sUEsFBgAAAAAGAAYAWwEAAKwDAAAAAA==&#10;">
                  <v:fill on="t" focussize="0,0"/>
                  <v:stroke weight="1pt" color="#000000" joinstyle="miter"/>
                  <v:imagedata o:title=""/>
                  <o:lock v:ext="edit" aspectratio="f"/>
                  <v:textbox>
                    <w:txbxContent>
                      <w:p w14:paraId="13576C72">
                        <w:pPr>
                          <w:rPr>
                            <w:szCs w:val="21"/>
                          </w:rPr>
                        </w:pPr>
                        <w:r>
                          <w:rPr>
                            <w:rFonts w:hint="eastAsia"/>
                            <w:szCs w:val="21"/>
                          </w:rPr>
                          <w:t>报市人民政府批准，启动相应级别响应</w:t>
                        </w:r>
                      </w:p>
                    </w:txbxContent>
                  </v:textbox>
                </v:shape>
                <v:shape id="_x0000_s1026" o:spid="_x0000_s1026" o:spt="109" type="#_x0000_t109" style="position:absolute;left:3845;top:9537;height:2100;width:380;v-text-anchor:middle;" fillcolor="#FFFFFF" filled="t" stroked="t" coordsize="21600,21600" o:gfxdata="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YkdrgAAADaAAAA&#10;DwAAAAAAAAABACAAAAAiAAAAZHJzL2Rvd25yZXYueG1sUEsBAhQAFAAAAAgAh07iQDMvBZ47AAAA&#10;OQAAABAAAAAAAAAAAQAgAAAABwEAAGRycy9zaGFwZXhtbC54bWxQSwUGAAAAAAYABgBbAQAAsQMA&#10;AAAA&#10;">
                  <v:fill on="t" focussize="0,0"/>
                  <v:stroke weight="1pt" color="#000000" joinstyle="miter"/>
                  <v:imagedata o:title=""/>
                  <o:lock v:ext="edit" aspectratio="f"/>
                  <v:textbox inset="1mm,1.27mm,1mm,1.27mm">
                    <w:txbxContent>
                      <w:p w14:paraId="121448EA">
                        <w:pPr>
                          <w:jc w:val="center"/>
                          <w:rPr>
                            <w:rFonts w:hint="eastAsia"/>
                          </w:rPr>
                        </w:pPr>
                        <w:r>
                          <w:rPr>
                            <w:rFonts w:hint="eastAsia"/>
                            <w:lang w:eastAsia="zh-CN"/>
                          </w:rPr>
                          <w:t>区</w:t>
                        </w:r>
                        <w:r>
                          <w:rPr>
                            <w:rFonts w:hint="eastAsia"/>
                          </w:rPr>
                          <w:t>应急指挥部</w:t>
                        </w:r>
                      </w:p>
                    </w:txbxContent>
                  </v:textbox>
                </v:shape>
                <v:shape id="_x0000_s1026" o:spid="_x0000_s1026" o:spt="109" type="#_x0000_t109" style="position:absolute;left:4546;top:9517;height:2084;width:395;v-text-anchor:middle;" fillcolor="#FFFFFF" filled="t" stroked="t" coordsize="21600,21600" o:gfxdata="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3Kge25AAAA2g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inset="1mm,1.27mm,1mm,1.27mm">
                    <w:txbxContent>
                      <w:p w14:paraId="1E046839">
                        <w:pPr>
                          <w:jc w:val="center"/>
                          <w:rPr>
                            <w:rFonts w:hint="eastAsia"/>
                          </w:rPr>
                        </w:pPr>
                        <w:r>
                          <w:rPr>
                            <w:rFonts w:hint="eastAsia"/>
                          </w:rPr>
                          <w:t>现场指挥机构</w:t>
                        </w:r>
                      </w:p>
                    </w:txbxContent>
                  </v:textbox>
                </v:shape>
                <v:shape id="_x0000_s1026" o:spid="_x0000_s1026" o:spt="109" type="#_x0000_t109" style="position:absolute;left:1733;top:6977;height:510;width:1888;v-text-anchor:middle;" fillcolor="#FFFFFF" filled="t" stroked="t" coordsize="21600,21600" o:gfxdata="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Gh9z7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14:paraId="51046DDF">
                        <w:pPr>
                          <w:jc w:val="center"/>
                          <w:rPr>
                            <w:rFonts w:hint="eastAsia"/>
                          </w:rPr>
                        </w:pPr>
                        <w:r>
                          <w:rPr>
                            <w:rFonts w:hint="eastAsia"/>
                          </w:rPr>
                          <w:t>市应急指挥部</w:t>
                        </w:r>
                      </w:p>
                    </w:txbxContent>
                  </v:textbox>
                </v:shape>
                <v:shape id="_x0000_s1026" o:spid="_x0000_s1026" o:spt="109" type="#_x0000_t109" style="position:absolute;left:4278;top:6964;height:510;width:1923;v-text-anchor:middle;" fillcolor="#FFFFFF" filled="t" stroked="t" coordsize="21600,21600" o:gfxdata="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LrjuL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14:paraId="1F8DFBA4">
                        <w:pPr>
                          <w:jc w:val="center"/>
                          <w:rPr>
                            <w:rFonts w:hint="eastAsia"/>
                          </w:rPr>
                        </w:pPr>
                        <w:r>
                          <w:rPr>
                            <w:rFonts w:hint="eastAsia"/>
                            <w:lang w:eastAsia="zh-CN"/>
                          </w:rPr>
                          <w:t>区</w:t>
                        </w:r>
                        <w:r>
                          <w:rPr>
                            <w:rFonts w:hint="eastAsia"/>
                          </w:rPr>
                          <w:t>人民政府</w:t>
                        </w:r>
                      </w:p>
                    </w:txbxContent>
                  </v:textbox>
                </v:shape>
                <v:shape id="_x0000_s1026" o:spid="_x0000_s1026" o:spt="109" type="#_x0000_t109" style="position:absolute;left:5649;top:8706;height:510;width:1242;v-text-anchor:middle;" fillcolor="#FFFFFF" filled="t" stroked="t" coordsize="21600,21600" o:gfxdata="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ZGI7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14:paraId="460ECBD1">
                        <w:pPr>
                          <w:jc w:val="center"/>
                          <w:rPr>
                            <w:rFonts w:hint="eastAsia"/>
                            <w:sz w:val="18"/>
                            <w:szCs w:val="18"/>
                          </w:rPr>
                        </w:pPr>
                        <w:r>
                          <w:rPr>
                            <w:rFonts w:hint="eastAsia"/>
                            <w:sz w:val="18"/>
                            <w:szCs w:val="18"/>
                          </w:rPr>
                          <w:t>综合协调组</w:t>
                        </w:r>
                      </w:p>
                    </w:txbxContent>
                  </v:textbox>
                </v:shape>
                <v:shape id="_x0000_s1026" o:spid="_x0000_s1026" o:spt="109" type="#_x0000_t109" style="position:absolute;left:5657;top:9375;height:510;width:1242;v-text-anchor:middle;" fillcolor="#FFFFFF" filled="t" stroked="t" coordsize="21600,21600" o:gfxdata="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pp0lGzAAAA2gAAAA8AAAAA&#10;AAAAAQAgAAAAIgAAAGRycy9kb3ducmV2LnhtbFBLAQIUABQAAAAIAIdO4kAzLwWeOwAAADkAAAAQ&#10;AAAAAAAAAAEAIAAAAAIBAABkcnMvc2hhcGV4bWwueG1sUEsFBgAAAAAGAAYAWwEAAKwDAAAAAA==&#10;">
                  <v:fill on="t" focussize="0,0"/>
                  <v:stroke weight="1pt" color="#000000" joinstyle="miter"/>
                  <v:imagedata o:title=""/>
                  <o:lock v:ext="edit" aspectratio="f"/>
                  <v:textbox>
                    <w:txbxContent>
                      <w:p w14:paraId="0BECF680">
                        <w:pPr>
                          <w:jc w:val="center"/>
                          <w:rPr>
                            <w:rFonts w:hint="eastAsia"/>
                            <w:sz w:val="18"/>
                            <w:szCs w:val="18"/>
                          </w:rPr>
                        </w:pPr>
                        <w:r>
                          <w:rPr>
                            <w:rFonts w:hint="eastAsia"/>
                            <w:sz w:val="18"/>
                            <w:szCs w:val="18"/>
                          </w:rPr>
                          <w:t>事情调查组</w:t>
                        </w:r>
                      </w:p>
                    </w:txbxContent>
                  </v:textbox>
                </v:shape>
                <v:shape id="_x0000_s1026" o:spid="_x0000_s1026" o:spt="109" type="#_x0000_t109" style="position:absolute;left:5657;top:10004;height:510;width:1242;v-text-anchor:middle;" fillcolor="#FFFFFF" filled="t" stroked="t" coordsize="21600,21600" o:gfxdata="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Uld8q2AAAA2g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14:paraId="0EB79004">
                        <w:pPr>
                          <w:jc w:val="center"/>
                          <w:rPr>
                            <w:rFonts w:hint="eastAsia"/>
                            <w:sz w:val="18"/>
                            <w:szCs w:val="18"/>
                          </w:rPr>
                        </w:pPr>
                        <w:r>
                          <w:rPr>
                            <w:rFonts w:hint="eastAsia"/>
                            <w:sz w:val="18"/>
                            <w:szCs w:val="18"/>
                          </w:rPr>
                          <w:t>危害控制组</w:t>
                        </w:r>
                      </w:p>
                    </w:txbxContent>
                  </v:textbox>
                </v:shape>
                <v:shape id="_x0000_s1026" o:spid="_x0000_s1026" o:spt="109" type="#_x0000_t109" style="position:absolute;left:5671;top:10650;height:510;width:1242;v-text-anchor:middle;" fillcolor="#FFFFFF" filled="t" stroked="t" coordsize="21600,21600" o:gfxdata="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TImKi2AAAA2w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14:paraId="19D1C97A">
                        <w:pPr>
                          <w:jc w:val="center"/>
                          <w:rPr>
                            <w:rFonts w:hint="eastAsia"/>
                            <w:sz w:val="18"/>
                            <w:szCs w:val="18"/>
                          </w:rPr>
                        </w:pPr>
                        <w:r>
                          <w:rPr>
                            <w:rFonts w:hint="eastAsia"/>
                            <w:sz w:val="18"/>
                            <w:szCs w:val="18"/>
                          </w:rPr>
                          <w:t>医疗救治组</w:t>
                        </w:r>
                      </w:p>
                    </w:txbxContent>
                  </v:textbox>
                </v:shape>
                <v:shape id="_x0000_s1026" o:spid="_x0000_s1026" o:spt="109" type="#_x0000_t109" style="position:absolute;left:5668;top:11283;height:510;width:1242;v-text-anchor:middle;" fillcolor="#FFFFFF" filled="t" stroked="t" coordsize="21600,21600" o:gfxdata="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bhD0z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064F54C8">
                        <w:pPr>
                          <w:jc w:val="center"/>
                          <w:rPr>
                            <w:rFonts w:hint="eastAsia"/>
                            <w:sz w:val="18"/>
                            <w:szCs w:val="18"/>
                          </w:rPr>
                        </w:pPr>
                        <w:r>
                          <w:rPr>
                            <w:rFonts w:hint="eastAsia"/>
                            <w:sz w:val="18"/>
                            <w:szCs w:val="18"/>
                          </w:rPr>
                          <w:t>应急保障组</w:t>
                        </w:r>
                      </w:p>
                    </w:txbxContent>
                  </v:textbox>
                </v:shape>
                <v:shape id="_x0000_s1026" o:spid="_x0000_s1026" o:spt="109" type="#_x0000_t109" style="position:absolute;left:5665;top:11919;height:510;width:1242;v-text-anchor:middle;" fillcolor="#FFFFFF" filled="t" stroked="t" coordsize="21600,21600" o:gfxdata="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rVqNE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2EC611D8">
                        <w:pPr>
                          <w:jc w:val="center"/>
                          <w:rPr>
                            <w:rFonts w:hint="eastAsia"/>
                            <w:sz w:val="18"/>
                            <w:szCs w:val="18"/>
                          </w:rPr>
                        </w:pPr>
                        <w:r>
                          <w:rPr>
                            <w:rFonts w:hint="eastAsia"/>
                            <w:sz w:val="18"/>
                            <w:szCs w:val="18"/>
                          </w:rPr>
                          <w:t>宣传报道组</w:t>
                        </w:r>
                      </w:p>
                    </w:txbxContent>
                  </v:textbox>
                </v:shape>
                <v:shape id="_x0000_s1026" o:spid="_x0000_s1026" o:spt="109" type="#_x0000_t109" style="position:absolute;left:7181;top:8706;height:510;width:1242;v-text-anchor:middle;" fillcolor="#FFFFFF" filled="t" stroked="t" coordsize="21600,21600" o:gfxdata="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EGgbf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733E3644">
                        <w:pPr>
                          <w:jc w:val="center"/>
                          <w:rPr>
                            <w:rFonts w:hint="eastAsia"/>
                            <w:sz w:val="18"/>
                            <w:szCs w:val="18"/>
                          </w:rPr>
                        </w:pPr>
                        <w:r>
                          <w:rPr>
                            <w:rFonts w:hint="eastAsia"/>
                            <w:sz w:val="18"/>
                            <w:szCs w:val="18"/>
                          </w:rPr>
                          <w:t>综合协调等</w:t>
                        </w:r>
                      </w:p>
                    </w:txbxContent>
                  </v:textbox>
                </v:shape>
                <v:shape id="_x0000_s1026" o:spid="_x0000_s1026" o:spt="109" type="#_x0000_t109" style="position:absolute;left:7198;top:9368;height:510;width:1242;v-text-anchor:middle;" fillcolor="#FFFFFF" filled="t" stroked="t" coordsize="21600,21600" o:gfxdata="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AL856r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2BC29432">
                        <w:pPr>
                          <w:jc w:val="center"/>
                          <w:rPr>
                            <w:rFonts w:hint="eastAsia"/>
                            <w:sz w:val="18"/>
                            <w:szCs w:val="18"/>
                          </w:rPr>
                        </w:pPr>
                        <w:r>
                          <w:rPr>
                            <w:rFonts w:hint="eastAsia"/>
                            <w:sz w:val="18"/>
                            <w:szCs w:val="18"/>
                          </w:rPr>
                          <w:t>综合协调等</w:t>
                        </w:r>
                      </w:p>
                    </w:txbxContent>
                  </v:textbox>
                </v:shape>
                <v:shape id="_x0000_s1026" o:spid="_x0000_s1026" o:spt="109" type="#_x0000_t109" style="position:absolute;left:7196;top:9991;height:510;width:1242;v-text-anchor:middle;" fillcolor="#FFFFFF" filled="t" stroked="t" coordsize="21600,21600" o:gfxdata="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kvzsw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12A1DFB8">
                        <w:pPr>
                          <w:jc w:val="center"/>
                          <w:rPr>
                            <w:rFonts w:hint="eastAsia"/>
                            <w:sz w:val="18"/>
                            <w:szCs w:val="18"/>
                          </w:rPr>
                        </w:pPr>
                        <w:r>
                          <w:rPr>
                            <w:rFonts w:hint="eastAsia"/>
                            <w:sz w:val="18"/>
                            <w:szCs w:val="18"/>
                          </w:rPr>
                          <w:t>危害控制等</w:t>
                        </w:r>
                      </w:p>
                    </w:txbxContent>
                  </v:textbox>
                </v:shape>
                <v:shape id="_x0000_s1026" o:spid="_x0000_s1026" o:spt="109" type="#_x0000_t109" style="position:absolute;left:7211;top:10627;height:510;width:1242;v-text-anchor:middle;" fillcolor="#FFFFFF" filled="t" stroked="t" coordsize="21600,21600" o:gfxdata="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baVH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509B47E2">
                        <w:pPr>
                          <w:jc w:val="center"/>
                          <w:rPr>
                            <w:rFonts w:hint="eastAsia"/>
                            <w:sz w:val="18"/>
                            <w:szCs w:val="18"/>
                          </w:rPr>
                        </w:pPr>
                        <w:r>
                          <w:rPr>
                            <w:rFonts w:hint="eastAsia"/>
                            <w:sz w:val="18"/>
                            <w:szCs w:val="18"/>
                          </w:rPr>
                          <w:t>医疗救治等</w:t>
                        </w:r>
                      </w:p>
                    </w:txbxContent>
                  </v:textbox>
                </v:shape>
                <v:shape id="_x0000_s1026" o:spid="_x0000_s1026" o:spt="109" type="#_x0000_t109" style="position:absolute;left:7199;top:11283;height:510;width:1602;v-text-anchor:middle;" fillcolor="#FFFFFF" filled="t" stroked="t" coordsize="21600,21600" o:gfxdata="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7IQDc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6FBDE932">
                        <w:pPr>
                          <w:jc w:val="center"/>
                          <w:rPr>
                            <w:rFonts w:hint="eastAsia"/>
                            <w:sz w:val="18"/>
                            <w:szCs w:val="18"/>
                          </w:rPr>
                        </w:pPr>
                        <w:r>
                          <w:rPr>
                            <w:rFonts w:hint="eastAsia"/>
                            <w:sz w:val="18"/>
                            <w:szCs w:val="18"/>
                          </w:rPr>
                          <w:t>协调应急救援等</w:t>
                        </w:r>
                      </w:p>
                    </w:txbxContent>
                  </v:textbox>
                </v:shape>
                <v:shape id="_x0000_s1026" o:spid="_x0000_s1026" o:spt="109" type="#_x0000_t109" style="position:absolute;left:7198;top:11941;height:510;width:1950;v-text-anchor:middle;" fillcolor="#FFFFFF" filled="t" stroked="t" coordsize="21600,21600" o:gfxdata="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q+lK62AAAA2w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14:paraId="19B1F2F0">
                        <w:pPr>
                          <w:jc w:val="center"/>
                          <w:rPr>
                            <w:rFonts w:hint="eastAsia"/>
                            <w:sz w:val="18"/>
                            <w:szCs w:val="18"/>
                          </w:rPr>
                        </w:pPr>
                        <w:r>
                          <w:rPr>
                            <w:rFonts w:hint="eastAsia"/>
                            <w:sz w:val="18"/>
                            <w:szCs w:val="18"/>
                          </w:rPr>
                          <w:t>新闻宣传、引导舆论</w:t>
                        </w:r>
                      </w:p>
                    </w:txbxContent>
                  </v:textbox>
                </v:shape>
                <v:shape id="_x0000_s1026" o:spid="_x0000_s1026" o:spt="109" type="#_x0000_t109" style="position:absolute;left:9557;top:8938;height:2971;width:982;v-text-anchor:middle;" fillcolor="#FFFFFF" filled="t" stroked="t" coordsize="21600,21600" o:gfxdata="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l8jE1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14:paraId="6EAA8867">
                        <w:pPr>
                          <w:rPr>
                            <w:rFonts w:hint="eastAsia"/>
                            <w:sz w:val="18"/>
                            <w:szCs w:val="18"/>
                          </w:rPr>
                        </w:pPr>
                        <w:r>
                          <w:rPr>
                            <w:rFonts w:hint="eastAsia"/>
                            <w:sz w:val="18"/>
                            <w:szCs w:val="18"/>
                            <w:lang w:eastAsia="zh-CN"/>
                          </w:rPr>
                          <w:t>区</w:t>
                        </w:r>
                        <w:r>
                          <w:rPr>
                            <w:rFonts w:hint="eastAsia"/>
                            <w:sz w:val="18"/>
                            <w:szCs w:val="18"/>
                          </w:rPr>
                          <w:t>应急指挥部逐级上报后，经市人民政府批准，响应终止</w:t>
                        </w:r>
                      </w:p>
                    </w:txbxContent>
                  </v:textbox>
                </v:shape>
                <v:shape id="_x0000_s1026" o:spid="_x0000_s1026" o:spt="202" type="#_x0000_t202" style="position:absolute;left:8968;top:7738;height:683;width:1014;" fillcolor="#FFFFFF" filled="t" stroked="t" coordsize="21600,21600" o:gfxdata="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axzXLgAAADbAAAA&#10;DwAAAAAAAAABACAAAAAiAAAAZHJzL2Rvd25yZXYueG1sUEsBAhQAFAAAAAgAh07iQDMvBZ47AAAA&#10;OQAAABAAAAAAAAAAAQAgAAAABwEAAGRycy9zaGFwZXhtbC54bWxQSwUGAAAAAAYABgBbAQAAsQMA&#10;AAAA&#10;">
                  <v:fill on="t" focussize="0,0"/>
                  <v:stroke weight="0.5pt" color="#FFFFFF" joinstyle="round"/>
                  <v:imagedata o:title=""/>
                  <o:lock v:ext="edit" aspectratio="f"/>
                  <v:textbox>
                    <w:txbxContent>
                      <w:p w14:paraId="1CE31DB2">
                        <w:pPr>
                          <w:spacing w:line="240" w:lineRule="exact"/>
                          <w:jc w:val="center"/>
                          <w:rPr>
                            <w:rFonts w:hint="eastAsia"/>
                            <w:color w:val="000000"/>
                            <w:sz w:val="18"/>
                            <w:szCs w:val="18"/>
                          </w:rPr>
                        </w:pPr>
                        <w:r>
                          <w:rPr>
                            <w:rFonts w:hint="eastAsia"/>
                            <w:color w:val="000000"/>
                            <w:sz w:val="18"/>
                            <w:szCs w:val="18"/>
                            <w:lang w:eastAsia="zh-CN"/>
                          </w:rPr>
                          <w:t>区</w:t>
                        </w:r>
                        <w:r>
                          <w:rPr>
                            <w:rFonts w:hint="eastAsia"/>
                            <w:color w:val="000000"/>
                            <w:sz w:val="18"/>
                            <w:szCs w:val="18"/>
                          </w:rPr>
                          <w:t>应急指挥部</w:t>
                        </w:r>
                      </w:p>
                    </w:txbxContent>
                  </v:textbox>
                </v:shape>
                <v:shape id="_x0000_s1026" o:spid="_x0000_s1026" o:spt="109" type="#_x0000_t109" style="position:absolute;left:9638;top:6380;height:907;width:850;v-text-anchor:middle;" fillcolor="#FFFFFF" filled="t" stroked="t" coordsize="21600,21600" o:gfxdata="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Xo9462AAAA2wAAAA8A&#10;AAAAAAAAAQAgAAAAIgAAAGRycy9kb3ducmV2LnhtbFBLAQIUABQAAAAIAIdO4kAzLwWeOwAAADkA&#10;AAAQAAAAAAAAAAEAIAAAAAUBAABkcnMvc2hhcGV4bWwueG1sUEsFBgAAAAAGAAYAWwEAAK8DAAAA&#10;AA==&#10;">
                  <v:fill on="t" focussize="0,0"/>
                  <v:stroke weight="1pt" color="#000000" joinstyle="miter"/>
                  <v:imagedata o:title=""/>
                  <o:lock v:ext="edit" aspectratio="f"/>
                  <v:textbox>
                    <w:txbxContent>
                      <w:p w14:paraId="602C612D">
                        <w:pPr>
                          <w:jc w:val="center"/>
                          <w:rPr>
                            <w:rFonts w:hint="eastAsia"/>
                          </w:rPr>
                        </w:pPr>
                        <w:r>
                          <w:rPr>
                            <w:rFonts w:hint="eastAsia"/>
                          </w:rPr>
                          <w:t>总结评估</w:t>
                        </w:r>
                      </w:p>
                    </w:txbxContent>
                  </v:textbox>
                </v:shape>
                <v:shape id="_x0000_s1026" o:spid="_x0000_s1026" o:spt="109" type="#_x0000_t109" style="position:absolute;left:1306;top:9456;height:2385;width:380;v-text-anchor:middle;" fillcolor="#FFFFFF" filled="t" stroked="t" coordsize="21600,21600" o:gfxdata="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4iys25AAAA2w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inset="1mm,1.27mm,1mm,1.27mm">
                    <w:txbxContent>
                      <w:p w14:paraId="4CBA5619">
                        <w:pPr>
                          <w:rPr>
                            <w:rFonts w:hint="eastAsia"/>
                          </w:rPr>
                        </w:pPr>
                        <w:r>
                          <w:rPr>
                            <w:rFonts w:hint="eastAsia"/>
                          </w:rPr>
                          <w:t>疫苗安全事件</w:t>
                        </w:r>
                      </w:p>
                    </w:txbxContent>
                  </v:textbox>
                </v:shape>
                <v:shape id="_x0000_s1026" o:spid="_x0000_s1026" o:spt="109" type="#_x0000_t109" style="position:absolute;left:2013;top:9573;height:2067;width:380;v-text-anchor:middle;" fillcolor="#FFFFFF" filled="t" stroked="t" coordsize="21600,21600" o:gfxdata="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Fub1a5AAAA2wAA&#10;AA8AAAAAAAAAAQAgAAAAIgAAAGRycy9kb3ducmV2LnhtbFBLAQIUABQAAAAIAIdO4kAzLwWeOwAA&#10;ADkAAAAQAAAAAAAAAAEAIAAAAAgBAABkcnMvc2hhcGV4bWwueG1sUEsFBgAAAAAGAAYAWwEAALID&#10;AAAAAA==&#10;">
                  <v:fill on="t" focussize="0,0"/>
                  <v:stroke weight="1pt" color="#000000" joinstyle="miter"/>
                  <v:imagedata o:title=""/>
                  <o:lock v:ext="edit" aspectratio="f"/>
                  <v:textbox inset="1mm,1.27mm,1mm,1.27mm">
                    <w:txbxContent>
                      <w:p w14:paraId="12823265">
                        <w:pPr>
                          <w:rPr>
                            <w:rFonts w:hint="eastAsia"/>
                          </w:rPr>
                        </w:pPr>
                        <w:r>
                          <w:rPr>
                            <w:rFonts w:hint="eastAsia"/>
                            <w:lang w:eastAsia="zh-CN"/>
                          </w:rPr>
                          <w:t>区</w:t>
                        </w:r>
                        <w:r>
                          <w:rPr>
                            <w:rFonts w:hint="eastAsia"/>
                          </w:rPr>
                          <w:t>人民政府</w:t>
                        </w:r>
                      </w:p>
                    </w:txbxContent>
                  </v:textbox>
                </v:shape>
                <v:line id="_x0000_s1026" o:spid="_x0000_s1026" o:spt="20" style="position:absolute;left:10048;top:5241;flip:y;height:1113;width: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928;top:5248;flip:x;height:0;width:612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714;top:6036;height:0;width:2494;" filled="f" stroked="t" coordsize="21600,21600" o:gfxdata="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1J/q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928;top:5241;height:795;width:0;" filled="f" stroked="t" coordsize="21600,21600" o:gfxdata="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srmK/&#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715;top:6036;height:954;width:0;" filled="f" stroked="t" coordsize="21600,21600" o:gfxdata="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zOhC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5210;top:6036;height:907;width:0;" filled="f" stroked="t" coordsize="21600,21600" o:gfxdata="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b/n4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0048;top:7308;flip:y;height:1590;width:0;" filled="f" stroked="t" coordsize="21600,21600" o:gfxdata="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jHhhe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6899;top:8963;height:0;width:283;" filled="f" stroked="t" coordsize="21600,21600" o:gfxdata="UEsDBAoAAAAAAIdO4kAAAAAAAAAAAAAAAAAEAAAAZHJzL1BLAwQUAAAACACHTuJATVAFUL4AAADb&#10;AAAADwAAAGRycy9kb3ducmV2LnhtbEWPQWvCQBSE7wX/w/IEb3UTh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AFU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923;top:9625;height:0;width:283;" filled="f" stroked="t" coordsize="21600,21600" o:gfxdata="UEsDBAoAAAAAAIdO4kAAAAAAAAAAAAAAAAAEAAAAZHJzL1BLAwQUAAAACACHTuJAvYKbJ78AAADb&#10;AAAADwAAAGRycy9kb3ducmV2LnhtbEWPT2vCQBTE7wW/w/IEb3UTh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2Cmy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936;top:10277;height:0;width:283;" filled="f" stroked="t" coordsize="21600,21600" o:gfxdata="UEsDBAoAAAAAAIdO4kAAAAAAAAAAAAAAAAAEAAAAZHJzL1BLAwQUAAAACACHTuJA0s4+vL4AAADb&#10;AAAADwAAAGRycy9kb3ducmV2LnhtbEWPQWvCQBSE74L/YXmCN91EoY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s4+v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6936;top:10913;height:0;width:283;"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368;top:8966;height:0;width:283;"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368;top:10261;height:0;width:283;"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936;top:11549;height:0;width:283;"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936;top:12143;height:0;width:283;"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368;top:9625;height:0;width:283;"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368;top:11523;height:0;width:283;"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368;top:12211;height:0;width:283;"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5368;top:10890;height:0;width:283;"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368;top:8963;height:3231;width:0;"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971;top:10582;height:0;width:397;" filled="f" stroked="t" coordsize="21600,21600" o:gfxdata="UEsDBAoAAAAAAIdO4kAAAAAAAAAAAAAAAAAEAAAAZHJzL1BLAwQUAAAACACHTuJAS7T5tr4AAADb&#10;AAAADwAAAGRycy9kb3ducmV2LnhtbEWPQWvCQBSE74L/YXlCL2J2jaG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7T5t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4237;top:10579;height:0;width:283;" filled="f" stroked="t" coordsize="21600,21600" o:gfxdata="UEsDBAoAAAAAAIdO4kAAAAAAAAAAAAAAAAAEAAAAZHJzL1BLAwQUAAAACACHTuJAam1wLr8AAADb&#10;AAAADwAAAGRycy9kb3ducmV2LnhtbEWPT2vCQBTE7wW/w/KE3uom0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ptcC6/&#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568;top:10608;height:0;width:283;" filled="f" stroked="t" coordsize="21600,21600" o:gfxdata="UEsDBAoAAAAAAIdO4kAAAAAAAAAAAAAAAAAEAAAAZHJzL1BLAwQUAAAACACHTuJAmr/uWb8AAADb&#10;AAAADwAAAGRycy9kb3ducmV2LnhtbEWPT2vCQBTE74LfYXmCN92kF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q/7l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412;top:10634;height:0;width:283;" filled="f" stroked="t" coordsize="21600,21600" o:gfxdata="UEsDBAoAAAAAAIdO4kAAAAAAAAAAAAAAAAAEAAAAZHJzL1BLAwQUAAAACACHTuJAkI/g8L4AAADb&#10;AAAADwAAAGRycy9kb3ducmV2LnhtbEWPQWvCQBSE7wX/w/IEb3UTw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g8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1718;top:10640;height:0;width:283;" filled="f" stroked="t" coordsize="21600,21600" o:gfxdata="UEsDBAoAAAAAAIdO4kAAAAAAAAAAAAAAAAAEAAAAZHJzL1BLAwQUAAAACACHTuJAYF1+h78AAADb&#10;AAAADwAAAGRycy9kb3ducmV2LnhtbEWPT2vCQBTE7wW/w/IEb3UTw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Bdfoe/&#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441;top:8924;height:0;width:850;" filled="f" stroked="t" coordsize="21600,21600" o:gfxdata="UEsDBAoAAAAAAIdO4kAAAAAAAAAAAAAAAAAEAAAAZHJzL1BLAwQUAAAACACHTuJAQYT3H74AAADb&#10;AAAADwAAAGRycy9kb3ducmV2LnhtbEWPQWvCQBSE74L/YXlCL2J2TbC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T3H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428;top:9615;height:0;width:850;" filled="f" stroked="t" coordsize="21600,21600" o:gfxdata="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5tb2u/&#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8439;top:10251;height:0;width:850;" filled="f" stroked="t" coordsize="21600,21600" o:gfxdata="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HK8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8439;top:10861;height:0;width:850;" filled="f" stroked="t" coordsize="21600,21600" o:gfxdata="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zVI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299;top:8934;height:3288;width:0;" filled="f" stroked="t" coordsize="21600,21600" o:gfxdata="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6/8Ry/&#10;AAAA2wAAAA8AAAAAAAAAAQAgAAAAIgAAAGRycy9kb3ducmV2LnhtbFBLAQIUABQAAAAIAIdO4kAz&#10;LwWeOwAAADkAAAAQAAAAAAAAAAEAIAAAAA4BAABkcnMvc2hhcGV4bWwueG1sUEsFBgAAAAAGAAYA&#10;WwEAALgDAAAAAA==&#10;">
                  <v:fill on="f" focussize="0,0"/>
                  <v:stroke color="#000000" joinstyle="round"/>
                  <v:imagedata o:title=""/>
                  <o:lock v:ext="edit" aspectratio="f"/>
                </v:line>
                <v:line id="_x0000_s1026" o:spid="_x0000_s1026" o:spt="20" style="position:absolute;left:8838;top:11601;height:0;width:454;" filled="f" stroked="t" coordsize="21600,21600" o:gfxdata="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IGVu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9148;top:12237;flip:x;height:0;width:170;" filled="f" stroked="t" coordsize="21600,21600" o:gfxdata="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Fi/t+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9290;top:10530;height:0;width:283;"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2488;top:8262;height:477;width:1440;" fillcolor="#FFFFFF" filled="t" stroked="t" coordsize="21600,21600" o:gfxdata="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IpvB74A&#10;AADbAAAADwAAAAAAAAABACAAAAAiAAAAZHJzL2Rvd25yZXYueG1sUEsBAhQAFAAAAAgAh07iQDMv&#10;BZ47AAAAOQAAABAAAAAAAAAAAQAgAAAADQEAAGRycy9zaGFwZXhtbC54bWxQSwUGAAAAAAYABgBb&#10;AQAAtwMAAAAA&#10;">
                  <v:fill on="t" focussize="0,0"/>
                  <v:stroke weight="0.5pt" color="#FFFFFF" joinstyle="round"/>
                  <v:imagedata o:title=""/>
                  <o:lock v:ext="edit" aspectratio="f"/>
                  <v:textbox>
                    <w:txbxContent>
                      <w:p w14:paraId="0D091144">
                        <w:pPr>
                          <w:rPr>
                            <w:rFonts w:hint="eastAsia"/>
                            <w:color w:val="000000"/>
                            <w:sz w:val="18"/>
                            <w:szCs w:val="18"/>
                          </w:rPr>
                        </w:pPr>
                        <w:r>
                          <w:rPr>
                            <w:rFonts w:hint="eastAsia"/>
                            <w:color w:val="000000"/>
                            <w:sz w:val="18"/>
                            <w:szCs w:val="18"/>
                            <w:lang w:eastAsia="zh-CN"/>
                          </w:rPr>
                          <w:t>区</w:t>
                        </w:r>
                        <w:r>
                          <w:rPr>
                            <w:rFonts w:hint="eastAsia"/>
                            <w:color w:val="000000"/>
                            <w:sz w:val="18"/>
                            <w:szCs w:val="18"/>
                          </w:rPr>
                          <w:t>应急指挥部</w:t>
                        </w:r>
                      </w:p>
                    </w:txbxContent>
                  </v:textbox>
                </v:shape>
                <v:line id="_x0000_s1026" o:spid="_x0000_s1026" o:spt="20" style="position:absolute;left:2705;top:7467;flip:y;height:454;width:0;" filled="f" stroked="t" coordsize="21600,21600" o:gfxdata="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qku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225;top:7467;flip:y;height:454;width:0;" filled="f" stroked="t" coordsize="21600,21600" o:gfxdata="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umN32/&#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2705;top:7944;height:0;width:2520;" filled="f" stroked="t" coordsize="21600,21600" o:gfxdata="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Bpda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030;top:7944;flip:y;height:1590;width:0;" filled="f" stroked="t" coordsize="21600,21600" o:gfxdata="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MKk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6283;top:5282;height:504;width:1230;" fillcolor="#FFFFFF" filled="t" stroked="t" coordsize="21600,21600" o:gfxdata="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cj7L4A&#10;AADbAAAADwAAAAAAAAABACAAAAAiAAAAZHJzL2Rvd25yZXYueG1sUEsBAhQAFAAAAAgAh07iQDMv&#10;BZ47AAAAOQAAABAAAAAAAAAAAQAgAAAADQEAAGRycy9zaGFwZXhtbC54bWxQSwUGAAAAAAYABgBb&#10;AQAAtwMAAAAA&#10;">
                  <v:fill on="t" focussize="0,0"/>
                  <v:stroke weight="0.5pt" color="#FFFFFF" joinstyle="round"/>
                  <v:imagedata o:title=""/>
                  <o:lock v:ext="edit" aspectratio="f"/>
                  <v:textbox inset="0mm,0mm,0mm,0mm">
                    <w:txbxContent>
                      <w:p w14:paraId="568AEEEF">
                        <w:pPr>
                          <w:spacing w:line="240" w:lineRule="exact"/>
                          <w:jc w:val="center"/>
                          <w:rPr>
                            <w:rFonts w:hint="eastAsia"/>
                            <w:color w:val="000000"/>
                            <w:sz w:val="24"/>
                          </w:rPr>
                        </w:pPr>
                        <w:r>
                          <w:rPr>
                            <w:rFonts w:hint="eastAsia"/>
                            <w:color w:val="000000"/>
                            <w:sz w:val="24"/>
                          </w:rPr>
                          <w:t>报送</w:t>
                        </w:r>
                      </w:p>
                    </w:txbxContent>
                  </v:textbox>
                </v:shape>
              </v:group>
            </w:pict>
          </mc:Fallback>
        </mc:AlternateContent>
      </w:r>
    </w:p>
    <w:p w14:paraId="457AE16A">
      <w:pPr>
        <w:pStyle w:val="9"/>
        <w:rPr>
          <w:rFonts w:hint="eastAsia"/>
        </w:rPr>
      </w:pPr>
    </w:p>
    <w:p w14:paraId="6AF35372">
      <w:pPr>
        <w:pStyle w:val="9"/>
        <w:rPr>
          <w:rFonts w:hint="eastAsia"/>
        </w:rPr>
      </w:pPr>
    </w:p>
    <w:p w14:paraId="2DF10E02">
      <w:pPr>
        <w:pStyle w:val="9"/>
        <w:rPr>
          <w:rFonts w:hint="eastAsia"/>
        </w:rPr>
      </w:pPr>
    </w:p>
    <w:p w14:paraId="1EC95FEF">
      <w:pPr>
        <w:pStyle w:val="9"/>
        <w:rPr>
          <w:rFonts w:hint="eastAsia"/>
        </w:rPr>
      </w:pPr>
    </w:p>
    <w:p w14:paraId="6D7D0989">
      <w:pPr>
        <w:pStyle w:val="9"/>
        <w:rPr>
          <w:rFonts w:hint="eastAsia"/>
        </w:rPr>
      </w:pPr>
    </w:p>
    <w:p w14:paraId="248AA2D8">
      <w:pPr>
        <w:pStyle w:val="9"/>
        <w:rPr>
          <w:rFonts w:hint="eastAsia"/>
        </w:rPr>
      </w:pPr>
    </w:p>
    <w:p w14:paraId="45CE6600">
      <w:pPr>
        <w:pStyle w:val="9"/>
        <w:rPr>
          <w:rFonts w:hint="eastAsia"/>
        </w:rPr>
      </w:pPr>
    </w:p>
    <w:p w14:paraId="5EC65760">
      <w:pPr>
        <w:pStyle w:val="9"/>
        <w:rPr>
          <w:rFonts w:hint="eastAsia"/>
        </w:rPr>
      </w:pPr>
    </w:p>
    <w:p w14:paraId="1EF3E914">
      <w:pPr>
        <w:pStyle w:val="9"/>
        <w:rPr>
          <w:rFonts w:hint="eastAsia"/>
        </w:rPr>
      </w:pPr>
    </w:p>
    <w:p w14:paraId="5A82A003">
      <w:pPr>
        <w:pStyle w:val="9"/>
        <w:rPr>
          <w:rFonts w:hint="eastAsia"/>
        </w:rPr>
      </w:pPr>
    </w:p>
    <w:p w14:paraId="3012BCBB">
      <w:pPr>
        <w:spacing w:line="560" w:lineRule="exact"/>
        <w:rPr>
          <w:rFonts w:hint="eastAsia" w:ascii="仿宋_GB2312" w:eastAsia="仿宋_GB2312"/>
          <w:sz w:val="32"/>
          <w:szCs w:val="32"/>
        </w:rPr>
      </w:pPr>
    </w:p>
    <w:p w14:paraId="1BD43EE3">
      <w:pPr>
        <w:spacing w:line="560" w:lineRule="exact"/>
        <w:rPr>
          <w:rFonts w:hint="eastAsia" w:ascii="仿宋_GB2312" w:eastAsia="仿宋_GB2312"/>
          <w:sz w:val="32"/>
          <w:szCs w:val="32"/>
        </w:rPr>
      </w:pPr>
    </w:p>
    <w:p w14:paraId="72FBBD3E">
      <w:pPr>
        <w:spacing w:line="560" w:lineRule="exact"/>
        <w:rPr>
          <w:rFonts w:hint="eastAsia" w:ascii="仿宋_GB2312" w:eastAsia="仿宋_GB2312"/>
          <w:sz w:val="32"/>
          <w:szCs w:val="32"/>
        </w:rPr>
      </w:pPr>
    </w:p>
    <w:p w14:paraId="7FC31802">
      <w:pPr>
        <w:pStyle w:val="3"/>
        <w:ind w:firstLine="1320" w:firstLineChars="300"/>
        <w:rPr>
          <w:rFonts w:hint="eastAsia" w:ascii="方正小标宋简体" w:hAnsi="方正小标宋简体" w:eastAsia="方正小标宋简体" w:cs="方正小标宋简体"/>
          <w:sz w:val="44"/>
          <w:szCs w:val="44"/>
        </w:rPr>
      </w:pPr>
    </w:p>
    <w:sectPr>
      <w:footerReference r:id="rId11" w:type="default"/>
      <w:pgSz w:w="11910" w:h="16840"/>
      <w:pgMar w:top="1580" w:right="820" w:bottom="280" w:left="1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6AA62">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5953760</wp:posOffset>
              </wp:positionH>
              <wp:positionV relativeFrom="page">
                <wp:posOffset>9766935</wp:posOffset>
              </wp:positionV>
              <wp:extent cx="470535" cy="205740"/>
              <wp:effectExtent l="0" t="0" r="0" b="0"/>
              <wp:wrapNone/>
              <wp:docPr id="47" name="文本框 1"/>
              <wp:cNvGraphicFramePr/>
              <a:graphic xmlns:a="http://schemas.openxmlformats.org/drawingml/2006/main">
                <a:graphicData uri="http://schemas.microsoft.com/office/word/2010/wordprocessingShape">
                  <wps:wsp>
                    <wps:cNvSpPr txBox="1"/>
                    <wps:spPr>
                      <a:xfrm>
                        <a:off x="0" y="0"/>
                        <a:ext cx="470535" cy="205740"/>
                      </a:xfrm>
                      <a:prstGeom prst="rect">
                        <a:avLst/>
                      </a:prstGeom>
                      <a:noFill/>
                      <a:ln>
                        <a:noFill/>
                      </a:ln>
                    </wps:spPr>
                    <wps:txbx>
                      <w:txbxContent>
                        <w:p w14:paraId="6E752558">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w:t>
                          </w:r>
                          <w:r>
                            <w:fldChar w:fldCharType="end"/>
                          </w:r>
                          <w:r>
                            <w:rPr>
                              <w:sz w:val="28"/>
                            </w:rPr>
                            <w:t>－</w:t>
                          </w:r>
                        </w:p>
                      </w:txbxContent>
                    </wps:txbx>
                    <wps:bodyPr lIns="0" tIns="0" rIns="0" bIns="0" upright="1"/>
                  </wps:wsp>
                </a:graphicData>
              </a:graphic>
            </wp:anchor>
          </w:drawing>
        </mc:Choice>
        <mc:Fallback>
          <w:pict>
            <v:shape id="文本框 1" o:spid="_x0000_s1026" o:spt="202" type="#_x0000_t202" style="position:absolute;left:0pt;margin-left:468.8pt;margin-top:769.05pt;height:16.2pt;width:37.05pt;mso-position-horizontal-relative:page;mso-position-vertical-relative:page;z-index:-251657216;mso-width-relative:page;mso-height-relative:page;" filled="f" stroked="f" coordsize="21600,21600" o:gfxdata="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3Q+RCtsAAAAOAQAADwAAAAAAAAABACAAAAAiAAAAZHJzL2Rvd25yZXYueG1s&#10;UEsBAhQAFAAAAAgAh07iQKAuE+68AQAAcgMAAA4AAAAAAAAAAQAgAAAAKgEAAGRycy9lMm9Eb2Mu&#10;eG1sUEsFBgAAAAAGAAYAWQEAAFgFAAAAAA==&#10;">
              <v:fill on="f" focussize="0,0"/>
              <v:stroke on="f"/>
              <v:imagedata o:title=""/>
              <o:lock v:ext="edit" aspectratio="f"/>
              <v:textbox inset="0mm,0mm,0mm,0mm">
                <w:txbxContent>
                  <w:p w14:paraId="6E752558">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w:t>
                    </w:r>
                    <w:r>
                      <w:fldChar w:fldCharType="end"/>
                    </w:r>
                    <w:r>
                      <w:rPr>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07403">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9766935</wp:posOffset>
              </wp:positionV>
              <wp:extent cx="470535" cy="205740"/>
              <wp:effectExtent l="0" t="0" r="0" b="0"/>
              <wp:wrapNone/>
              <wp:docPr id="48" name="文本框 2"/>
              <wp:cNvGraphicFramePr/>
              <a:graphic xmlns:a="http://schemas.openxmlformats.org/drawingml/2006/main">
                <a:graphicData uri="http://schemas.microsoft.com/office/word/2010/wordprocessingShape">
                  <wps:wsp>
                    <wps:cNvSpPr txBox="1"/>
                    <wps:spPr>
                      <a:xfrm>
                        <a:off x="0" y="0"/>
                        <a:ext cx="470535" cy="205740"/>
                      </a:xfrm>
                      <a:prstGeom prst="rect">
                        <a:avLst/>
                      </a:prstGeom>
                      <a:noFill/>
                      <a:ln>
                        <a:noFill/>
                      </a:ln>
                    </wps:spPr>
                    <wps:txbx>
                      <w:txbxContent>
                        <w:p w14:paraId="3BEABDDF">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2</w:t>
                          </w:r>
                          <w:r>
                            <w:fldChar w:fldCharType="end"/>
                          </w:r>
                          <w:r>
                            <w:rPr>
                              <w:sz w:val="28"/>
                            </w:rPr>
                            <w:t>－</w:t>
                          </w:r>
                        </w:p>
                      </w:txbxContent>
                    </wps:txbx>
                    <wps:bodyPr lIns="0" tIns="0" rIns="0" bIns="0" upright="1"/>
                  </wps:wsp>
                </a:graphicData>
              </a:graphic>
            </wp:anchor>
          </w:drawing>
        </mc:Choice>
        <mc:Fallback>
          <w:pict>
            <v:shape id="文本框 2" o:spid="_x0000_s1026" o:spt="202" type="#_x0000_t202" style="position:absolute;left:0pt;margin-left:75.55pt;margin-top:769.05pt;height:16.2pt;width:37.05pt;mso-position-horizontal-relative:page;mso-position-vertical-relative:page;z-index:-251656192;mso-width-relative:page;mso-height-relative:page;" filled="f" stroked="f" coordsize="21600,21600" o:gfxdata="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IAC7NkAAAANAQAADwAAAAAAAAABACAAAAAiAAAAZHJzL2Rvd25yZXYueG1sUEsB&#10;AhQAFAAAAAgAh07iQMwLL0G7AQAAcgMAAA4AAAAAAAAAAQAgAAAAKAEAAGRycy9lMm9Eb2MueG1s&#10;UEsFBgAAAAAGAAYAWQEAAFUFAAAAAA==&#10;">
              <v:fill on="f" focussize="0,0"/>
              <v:stroke on="f"/>
              <v:imagedata o:title=""/>
              <o:lock v:ext="edit" aspectratio="f"/>
              <v:textbox inset="0mm,0mm,0mm,0mm">
                <w:txbxContent>
                  <w:p w14:paraId="3BEABDDF">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2</w:t>
                    </w:r>
                    <w:r>
                      <w:fldChar w:fldCharType="end"/>
                    </w:r>
                    <w:r>
                      <w:rPr>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9C881">
    <w:pPr>
      <w:pStyle w:val="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5863590</wp:posOffset>
              </wp:positionH>
              <wp:positionV relativeFrom="page">
                <wp:posOffset>9766935</wp:posOffset>
              </wp:positionV>
              <wp:extent cx="560705" cy="205740"/>
              <wp:effectExtent l="0" t="0" r="0" b="0"/>
              <wp:wrapNone/>
              <wp:docPr id="72" name="文本框 4"/>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wps:spPr>
                    <wps:txbx>
                      <w:txbxContent>
                        <w:p w14:paraId="04ADE390">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13</w:t>
                          </w:r>
                          <w:r>
                            <w:fldChar w:fldCharType="end"/>
                          </w:r>
                          <w:r>
                            <w:rPr>
                              <w:sz w:val="28"/>
                            </w:rPr>
                            <w:t>－</w:t>
                          </w:r>
                        </w:p>
                      </w:txbxContent>
                    </wps:txbx>
                    <wps:bodyPr lIns="0" tIns="0" rIns="0" bIns="0" upright="1"/>
                  </wps:wsp>
                </a:graphicData>
              </a:graphic>
            </wp:anchor>
          </w:drawing>
        </mc:Choice>
        <mc:Fallback>
          <w:pict>
            <v:shape id="文本框 4" o:spid="_x0000_s1026" o:spt="202" type="#_x0000_t202" style="position:absolute;left:0pt;margin-left:461.7pt;margin-top:769.05pt;height:16.2pt;width:44.15pt;mso-position-horizontal-relative:page;mso-position-vertical-relative:page;z-index:-251651072;mso-width-relative:page;mso-height-relative:page;" filled="f" stroked="f" coordsize="21600,21600" o:gfxdata="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sk5eNsAAAAOAQAADwAAAAAAAAABACAAAAAiAAAAZHJzL2Rvd25yZXYueG1s&#10;UEsBAhQAFAAAAAgAh07iQMsJyQi8AQAAcgMAAA4AAAAAAAAAAQAgAAAAKgEAAGRycy9lMm9Eb2Mu&#10;eG1sUEsFBgAAAAAGAAYAWQEAAFgFAAAAAA==&#10;">
              <v:fill on="f" focussize="0,0"/>
              <v:stroke on="f"/>
              <v:imagedata o:title=""/>
              <o:lock v:ext="edit" aspectratio="f"/>
              <v:textbox inset="0mm,0mm,0mm,0mm">
                <w:txbxContent>
                  <w:p w14:paraId="04ADE390">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13</w:t>
                    </w:r>
                    <w:r>
                      <w:fldChar w:fldCharType="end"/>
                    </w:r>
                    <w:r>
                      <w:rPr>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C2A3E">
    <w:pPr>
      <w:pStyle w:val="3"/>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959485</wp:posOffset>
              </wp:positionH>
              <wp:positionV relativeFrom="page">
                <wp:posOffset>9766935</wp:posOffset>
              </wp:positionV>
              <wp:extent cx="559435" cy="205740"/>
              <wp:effectExtent l="0" t="0" r="0" b="0"/>
              <wp:wrapNone/>
              <wp:docPr id="73" name="文本框 3"/>
              <wp:cNvGraphicFramePr/>
              <a:graphic xmlns:a="http://schemas.openxmlformats.org/drawingml/2006/main">
                <a:graphicData uri="http://schemas.microsoft.com/office/word/2010/wordprocessingShape">
                  <wps:wsp>
                    <wps:cNvSpPr txBox="1"/>
                    <wps:spPr>
                      <a:xfrm>
                        <a:off x="0" y="0"/>
                        <a:ext cx="559435" cy="205740"/>
                      </a:xfrm>
                      <a:prstGeom prst="rect">
                        <a:avLst/>
                      </a:prstGeom>
                      <a:noFill/>
                      <a:ln>
                        <a:noFill/>
                      </a:ln>
                    </wps:spPr>
                    <wps:txbx>
                      <w:txbxContent>
                        <w:p w14:paraId="5FE8E65D">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wps:txbx>
                    <wps:bodyPr lIns="0" tIns="0" rIns="0" bIns="0" upright="1"/>
                  </wps:wsp>
                </a:graphicData>
              </a:graphic>
            </wp:anchor>
          </w:drawing>
        </mc:Choice>
        <mc:Fallback>
          <w:pict>
            <v:shape id="文本框 3" o:spid="_x0000_s1026" o:spt="202" type="#_x0000_t202" style="position:absolute;left:0pt;margin-left:75.55pt;margin-top:769.05pt;height:16.2pt;width:44.05pt;mso-position-horizontal-relative:page;mso-position-vertical-relative:page;z-index:-251652096;mso-width-relative:page;mso-height-relative:page;" filled="f" stroked="f" coordsize="21600,21600" o:gfxdata="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PoQK9oAAAANAQAADwAAAAAAAAABACAAAAAiAAAAZHJzL2Rvd25yZXYueG1s&#10;UEsBAhQAFAAAAAgAh07iQIa7Sda9AQAAcgMAAA4AAAAAAAAAAQAgAAAAKQEAAGRycy9lMm9Eb2Mu&#10;eG1sUEsFBgAAAAAGAAYAWQEAAFgFAAAAAA==&#10;">
              <v:fill on="f" focussize="0,0"/>
              <v:stroke on="f"/>
              <v:imagedata o:title=""/>
              <o:lock v:ext="edit" aspectratio="f"/>
              <v:textbox inset="0mm,0mm,0mm,0mm">
                <w:txbxContent>
                  <w:p w14:paraId="5FE8E65D">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B3A8">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5863590</wp:posOffset>
              </wp:positionH>
              <wp:positionV relativeFrom="page">
                <wp:posOffset>9766935</wp:posOffset>
              </wp:positionV>
              <wp:extent cx="560705" cy="205740"/>
              <wp:effectExtent l="0" t="0" r="0" b="0"/>
              <wp:wrapNone/>
              <wp:docPr id="50" name="文本框 4"/>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wps:spPr>
                    <wps:txbx>
                      <w:txbxContent>
                        <w:p w14:paraId="2224AB8D">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13</w:t>
                          </w:r>
                          <w:r>
                            <w:fldChar w:fldCharType="end"/>
                          </w:r>
                          <w:r>
                            <w:rPr>
                              <w:sz w:val="28"/>
                            </w:rPr>
                            <w:t>－</w:t>
                          </w:r>
                        </w:p>
                      </w:txbxContent>
                    </wps:txbx>
                    <wps:bodyPr lIns="0" tIns="0" rIns="0" bIns="0" upright="1"/>
                  </wps:wsp>
                </a:graphicData>
              </a:graphic>
            </wp:anchor>
          </w:drawing>
        </mc:Choice>
        <mc:Fallback>
          <w:pict>
            <v:shape id="文本框 4" o:spid="_x0000_s1026" o:spt="202" type="#_x0000_t202" style="position:absolute;left:0pt;margin-left:461.7pt;margin-top:769.05pt;height:16.2pt;width:44.15pt;mso-position-horizontal-relative:page;mso-position-vertical-relative:page;z-index:-251654144;mso-width-relative:page;mso-height-relative:page;" filled="f" stroked="f" coordsize="21600,21600" o:gfxdata="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uyTl42wAAAA4BAAAPAAAAAAAAAAEAIAAAACIAAABkcnMvZG93bnJldi54bWxQ&#10;SwECFAAUAAAACACHTuJAqxPm/rsBAAByAwAADgAAAAAAAAABACAAAAAqAQAAZHJzL2Uyb0RvYy54&#10;bWxQSwUGAAAAAAYABgBZAQAAVwUAAAAA&#10;">
              <v:fill on="f" focussize="0,0"/>
              <v:stroke on="f"/>
              <v:imagedata o:title=""/>
              <o:lock v:ext="edit" aspectratio="f"/>
              <v:textbox inset="0mm,0mm,0mm,0mm">
                <w:txbxContent>
                  <w:p w14:paraId="2224AB8D">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13</w:t>
                    </w:r>
                    <w:r>
                      <w:fldChar w:fldCharType="end"/>
                    </w:r>
                    <w:r>
                      <w:rPr>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744D">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959485</wp:posOffset>
              </wp:positionH>
              <wp:positionV relativeFrom="page">
                <wp:posOffset>9766935</wp:posOffset>
              </wp:positionV>
              <wp:extent cx="559435" cy="205740"/>
              <wp:effectExtent l="0" t="0" r="0" b="0"/>
              <wp:wrapNone/>
              <wp:docPr id="49" name="文本框 3"/>
              <wp:cNvGraphicFramePr/>
              <a:graphic xmlns:a="http://schemas.openxmlformats.org/drawingml/2006/main">
                <a:graphicData uri="http://schemas.microsoft.com/office/word/2010/wordprocessingShape">
                  <wps:wsp>
                    <wps:cNvSpPr txBox="1"/>
                    <wps:spPr>
                      <a:xfrm>
                        <a:off x="0" y="0"/>
                        <a:ext cx="559435" cy="205740"/>
                      </a:xfrm>
                      <a:prstGeom prst="rect">
                        <a:avLst/>
                      </a:prstGeom>
                      <a:noFill/>
                      <a:ln>
                        <a:noFill/>
                      </a:ln>
                    </wps:spPr>
                    <wps:txbx>
                      <w:txbxContent>
                        <w:p w14:paraId="378154AE">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wps:txbx>
                    <wps:bodyPr lIns="0" tIns="0" rIns="0" bIns="0" upright="1"/>
                  </wps:wsp>
                </a:graphicData>
              </a:graphic>
            </wp:anchor>
          </w:drawing>
        </mc:Choice>
        <mc:Fallback>
          <w:pict>
            <v:shape id="文本框 3" o:spid="_x0000_s1026" o:spt="202" type="#_x0000_t202" style="position:absolute;left:0pt;margin-left:75.55pt;margin-top:769.05pt;height:16.2pt;width:44.05pt;mso-position-horizontal-relative:page;mso-position-vertical-relative:page;z-index:-251655168;mso-width-relative:page;mso-height-relative:page;" filled="f" stroked="f" coordsize="21600,21600" o:gfxdata="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PoQK9oAAAANAQAADwAAAAAAAAABACAAAAAiAAAAZHJzL2Rvd25yZXYueG1s&#10;UEsBAhQAFAAAAAgAh07iQBHKKEu9AQAAcgMAAA4AAAAAAAAAAQAgAAAAKQEAAGRycy9lMm9Eb2Mu&#10;eG1sUEsFBgAAAAAGAAYAWQEAAFgFAAAAAA==&#10;">
              <v:fill on="f" focussize="0,0"/>
              <v:stroke on="f"/>
              <v:imagedata o:title=""/>
              <o:lock v:ext="edit" aspectratio="f"/>
              <v:textbox inset="0mm,0mm,0mm,0mm">
                <w:txbxContent>
                  <w:p w14:paraId="378154AE">
                    <w:pPr>
                      <w:spacing w:before="0" w:line="323" w:lineRule="exact"/>
                      <w:ind w:left="20" w:right="0" w:firstLine="0"/>
                      <w:jc w:val="left"/>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5A57">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31" w:hanging="804"/>
        <w:jc w:val="left"/>
      </w:pPr>
      <w:rPr>
        <w:rFonts w:hint="default" w:ascii="宋体" w:hAnsi="宋体" w:eastAsia="宋体" w:cs="宋体"/>
        <w:w w:val="99"/>
        <w:sz w:val="30"/>
        <w:szCs w:val="30"/>
      </w:rPr>
    </w:lvl>
    <w:lvl w:ilvl="1" w:tentative="0">
      <w:start w:val="0"/>
      <w:numFmt w:val="bullet"/>
      <w:lvlText w:val="•"/>
      <w:lvlJc w:val="left"/>
      <w:pPr>
        <w:ind w:left="1094" w:hanging="804"/>
      </w:pPr>
      <w:rPr>
        <w:rFonts w:hint="default"/>
      </w:rPr>
    </w:lvl>
    <w:lvl w:ilvl="2" w:tentative="0">
      <w:start w:val="0"/>
      <w:numFmt w:val="bullet"/>
      <w:lvlText w:val="•"/>
      <w:lvlJc w:val="left"/>
      <w:pPr>
        <w:ind w:left="2049" w:hanging="804"/>
      </w:pPr>
      <w:rPr>
        <w:rFonts w:hint="default"/>
      </w:rPr>
    </w:lvl>
    <w:lvl w:ilvl="3" w:tentative="0">
      <w:start w:val="0"/>
      <w:numFmt w:val="bullet"/>
      <w:lvlText w:val="•"/>
      <w:lvlJc w:val="left"/>
      <w:pPr>
        <w:ind w:left="3003" w:hanging="804"/>
      </w:pPr>
      <w:rPr>
        <w:rFonts w:hint="default"/>
      </w:rPr>
    </w:lvl>
    <w:lvl w:ilvl="4" w:tentative="0">
      <w:start w:val="0"/>
      <w:numFmt w:val="bullet"/>
      <w:lvlText w:val="•"/>
      <w:lvlJc w:val="left"/>
      <w:pPr>
        <w:ind w:left="3958" w:hanging="804"/>
      </w:pPr>
      <w:rPr>
        <w:rFonts w:hint="default"/>
      </w:rPr>
    </w:lvl>
    <w:lvl w:ilvl="5" w:tentative="0">
      <w:start w:val="0"/>
      <w:numFmt w:val="bullet"/>
      <w:lvlText w:val="•"/>
      <w:lvlJc w:val="left"/>
      <w:pPr>
        <w:ind w:left="4912" w:hanging="804"/>
      </w:pPr>
      <w:rPr>
        <w:rFonts w:hint="default"/>
      </w:rPr>
    </w:lvl>
    <w:lvl w:ilvl="6" w:tentative="0">
      <w:start w:val="0"/>
      <w:numFmt w:val="bullet"/>
      <w:lvlText w:val="•"/>
      <w:lvlJc w:val="left"/>
      <w:pPr>
        <w:ind w:left="5867" w:hanging="804"/>
      </w:pPr>
      <w:rPr>
        <w:rFonts w:hint="default"/>
      </w:rPr>
    </w:lvl>
    <w:lvl w:ilvl="7" w:tentative="0">
      <w:start w:val="0"/>
      <w:numFmt w:val="bullet"/>
      <w:lvlText w:val="•"/>
      <w:lvlJc w:val="left"/>
      <w:pPr>
        <w:ind w:left="6821" w:hanging="804"/>
      </w:pPr>
      <w:rPr>
        <w:rFonts w:hint="default"/>
      </w:rPr>
    </w:lvl>
    <w:lvl w:ilvl="8" w:tentative="0">
      <w:start w:val="0"/>
      <w:numFmt w:val="bullet"/>
      <w:lvlText w:val="•"/>
      <w:lvlJc w:val="left"/>
      <w:pPr>
        <w:ind w:left="7776" w:hanging="804"/>
      </w:pPr>
      <w:rPr>
        <w:rFonts w:hint="default"/>
      </w:rPr>
    </w:lvl>
  </w:abstractNum>
  <w:abstractNum w:abstractNumId="1">
    <w:nsid w:val="BF205925"/>
    <w:multiLevelType w:val="multilevel"/>
    <w:tmpl w:val="BF205925"/>
    <w:lvl w:ilvl="0" w:tentative="0">
      <w:start w:val="3"/>
      <w:numFmt w:val="decimal"/>
      <w:lvlText w:val="（%1）"/>
      <w:lvlJc w:val="left"/>
      <w:pPr>
        <w:ind w:left="1572" w:hanging="800"/>
        <w:jc w:val="left"/>
      </w:pPr>
      <w:rPr>
        <w:rFonts w:hint="default" w:ascii="宋体" w:hAnsi="宋体" w:eastAsia="宋体" w:cs="宋体"/>
        <w:w w:val="99"/>
        <w:sz w:val="30"/>
        <w:szCs w:val="30"/>
      </w:rPr>
    </w:lvl>
    <w:lvl w:ilvl="1" w:tentative="0">
      <w:start w:val="0"/>
      <w:numFmt w:val="bullet"/>
      <w:lvlText w:val="•"/>
      <w:lvlJc w:val="left"/>
      <w:pPr>
        <w:ind w:left="2390" w:hanging="800"/>
      </w:pPr>
      <w:rPr>
        <w:rFonts w:hint="default"/>
      </w:rPr>
    </w:lvl>
    <w:lvl w:ilvl="2" w:tentative="0">
      <w:start w:val="0"/>
      <w:numFmt w:val="bullet"/>
      <w:lvlText w:val="•"/>
      <w:lvlJc w:val="left"/>
      <w:pPr>
        <w:ind w:left="3201" w:hanging="800"/>
      </w:pPr>
      <w:rPr>
        <w:rFonts w:hint="default"/>
      </w:rPr>
    </w:lvl>
    <w:lvl w:ilvl="3" w:tentative="0">
      <w:start w:val="0"/>
      <w:numFmt w:val="bullet"/>
      <w:lvlText w:val="•"/>
      <w:lvlJc w:val="left"/>
      <w:pPr>
        <w:ind w:left="4011" w:hanging="800"/>
      </w:pPr>
      <w:rPr>
        <w:rFonts w:hint="default"/>
      </w:rPr>
    </w:lvl>
    <w:lvl w:ilvl="4" w:tentative="0">
      <w:start w:val="0"/>
      <w:numFmt w:val="bullet"/>
      <w:lvlText w:val="•"/>
      <w:lvlJc w:val="left"/>
      <w:pPr>
        <w:ind w:left="4822" w:hanging="800"/>
      </w:pPr>
      <w:rPr>
        <w:rFonts w:hint="default"/>
      </w:rPr>
    </w:lvl>
    <w:lvl w:ilvl="5" w:tentative="0">
      <w:start w:val="0"/>
      <w:numFmt w:val="bullet"/>
      <w:lvlText w:val="•"/>
      <w:lvlJc w:val="left"/>
      <w:pPr>
        <w:ind w:left="5632" w:hanging="800"/>
      </w:pPr>
      <w:rPr>
        <w:rFonts w:hint="default"/>
      </w:rPr>
    </w:lvl>
    <w:lvl w:ilvl="6" w:tentative="0">
      <w:start w:val="0"/>
      <w:numFmt w:val="bullet"/>
      <w:lvlText w:val="•"/>
      <w:lvlJc w:val="left"/>
      <w:pPr>
        <w:ind w:left="6443" w:hanging="800"/>
      </w:pPr>
      <w:rPr>
        <w:rFonts w:hint="default"/>
      </w:rPr>
    </w:lvl>
    <w:lvl w:ilvl="7" w:tentative="0">
      <w:start w:val="0"/>
      <w:numFmt w:val="bullet"/>
      <w:lvlText w:val="•"/>
      <w:lvlJc w:val="left"/>
      <w:pPr>
        <w:ind w:left="7253" w:hanging="800"/>
      </w:pPr>
      <w:rPr>
        <w:rFonts w:hint="default"/>
      </w:rPr>
    </w:lvl>
    <w:lvl w:ilvl="8" w:tentative="0">
      <w:start w:val="0"/>
      <w:numFmt w:val="bullet"/>
      <w:lvlText w:val="•"/>
      <w:lvlJc w:val="left"/>
      <w:pPr>
        <w:ind w:left="8064" w:hanging="800"/>
      </w:pPr>
      <w:rPr>
        <w:rFonts w:hint="default"/>
      </w:rPr>
    </w:lvl>
  </w:abstractNum>
  <w:abstractNum w:abstractNumId="2">
    <w:nsid w:val="CF092B84"/>
    <w:multiLevelType w:val="multilevel"/>
    <w:tmpl w:val="CF092B84"/>
    <w:lvl w:ilvl="0" w:tentative="0">
      <w:start w:val="1"/>
      <w:numFmt w:val="decimal"/>
      <w:lvlText w:val="%1"/>
      <w:lvlJc w:val="left"/>
      <w:pPr>
        <w:ind w:left="1252" w:hanging="480"/>
        <w:jc w:val="left"/>
      </w:pPr>
      <w:rPr>
        <w:rFonts w:hint="default" w:ascii="楷体_GB2312" w:hAnsi="楷体_GB2312" w:eastAsia="楷体_GB2312" w:cs="楷体_GB2312"/>
        <w:w w:val="99"/>
        <w:sz w:val="32"/>
        <w:szCs w:val="32"/>
      </w:rPr>
    </w:lvl>
    <w:lvl w:ilvl="1" w:tentative="0">
      <w:start w:val="1"/>
      <w:numFmt w:val="decimal"/>
      <w:lvlText w:val="%1.%2"/>
      <w:lvlJc w:val="left"/>
      <w:pPr>
        <w:ind w:left="1331" w:hanging="560"/>
        <w:jc w:val="left"/>
      </w:pPr>
      <w:rPr>
        <w:rFonts w:hint="default" w:ascii="楷体_GB2312" w:hAnsi="楷体_GB2312" w:eastAsia="楷体_GB2312" w:cs="楷体_GB2312"/>
        <w:spacing w:val="-81"/>
        <w:w w:val="99"/>
        <w:sz w:val="32"/>
        <w:szCs w:val="32"/>
      </w:rPr>
    </w:lvl>
    <w:lvl w:ilvl="2" w:tentative="0">
      <w:start w:val="1"/>
      <w:numFmt w:val="decimal"/>
      <w:lvlText w:val="%1.%2.%3"/>
      <w:lvlJc w:val="left"/>
      <w:pPr>
        <w:ind w:left="1571" w:hanging="800"/>
        <w:jc w:val="left"/>
      </w:pPr>
      <w:rPr>
        <w:rFonts w:hint="default" w:ascii="楷体_GB2312" w:hAnsi="楷体_GB2312" w:eastAsia="楷体_GB2312" w:cs="楷体_GB2312"/>
        <w:color w:val="auto"/>
        <w:spacing w:val="-81"/>
        <w:w w:val="99"/>
        <w:sz w:val="32"/>
        <w:szCs w:val="32"/>
      </w:rPr>
    </w:lvl>
    <w:lvl w:ilvl="3" w:tentative="0">
      <w:start w:val="0"/>
      <w:numFmt w:val="bullet"/>
      <w:lvlText w:val="•"/>
      <w:lvlJc w:val="left"/>
      <w:pPr>
        <w:ind w:left="1580" w:hanging="800"/>
      </w:pPr>
      <w:rPr>
        <w:rFonts w:hint="default"/>
      </w:rPr>
    </w:lvl>
    <w:lvl w:ilvl="4" w:tentative="0">
      <w:start w:val="0"/>
      <w:numFmt w:val="bullet"/>
      <w:lvlText w:val="•"/>
      <w:lvlJc w:val="left"/>
      <w:pPr>
        <w:ind w:left="2737" w:hanging="800"/>
      </w:pPr>
      <w:rPr>
        <w:rFonts w:hint="default"/>
      </w:rPr>
    </w:lvl>
    <w:lvl w:ilvl="5" w:tentative="0">
      <w:start w:val="0"/>
      <w:numFmt w:val="bullet"/>
      <w:lvlText w:val="•"/>
      <w:lvlJc w:val="left"/>
      <w:pPr>
        <w:ind w:left="3895" w:hanging="800"/>
      </w:pPr>
      <w:rPr>
        <w:rFonts w:hint="default"/>
      </w:rPr>
    </w:lvl>
    <w:lvl w:ilvl="6" w:tentative="0">
      <w:start w:val="0"/>
      <w:numFmt w:val="bullet"/>
      <w:lvlText w:val="•"/>
      <w:lvlJc w:val="left"/>
      <w:pPr>
        <w:ind w:left="5053" w:hanging="800"/>
      </w:pPr>
      <w:rPr>
        <w:rFonts w:hint="default"/>
      </w:rPr>
    </w:lvl>
    <w:lvl w:ilvl="7" w:tentative="0">
      <w:start w:val="0"/>
      <w:numFmt w:val="bullet"/>
      <w:lvlText w:val="•"/>
      <w:lvlJc w:val="left"/>
      <w:pPr>
        <w:ind w:left="6211" w:hanging="800"/>
      </w:pPr>
      <w:rPr>
        <w:rFonts w:hint="default"/>
      </w:rPr>
    </w:lvl>
    <w:lvl w:ilvl="8" w:tentative="0">
      <w:start w:val="0"/>
      <w:numFmt w:val="bullet"/>
      <w:lvlText w:val="•"/>
      <w:lvlJc w:val="left"/>
      <w:pPr>
        <w:ind w:left="7369" w:hanging="800"/>
      </w:pPr>
      <w:rPr>
        <w:rFonts w:hint="default"/>
      </w:rPr>
    </w:lvl>
  </w:abstractNum>
  <w:abstractNum w:abstractNumId="3">
    <w:nsid w:val="0053208E"/>
    <w:multiLevelType w:val="multilevel"/>
    <w:tmpl w:val="0053208E"/>
    <w:lvl w:ilvl="0" w:tentative="0">
      <w:start w:val="1"/>
      <w:numFmt w:val="decimal"/>
      <w:lvlText w:val="%1"/>
      <w:lvlJc w:val="left"/>
      <w:pPr>
        <w:ind w:left="1252" w:hanging="480"/>
        <w:jc w:val="left"/>
      </w:pPr>
      <w:rPr>
        <w:rFonts w:hint="default" w:ascii="宋体" w:hAnsi="宋体" w:eastAsia="宋体" w:cs="宋体"/>
        <w:w w:val="99"/>
        <w:sz w:val="32"/>
        <w:szCs w:val="32"/>
      </w:rPr>
    </w:lvl>
    <w:lvl w:ilvl="1" w:tentative="0">
      <w:start w:val="1"/>
      <w:numFmt w:val="decimal"/>
      <w:lvlText w:val="%1.%2"/>
      <w:lvlJc w:val="left"/>
      <w:pPr>
        <w:ind w:left="1492" w:hanging="720"/>
        <w:jc w:val="left"/>
      </w:pPr>
      <w:rPr>
        <w:rFonts w:hint="default" w:ascii="宋体" w:hAnsi="宋体" w:eastAsia="宋体" w:cs="宋体"/>
        <w:spacing w:val="-81"/>
        <w:w w:val="99"/>
        <w:sz w:val="32"/>
        <w:szCs w:val="32"/>
      </w:rPr>
    </w:lvl>
    <w:lvl w:ilvl="2" w:tentative="0">
      <w:start w:val="0"/>
      <w:numFmt w:val="bullet"/>
      <w:lvlText w:val="•"/>
      <w:lvlJc w:val="left"/>
      <w:pPr>
        <w:ind w:left="1500" w:hanging="720"/>
      </w:pPr>
      <w:rPr>
        <w:rFonts w:hint="default"/>
      </w:rPr>
    </w:lvl>
    <w:lvl w:ilvl="3" w:tentative="0">
      <w:start w:val="0"/>
      <w:numFmt w:val="bullet"/>
      <w:lvlText w:val="•"/>
      <w:lvlJc w:val="left"/>
      <w:pPr>
        <w:ind w:left="2523" w:hanging="720"/>
      </w:pPr>
      <w:rPr>
        <w:rFonts w:hint="default"/>
      </w:rPr>
    </w:lvl>
    <w:lvl w:ilvl="4" w:tentative="0">
      <w:start w:val="0"/>
      <w:numFmt w:val="bullet"/>
      <w:lvlText w:val="•"/>
      <w:lvlJc w:val="left"/>
      <w:pPr>
        <w:ind w:left="3546" w:hanging="720"/>
      </w:pPr>
      <w:rPr>
        <w:rFonts w:hint="default"/>
      </w:rPr>
    </w:lvl>
    <w:lvl w:ilvl="5" w:tentative="0">
      <w:start w:val="0"/>
      <w:numFmt w:val="bullet"/>
      <w:lvlText w:val="•"/>
      <w:lvlJc w:val="left"/>
      <w:pPr>
        <w:ind w:left="4569" w:hanging="720"/>
      </w:pPr>
      <w:rPr>
        <w:rFonts w:hint="default"/>
      </w:rPr>
    </w:lvl>
    <w:lvl w:ilvl="6" w:tentative="0">
      <w:start w:val="0"/>
      <w:numFmt w:val="bullet"/>
      <w:lvlText w:val="•"/>
      <w:lvlJc w:val="left"/>
      <w:pPr>
        <w:ind w:left="5592" w:hanging="720"/>
      </w:pPr>
      <w:rPr>
        <w:rFonts w:hint="default"/>
      </w:rPr>
    </w:lvl>
    <w:lvl w:ilvl="7" w:tentative="0">
      <w:start w:val="0"/>
      <w:numFmt w:val="bullet"/>
      <w:lvlText w:val="•"/>
      <w:lvlJc w:val="left"/>
      <w:pPr>
        <w:ind w:left="6615" w:hanging="720"/>
      </w:pPr>
      <w:rPr>
        <w:rFonts w:hint="default"/>
      </w:rPr>
    </w:lvl>
    <w:lvl w:ilvl="8" w:tentative="0">
      <w:start w:val="0"/>
      <w:numFmt w:val="bullet"/>
      <w:lvlText w:val="•"/>
      <w:lvlJc w:val="left"/>
      <w:pPr>
        <w:ind w:left="7639" w:hanging="720"/>
      </w:pPr>
      <w:rPr>
        <w:rFonts w:hint="default"/>
      </w:rPr>
    </w:lvl>
  </w:abstractNum>
  <w:abstractNum w:abstractNumId="4">
    <w:nsid w:val="03D62ECE"/>
    <w:multiLevelType w:val="multilevel"/>
    <w:tmpl w:val="03D62ECE"/>
    <w:lvl w:ilvl="0" w:tentative="0">
      <w:start w:val="1"/>
      <w:numFmt w:val="decimal"/>
      <w:lvlText w:val="（%1）"/>
      <w:lvlJc w:val="left"/>
      <w:pPr>
        <w:ind w:left="1572" w:hanging="800"/>
        <w:jc w:val="left"/>
      </w:pPr>
      <w:rPr>
        <w:rFonts w:hint="default" w:ascii="仿宋_GB2312" w:hAnsi="仿宋_GB2312" w:eastAsia="仿宋_GB2312" w:cs="仿宋_GB2312"/>
        <w:w w:val="99"/>
        <w:sz w:val="30"/>
        <w:szCs w:val="30"/>
      </w:rPr>
    </w:lvl>
    <w:lvl w:ilvl="1" w:tentative="0">
      <w:start w:val="0"/>
      <w:numFmt w:val="bullet"/>
      <w:lvlText w:val="•"/>
      <w:lvlJc w:val="left"/>
      <w:pPr>
        <w:ind w:left="2390" w:hanging="800"/>
      </w:pPr>
      <w:rPr>
        <w:rFonts w:hint="default"/>
      </w:rPr>
    </w:lvl>
    <w:lvl w:ilvl="2" w:tentative="0">
      <w:start w:val="0"/>
      <w:numFmt w:val="bullet"/>
      <w:lvlText w:val="•"/>
      <w:lvlJc w:val="left"/>
      <w:pPr>
        <w:ind w:left="3201" w:hanging="800"/>
      </w:pPr>
      <w:rPr>
        <w:rFonts w:hint="default"/>
      </w:rPr>
    </w:lvl>
    <w:lvl w:ilvl="3" w:tentative="0">
      <w:start w:val="0"/>
      <w:numFmt w:val="bullet"/>
      <w:lvlText w:val="•"/>
      <w:lvlJc w:val="left"/>
      <w:pPr>
        <w:ind w:left="4011" w:hanging="800"/>
      </w:pPr>
      <w:rPr>
        <w:rFonts w:hint="default"/>
      </w:rPr>
    </w:lvl>
    <w:lvl w:ilvl="4" w:tentative="0">
      <w:start w:val="0"/>
      <w:numFmt w:val="bullet"/>
      <w:lvlText w:val="•"/>
      <w:lvlJc w:val="left"/>
      <w:pPr>
        <w:ind w:left="4822" w:hanging="800"/>
      </w:pPr>
      <w:rPr>
        <w:rFonts w:hint="default"/>
      </w:rPr>
    </w:lvl>
    <w:lvl w:ilvl="5" w:tentative="0">
      <w:start w:val="0"/>
      <w:numFmt w:val="bullet"/>
      <w:lvlText w:val="•"/>
      <w:lvlJc w:val="left"/>
      <w:pPr>
        <w:ind w:left="5632" w:hanging="800"/>
      </w:pPr>
      <w:rPr>
        <w:rFonts w:hint="default"/>
      </w:rPr>
    </w:lvl>
    <w:lvl w:ilvl="6" w:tentative="0">
      <w:start w:val="0"/>
      <w:numFmt w:val="bullet"/>
      <w:lvlText w:val="•"/>
      <w:lvlJc w:val="left"/>
      <w:pPr>
        <w:ind w:left="6443" w:hanging="800"/>
      </w:pPr>
      <w:rPr>
        <w:rFonts w:hint="default"/>
      </w:rPr>
    </w:lvl>
    <w:lvl w:ilvl="7" w:tentative="0">
      <w:start w:val="0"/>
      <w:numFmt w:val="bullet"/>
      <w:lvlText w:val="•"/>
      <w:lvlJc w:val="left"/>
      <w:pPr>
        <w:ind w:left="7253" w:hanging="800"/>
      </w:pPr>
      <w:rPr>
        <w:rFonts w:hint="default"/>
      </w:rPr>
    </w:lvl>
    <w:lvl w:ilvl="8" w:tentative="0">
      <w:start w:val="0"/>
      <w:numFmt w:val="bullet"/>
      <w:lvlText w:val="•"/>
      <w:lvlJc w:val="left"/>
      <w:pPr>
        <w:ind w:left="8064" w:hanging="800"/>
      </w:pPr>
      <w:rPr>
        <w:rFonts w:hint="default"/>
      </w:rPr>
    </w:lvl>
  </w:abstractNum>
  <w:abstractNum w:abstractNumId="5">
    <w:nsid w:val="25B654F3"/>
    <w:multiLevelType w:val="multilevel"/>
    <w:tmpl w:val="25B654F3"/>
    <w:lvl w:ilvl="0" w:tentative="0">
      <w:start w:val="1"/>
      <w:numFmt w:val="decimal"/>
      <w:lvlText w:val="（%1）"/>
      <w:lvlJc w:val="left"/>
      <w:pPr>
        <w:ind w:left="131" w:hanging="804"/>
        <w:jc w:val="left"/>
      </w:pPr>
      <w:rPr>
        <w:rFonts w:hint="default" w:ascii="宋体" w:hAnsi="宋体" w:eastAsia="宋体" w:cs="宋体"/>
        <w:w w:val="99"/>
        <w:sz w:val="30"/>
        <w:szCs w:val="30"/>
      </w:rPr>
    </w:lvl>
    <w:lvl w:ilvl="1" w:tentative="0">
      <w:start w:val="0"/>
      <w:numFmt w:val="bullet"/>
      <w:lvlText w:val="•"/>
      <w:lvlJc w:val="left"/>
      <w:pPr>
        <w:ind w:left="1094" w:hanging="804"/>
      </w:pPr>
      <w:rPr>
        <w:rFonts w:hint="default"/>
      </w:rPr>
    </w:lvl>
    <w:lvl w:ilvl="2" w:tentative="0">
      <w:start w:val="0"/>
      <w:numFmt w:val="bullet"/>
      <w:lvlText w:val="•"/>
      <w:lvlJc w:val="left"/>
      <w:pPr>
        <w:ind w:left="2049" w:hanging="804"/>
      </w:pPr>
      <w:rPr>
        <w:rFonts w:hint="default"/>
      </w:rPr>
    </w:lvl>
    <w:lvl w:ilvl="3" w:tentative="0">
      <w:start w:val="0"/>
      <w:numFmt w:val="bullet"/>
      <w:lvlText w:val="•"/>
      <w:lvlJc w:val="left"/>
      <w:pPr>
        <w:ind w:left="3003" w:hanging="804"/>
      </w:pPr>
      <w:rPr>
        <w:rFonts w:hint="default"/>
      </w:rPr>
    </w:lvl>
    <w:lvl w:ilvl="4" w:tentative="0">
      <w:start w:val="0"/>
      <w:numFmt w:val="bullet"/>
      <w:lvlText w:val="•"/>
      <w:lvlJc w:val="left"/>
      <w:pPr>
        <w:ind w:left="3958" w:hanging="804"/>
      </w:pPr>
      <w:rPr>
        <w:rFonts w:hint="default"/>
      </w:rPr>
    </w:lvl>
    <w:lvl w:ilvl="5" w:tentative="0">
      <w:start w:val="0"/>
      <w:numFmt w:val="bullet"/>
      <w:lvlText w:val="•"/>
      <w:lvlJc w:val="left"/>
      <w:pPr>
        <w:ind w:left="4912" w:hanging="804"/>
      </w:pPr>
      <w:rPr>
        <w:rFonts w:hint="default"/>
      </w:rPr>
    </w:lvl>
    <w:lvl w:ilvl="6" w:tentative="0">
      <w:start w:val="0"/>
      <w:numFmt w:val="bullet"/>
      <w:lvlText w:val="•"/>
      <w:lvlJc w:val="left"/>
      <w:pPr>
        <w:ind w:left="5867" w:hanging="804"/>
      </w:pPr>
      <w:rPr>
        <w:rFonts w:hint="default"/>
      </w:rPr>
    </w:lvl>
    <w:lvl w:ilvl="7" w:tentative="0">
      <w:start w:val="0"/>
      <w:numFmt w:val="bullet"/>
      <w:lvlText w:val="•"/>
      <w:lvlJc w:val="left"/>
      <w:pPr>
        <w:ind w:left="6821" w:hanging="804"/>
      </w:pPr>
      <w:rPr>
        <w:rFonts w:hint="default"/>
      </w:rPr>
    </w:lvl>
    <w:lvl w:ilvl="8" w:tentative="0">
      <w:start w:val="0"/>
      <w:numFmt w:val="bullet"/>
      <w:lvlText w:val="•"/>
      <w:lvlJc w:val="left"/>
      <w:pPr>
        <w:ind w:left="7776" w:hanging="804"/>
      </w:pPr>
      <w:rPr>
        <w:rFonts w:hint="default"/>
      </w:rPr>
    </w:lvl>
  </w:abstractNum>
  <w:abstractNum w:abstractNumId="6">
    <w:nsid w:val="59ADCABA"/>
    <w:multiLevelType w:val="multilevel"/>
    <w:tmpl w:val="59ADCABA"/>
    <w:lvl w:ilvl="0" w:tentative="0">
      <w:start w:val="1"/>
      <w:numFmt w:val="decimal"/>
      <w:lvlText w:val="（%1）"/>
      <w:lvlJc w:val="left"/>
      <w:pPr>
        <w:ind w:left="131" w:hanging="804"/>
        <w:jc w:val="left"/>
      </w:pPr>
      <w:rPr>
        <w:rFonts w:hint="default" w:ascii="宋体" w:hAnsi="宋体" w:eastAsia="宋体" w:cs="宋体"/>
        <w:w w:val="99"/>
        <w:sz w:val="30"/>
        <w:szCs w:val="30"/>
      </w:rPr>
    </w:lvl>
    <w:lvl w:ilvl="1" w:tentative="0">
      <w:start w:val="0"/>
      <w:numFmt w:val="bullet"/>
      <w:lvlText w:val="•"/>
      <w:lvlJc w:val="left"/>
      <w:pPr>
        <w:ind w:left="1094" w:hanging="804"/>
      </w:pPr>
      <w:rPr>
        <w:rFonts w:hint="default"/>
      </w:rPr>
    </w:lvl>
    <w:lvl w:ilvl="2" w:tentative="0">
      <w:start w:val="0"/>
      <w:numFmt w:val="bullet"/>
      <w:lvlText w:val="•"/>
      <w:lvlJc w:val="left"/>
      <w:pPr>
        <w:ind w:left="2049" w:hanging="804"/>
      </w:pPr>
      <w:rPr>
        <w:rFonts w:hint="default"/>
      </w:rPr>
    </w:lvl>
    <w:lvl w:ilvl="3" w:tentative="0">
      <w:start w:val="0"/>
      <w:numFmt w:val="bullet"/>
      <w:lvlText w:val="•"/>
      <w:lvlJc w:val="left"/>
      <w:pPr>
        <w:ind w:left="3003" w:hanging="804"/>
      </w:pPr>
      <w:rPr>
        <w:rFonts w:hint="default"/>
      </w:rPr>
    </w:lvl>
    <w:lvl w:ilvl="4" w:tentative="0">
      <w:start w:val="0"/>
      <w:numFmt w:val="bullet"/>
      <w:lvlText w:val="•"/>
      <w:lvlJc w:val="left"/>
      <w:pPr>
        <w:ind w:left="3958" w:hanging="804"/>
      </w:pPr>
      <w:rPr>
        <w:rFonts w:hint="default"/>
      </w:rPr>
    </w:lvl>
    <w:lvl w:ilvl="5" w:tentative="0">
      <w:start w:val="0"/>
      <w:numFmt w:val="bullet"/>
      <w:lvlText w:val="•"/>
      <w:lvlJc w:val="left"/>
      <w:pPr>
        <w:ind w:left="4912" w:hanging="804"/>
      </w:pPr>
      <w:rPr>
        <w:rFonts w:hint="default"/>
      </w:rPr>
    </w:lvl>
    <w:lvl w:ilvl="6" w:tentative="0">
      <w:start w:val="0"/>
      <w:numFmt w:val="bullet"/>
      <w:lvlText w:val="•"/>
      <w:lvlJc w:val="left"/>
      <w:pPr>
        <w:ind w:left="5867" w:hanging="804"/>
      </w:pPr>
      <w:rPr>
        <w:rFonts w:hint="default"/>
      </w:rPr>
    </w:lvl>
    <w:lvl w:ilvl="7" w:tentative="0">
      <w:start w:val="0"/>
      <w:numFmt w:val="bullet"/>
      <w:lvlText w:val="•"/>
      <w:lvlJc w:val="left"/>
      <w:pPr>
        <w:ind w:left="6821" w:hanging="804"/>
      </w:pPr>
      <w:rPr>
        <w:rFonts w:hint="default"/>
      </w:rPr>
    </w:lvl>
    <w:lvl w:ilvl="8" w:tentative="0">
      <w:start w:val="0"/>
      <w:numFmt w:val="bullet"/>
      <w:lvlText w:val="•"/>
      <w:lvlJc w:val="left"/>
      <w:pPr>
        <w:ind w:left="7776" w:hanging="804"/>
      </w:pPr>
      <w:rPr>
        <w:rFonts w:hint="default"/>
      </w:rPr>
    </w:lvl>
  </w:abstractNum>
  <w:abstractNum w:abstractNumId="7">
    <w:nsid w:val="5A241D34"/>
    <w:multiLevelType w:val="multilevel"/>
    <w:tmpl w:val="5A241D34"/>
    <w:lvl w:ilvl="0" w:tentative="0">
      <w:start w:val="2"/>
      <w:numFmt w:val="decimal"/>
      <w:lvlText w:val="%1."/>
      <w:lvlJc w:val="left"/>
      <w:pPr>
        <w:ind w:left="2111" w:hanging="399"/>
        <w:jc w:val="left"/>
      </w:pPr>
      <w:rPr>
        <w:rFonts w:hint="default" w:ascii="宋体" w:hAnsi="宋体" w:eastAsia="宋体" w:cs="宋体"/>
        <w:spacing w:val="-2"/>
        <w:w w:val="99"/>
        <w:sz w:val="32"/>
        <w:szCs w:val="32"/>
      </w:rPr>
    </w:lvl>
    <w:lvl w:ilvl="1" w:tentative="0">
      <w:start w:val="0"/>
      <w:numFmt w:val="bullet"/>
      <w:lvlText w:val="•"/>
      <w:lvlJc w:val="left"/>
      <w:pPr>
        <w:ind w:left="2876" w:hanging="399"/>
      </w:pPr>
      <w:rPr>
        <w:rFonts w:hint="default"/>
      </w:rPr>
    </w:lvl>
    <w:lvl w:ilvl="2" w:tentative="0">
      <w:start w:val="0"/>
      <w:numFmt w:val="bullet"/>
      <w:lvlText w:val="•"/>
      <w:lvlJc w:val="left"/>
      <w:pPr>
        <w:ind w:left="3633" w:hanging="399"/>
      </w:pPr>
      <w:rPr>
        <w:rFonts w:hint="default"/>
      </w:rPr>
    </w:lvl>
    <w:lvl w:ilvl="3" w:tentative="0">
      <w:start w:val="0"/>
      <w:numFmt w:val="bullet"/>
      <w:lvlText w:val="•"/>
      <w:lvlJc w:val="left"/>
      <w:pPr>
        <w:ind w:left="4389" w:hanging="399"/>
      </w:pPr>
      <w:rPr>
        <w:rFonts w:hint="default"/>
      </w:rPr>
    </w:lvl>
    <w:lvl w:ilvl="4" w:tentative="0">
      <w:start w:val="0"/>
      <w:numFmt w:val="bullet"/>
      <w:lvlText w:val="•"/>
      <w:lvlJc w:val="left"/>
      <w:pPr>
        <w:ind w:left="5146" w:hanging="399"/>
      </w:pPr>
      <w:rPr>
        <w:rFonts w:hint="default"/>
      </w:rPr>
    </w:lvl>
    <w:lvl w:ilvl="5" w:tentative="0">
      <w:start w:val="0"/>
      <w:numFmt w:val="bullet"/>
      <w:lvlText w:val="•"/>
      <w:lvlJc w:val="left"/>
      <w:pPr>
        <w:ind w:left="5902" w:hanging="399"/>
      </w:pPr>
      <w:rPr>
        <w:rFonts w:hint="default"/>
      </w:rPr>
    </w:lvl>
    <w:lvl w:ilvl="6" w:tentative="0">
      <w:start w:val="0"/>
      <w:numFmt w:val="bullet"/>
      <w:lvlText w:val="•"/>
      <w:lvlJc w:val="left"/>
      <w:pPr>
        <w:ind w:left="6659" w:hanging="399"/>
      </w:pPr>
      <w:rPr>
        <w:rFonts w:hint="default"/>
      </w:rPr>
    </w:lvl>
    <w:lvl w:ilvl="7" w:tentative="0">
      <w:start w:val="0"/>
      <w:numFmt w:val="bullet"/>
      <w:lvlText w:val="•"/>
      <w:lvlJc w:val="left"/>
      <w:pPr>
        <w:ind w:left="7415" w:hanging="399"/>
      </w:pPr>
      <w:rPr>
        <w:rFonts w:hint="default"/>
      </w:rPr>
    </w:lvl>
    <w:lvl w:ilvl="8" w:tentative="0">
      <w:start w:val="0"/>
      <w:numFmt w:val="bullet"/>
      <w:lvlText w:val="•"/>
      <w:lvlJc w:val="left"/>
      <w:pPr>
        <w:ind w:left="8172" w:hanging="399"/>
      </w:pPr>
      <w:rPr>
        <w:rFonts w:hint="default"/>
      </w:rPr>
    </w:lvl>
  </w:abstractNum>
  <w:abstractNum w:abstractNumId="8">
    <w:nsid w:val="72183CF9"/>
    <w:multiLevelType w:val="multilevel"/>
    <w:tmpl w:val="72183CF9"/>
    <w:lvl w:ilvl="0" w:tentative="0">
      <w:start w:val="1"/>
      <w:numFmt w:val="decimal"/>
      <w:lvlText w:val="（%1）"/>
      <w:lvlJc w:val="left"/>
      <w:pPr>
        <w:ind w:left="131" w:hanging="804"/>
        <w:jc w:val="left"/>
      </w:pPr>
      <w:rPr>
        <w:rFonts w:hint="default" w:ascii="宋体" w:hAnsi="宋体" w:eastAsia="宋体" w:cs="宋体"/>
        <w:w w:val="99"/>
        <w:sz w:val="30"/>
        <w:szCs w:val="30"/>
      </w:rPr>
    </w:lvl>
    <w:lvl w:ilvl="1" w:tentative="0">
      <w:start w:val="0"/>
      <w:numFmt w:val="bullet"/>
      <w:lvlText w:val="•"/>
      <w:lvlJc w:val="left"/>
      <w:pPr>
        <w:ind w:left="1094" w:hanging="804"/>
      </w:pPr>
      <w:rPr>
        <w:rFonts w:hint="default"/>
      </w:rPr>
    </w:lvl>
    <w:lvl w:ilvl="2" w:tentative="0">
      <w:start w:val="0"/>
      <w:numFmt w:val="bullet"/>
      <w:lvlText w:val="•"/>
      <w:lvlJc w:val="left"/>
      <w:pPr>
        <w:ind w:left="2049" w:hanging="804"/>
      </w:pPr>
      <w:rPr>
        <w:rFonts w:hint="default"/>
      </w:rPr>
    </w:lvl>
    <w:lvl w:ilvl="3" w:tentative="0">
      <w:start w:val="0"/>
      <w:numFmt w:val="bullet"/>
      <w:lvlText w:val="•"/>
      <w:lvlJc w:val="left"/>
      <w:pPr>
        <w:ind w:left="3003" w:hanging="804"/>
      </w:pPr>
      <w:rPr>
        <w:rFonts w:hint="default"/>
      </w:rPr>
    </w:lvl>
    <w:lvl w:ilvl="4" w:tentative="0">
      <w:start w:val="0"/>
      <w:numFmt w:val="bullet"/>
      <w:lvlText w:val="•"/>
      <w:lvlJc w:val="left"/>
      <w:pPr>
        <w:ind w:left="3958" w:hanging="804"/>
      </w:pPr>
      <w:rPr>
        <w:rFonts w:hint="default"/>
      </w:rPr>
    </w:lvl>
    <w:lvl w:ilvl="5" w:tentative="0">
      <w:start w:val="0"/>
      <w:numFmt w:val="bullet"/>
      <w:lvlText w:val="•"/>
      <w:lvlJc w:val="left"/>
      <w:pPr>
        <w:ind w:left="4912" w:hanging="804"/>
      </w:pPr>
      <w:rPr>
        <w:rFonts w:hint="default"/>
      </w:rPr>
    </w:lvl>
    <w:lvl w:ilvl="6" w:tentative="0">
      <w:start w:val="0"/>
      <w:numFmt w:val="bullet"/>
      <w:lvlText w:val="•"/>
      <w:lvlJc w:val="left"/>
      <w:pPr>
        <w:ind w:left="5867" w:hanging="804"/>
      </w:pPr>
      <w:rPr>
        <w:rFonts w:hint="default"/>
      </w:rPr>
    </w:lvl>
    <w:lvl w:ilvl="7" w:tentative="0">
      <w:start w:val="0"/>
      <w:numFmt w:val="bullet"/>
      <w:lvlText w:val="•"/>
      <w:lvlJc w:val="left"/>
      <w:pPr>
        <w:ind w:left="6821" w:hanging="804"/>
      </w:pPr>
      <w:rPr>
        <w:rFonts w:hint="default"/>
      </w:rPr>
    </w:lvl>
    <w:lvl w:ilvl="8" w:tentative="0">
      <w:start w:val="0"/>
      <w:numFmt w:val="bullet"/>
      <w:lvlText w:val="•"/>
      <w:lvlJc w:val="left"/>
      <w:pPr>
        <w:ind w:left="7776" w:hanging="804"/>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OGNjNzQ0ZjU1NThhNDg2M2U0ZjI4MzViMzA0ZGQifQ=="/>
  </w:docVars>
  <w:rsids>
    <w:rsidRoot w:val="00000000"/>
    <w:rsid w:val="00DC7C1D"/>
    <w:rsid w:val="03E02E7C"/>
    <w:rsid w:val="069B49E3"/>
    <w:rsid w:val="08244135"/>
    <w:rsid w:val="08D73590"/>
    <w:rsid w:val="0B4E39F5"/>
    <w:rsid w:val="0C806D00"/>
    <w:rsid w:val="0E774C8C"/>
    <w:rsid w:val="0EEF3211"/>
    <w:rsid w:val="10A51C21"/>
    <w:rsid w:val="1134213B"/>
    <w:rsid w:val="11EF68BA"/>
    <w:rsid w:val="15AF2A17"/>
    <w:rsid w:val="1F582479"/>
    <w:rsid w:val="1FF83AFA"/>
    <w:rsid w:val="2185543C"/>
    <w:rsid w:val="2344070A"/>
    <w:rsid w:val="2453320A"/>
    <w:rsid w:val="26104886"/>
    <w:rsid w:val="2E546894"/>
    <w:rsid w:val="2FDC254B"/>
    <w:rsid w:val="354635F4"/>
    <w:rsid w:val="374530BA"/>
    <w:rsid w:val="38B47A45"/>
    <w:rsid w:val="396D5F42"/>
    <w:rsid w:val="39795DCD"/>
    <w:rsid w:val="3EFC3C8F"/>
    <w:rsid w:val="44BC7116"/>
    <w:rsid w:val="473751E4"/>
    <w:rsid w:val="49D717E3"/>
    <w:rsid w:val="4B994494"/>
    <w:rsid w:val="4C41784E"/>
    <w:rsid w:val="4D6D7D12"/>
    <w:rsid w:val="56A75762"/>
    <w:rsid w:val="572934A0"/>
    <w:rsid w:val="59D4243C"/>
    <w:rsid w:val="5B524C36"/>
    <w:rsid w:val="5B8426D9"/>
    <w:rsid w:val="5E037539"/>
    <w:rsid w:val="5E4C0D3E"/>
    <w:rsid w:val="5EC93171"/>
    <w:rsid w:val="611C395C"/>
    <w:rsid w:val="618379B4"/>
    <w:rsid w:val="6247291B"/>
    <w:rsid w:val="642D0CB0"/>
    <w:rsid w:val="645D4678"/>
    <w:rsid w:val="64DB34B6"/>
    <w:rsid w:val="67E046E8"/>
    <w:rsid w:val="69691EEB"/>
    <w:rsid w:val="6D88075F"/>
    <w:rsid w:val="6F1859D0"/>
    <w:rsid w:val="71116E60"/>
    <w:rsid w:val="7546771A"/>
    <w:rsid w:val="7D2847EF"/>
    <w:rsid w:val="7E9139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37"/>
      <w:ind w:left="355" w:right="934"/>
      <w:jc w:val="center"/>
      <w:outlineLvl w:val="1"/>
    </w:pPr>
    <w:rPr>
      <w:rFonts w:ascii="宋体" w:hAnsi="宋体" w:eastAsia="宋体" w:cs="宋体"/>
      <w:sz w:val="44"/>
      <w:szCs w:val="44"/>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331" w:hanging="561"/>
    </w:pPr>
    <w:rPr>
      <w:rFonts w:ascii="宋体" w:hAnsi="宋体" w:eastAsia="宋体" w:cs="宋体"/>
    </w:rPr>
  </w:style>
  <w:style w:type="paragraph" w:customStyle="1" w:styleId="8">
    <w:name w:val="Table Paragraph"/>
    <w:basedOn w:val="1"/>
    <w:qFormat/>
    <w:uiPriority w:val="1"/>
    <w:rPr>
      <w:rFonts w:ascii="宋体" w:hAnsi="宋体" w:eastAsia="宋体" w:cs="宋体"/>
    </w:rPr>
  </w:style>
  <w:style w:type="paragraph" w:customStyle="1" w:styleId="9">
    <w:name w:val="BodyText2"/>
    <w:basedOn w:val="1"/>
    <w:qFormat/>
    <w:uiPriority w:val="0"/>
    <w:pPr>
      <w:spacing w:after="120" w:line="480" w:lineRule="auto"/>
      <w:textAlignment w:val="baseline"/>
    </w:pPr>
    <w:rPr>
      <w:rFonts w:ascii="Calibri" w:hAnsi="Calibri"/>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9751</Words>
  <Characters>9850</Characters>
  <TotalTime>19</TotalTime>
  <ScaleCrop>false</ScaleCrop>
  <LinksUpToDate>false</LinksUpToDate>
  <CharactersWithSpaces>10115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2024-03-25T03:50:00Z</dcterms:created>
  <dc:creator>Administrator.WINDOWS-OPLAS3S</dc:creator>
  <cp:lastModifiedBy>春暖开</cp:lastModifiedBy>
  <dcterms:modified xsi:type="dcterms:W3CDTF">2024-10-15T09:48:40Z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7E50186B87814D279E458901978AD975_13</vt:lpwstr>
  </property>
</Properties>
</file>