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eastAsia="仿宋_GB2312" w:cs="Times New Roman"/>
          <w:spacing w:val="-6"/>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_GBK" w:hAnsi="方正小标宋_GBK" w:eastAsia="方正小标宋_GBK" w:cs="方正小标宋_GBK"/>
          <w:spacing w:val="-6"/>
          <w:sz w:val="44"/>
          <w:szCs w:val="44"/>
          <w:lang w:val="en-US" w:eastAsia="zh-CN"/>
        </w:rPr>
      </w:pPr>
      <w:bookmarkStart w:id="0" w:name="_GoBack"/>
      <w:r>
        <w:rPr>
          <w:rFonts w:hint="eastAsia" w:ascii="方正小标宋_GBK" w:hAnsi="方正小标宋_GBK" w:eastAsia="方正小标宋_GBK" w:cs="方正小标宋_GBK"/>
          <w:spacing w:val="-6"/>
          <w:sz w:val="44"/>
          <w:szCs w:val="44"/>
          <w:lang w:val="en-US" w:eastAsia="zh-CN"/>
        </w:rPr>
        <w:t>2023年钦北区“安全生产月”活动进展情况统计表</w:t>
      </w:r>
    </w:p>
    <w:bookmarkEnd w:id="0"/>
    <w:p>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eastAsia="仿宋_GB2312" w:cs="Times New Roman"/>
          <w:spacing w:val="-6"/>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填报单位（盖章）</w:t>
      </w:r>
      <w:r>
        <w:rPr>
          <w:rFonts w:hint="eastAsia" w:ascii="Times New Roman" w:hAnsi="Times New Roman" w:eastAsia="仿宋_GB2312" w:cs="Times New Roman"/>
          <w:spacing w:val="-6"/>
          <w:sz w:val="32"/>
          <w:szCs w:val="32"/>
          <w:lang w:val="en-US" w:eastAsia="zh-CN"/>
        </w:rPr>
        <w:t>：</w:t>
      </w:r>
      <w:r>
        <w:rPr>
          <w:rFonts w:hint="eastAsia" w:eastAsia="仿宋_GB2312" w:cs="Times New Roman"/>
          <w:spacing w:val="-6"/>
          <w:sz w:val="32"/>
          <w:szCs w:val="32"/>
          <w:lang w:val="en-US" w:eastAsia="zh-CN"/>
        </w:rPr>
        <w:t xml:space="preserve">                    联系人：       电话：              填报日期：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1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tcPr>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黑体" w:cs="Times New Roman"/>
                <w:spacing w:val="-6"/>
                <w:sz w:val="32"/>
                <w:szCs w:val="32"/>
                <w:vertAlign w:val="baseline"/>
                <w:lang w:val="en-US" w:eastAsia="zh-CN"/>
              </w:rPr>
            </w:pPr>
            <w:r>
              <w:rPr>
                <w:rFonts w:hint="default" w:ascii="Times New Roman" w:hAnsi="Times New Roman" w:eastAsia="黑体" w:cs="Times New Roman"/>
                <w:spacing w:val="-6"/>
                <w:sz w:val="32"/>
                <w:szCs w:val="32"/>
                <w:vertAlign w:val="baseline"/>
                <w:lang w:val="en-US" w:eastAsia="zh-CN"/>
              </w:rPr>
              <w:t>活动项目</w:t>
            </w:r>
          </w:p>
        </w:tc>
        <w:tc>
          <w:tcPr>
            <w:tcW w:w="11599" w:type="dxa"/>
          </w:tcPr>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黑体" w:cs="Times New Roman"/>
                <w:spacing w:val="-6"/>
                <w:sz w:val="32"/>
                <w:szCs w:val="32"/>
                <w:vertAlign w:val="baseline"/>
                <w:lang w:val="en-US" w:eastAsia="zh-CN"/>
              </w:rPr>
            </w:pPr>
            <w:r>
              <w:rPr>
                <w:rFonts w:hint="default" w:ascii="Times New Roman" w:hAnsi="Times New Roman" w:eastAsia="黑体" w:cs="Times New Roman"/>
                <w:spacing w:val="-6"/>
                <w:sz w:val="32"/>
                <w:szCs w:val="32"/>
                <w:vertAlign w:val="baseline"/>
                <w:lang w:val="en-US" w:eastAsia="zh-CN"/>
              </w:rPr>
              <w:t>活动进展情况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b/>
                <w:bCs/>
                <w:spacing w:val="-6"/>
                <w:sz w:val="28"/>
                <w:szCs w:val="28"/>
                <w:vertAlign w:val="baseline"/>
                <w:lang w:val="en-US" w:eastAsia="zh-CN"/>
              </w:rPr>
            </w:pPr>
            <w:r>
              <w:rPr>
                <w:rFonts w:hint="eastAsia" w:ascii="仿宋_GB2312" w:hAnsi="仿宋_GB2312" w:eastAsia="仿宋_GB2312" w:cs="仿宋_GB2312"/>
                <w:b/>
                <w:bCs/>
                <w:spacing w:val="-6"/>
                <w:sz w:val="28"/>
                <w:szCs w:val="28"/>
                <w:vertAlign w:val="baseline"/>
                <w:lang w:val="en-US" w:eastAsia="zh-CN"/>
              </w:rPr>
              <w:t>1.扎实开展习近平总书记关于安全生产重要论述宣贯活动</w:t>
            </w:r>
          </w:p>
        </w:tc>
        <w:tc>
          <w:tcPr>
            <w:tcW w:w="11599"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组织开展宣讲活动（）场，参与（）人次；观看《生命重于泰山》专题片（）场，参与（）人次；</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组织学习国务院安委会严格落实安全生产十五条硬措施和自治区二十条细化措施（）场，参与（）人次；</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发表评论文章或心得体会（）篇；</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组织开展“安全生产大家谈”“班前会”“以案说法”等活动（）场,参与（）人次。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仿宋_GB2312" w:hAnsi="仿宋_GB2312" w:eastAsia="仿宋_GB2312" w:cs="仿宋_GB2312"/>
                <w:b/>
                <w:bCs/>
                <w:spacing w:val="-6"/>
                <w:sz w:val="28"/>
                <w:szCs w:val="28"/>
                <w:vertAlign w:val="baseline"/>
                <w:lang w:val="en-US" w:eastAsia="zh-CN"/>
              </w:rPr>
            </w:pPr>
            <w:r>
              <w:rPr>
                <w:rFonts w:hint="eastAsia" w:ascii="仿宋_GB2312" w:hAnsi="仿宋_GB2312" w:eastAsia="仿宋_GB2312" w:cs="仿宋_GB2312"/>
                <w:b/>
                <w:bCs/>
                <w:spacing w:val="-6"/>
                <w:sz w:val="28"/>
                <w:szCs w:val="28"/>
                <w:vertAlign w:val="baseline"/>
                <w:lang w:val="en-US" w:eastAsia="zh-CN"/>
              </w:rPr>
              <w:t>2.扎实开展安全宣传“五进”活动</w:t>
            </w:r>
          </w:p>
        </w:tc>
        <w:tc>
          <w:tcPr>
            <w:tcW w:w="11599"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参与“人人讲安全个个会应急”网络知识竞赛（）人，答题（）人次；</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参加线上“逃生演练训练营”活动发布视频（）个。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b/>
                <w:bCs/>
                <w:spacing w:val="-6"/>
                <w:sz w:val="28"/>
                <w:szCs w:val="28"/>
                <w:vertAlign w:val="baseline"/>
                <w:lang w:val="en-US" w:eastAsia="zh-CN"/>
              </w:rPr>
            </w:pPr>
            <w:r>
              <w:rPr>
                <w:rFonts w:hint="eastAsia" w:ascii="仿宋_GB2312" w:hAnsi="仿宋_GB2312" w:eastAsia="仿宋_GB2312" w:cs="仿宋_GB2312"/>
                <w:b/>
                <w:bCs/>
                <w:spacing w:val="-6"/>
                <w:sz w:val="28"/>
                <w:szCs w:val="28"/>
                <w:vertAlign w:val="baseline"/>
                <w:lang w:val="en-US" w:eastAsia="zh-CN"/>
              </w:rPr>
              <w:t>3.扎实开展企业主要负责人“六带头”宣传活动</w:t>
            </w:r>
          </w:p>
        </w:tc>
        <w:tc>
          <w:tcPr>
            <w:tcW w:w="11599"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企业主要负责人向职工代表大会作安全承诺接受监督活动（）场,参与（）人次；企业主要负责人安全承诺书在单位政务公开栏、网站、新媒体进行公示接受监督活动（）场,参与（）人次；企业主要负责人践诺履职情况纳入工作报告接受监督活动（）场,参与（）人次；其他“安全承诺践诺”活动（）场,参与（）人次；</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报道企业主要负责人“五带头”（）次；</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开展“动火作业风险我知道”宣传活动（）场,参与（）人次；</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对电焊工等危险作业人员开展安全培训（）场，参与（）人次；</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开展“外包外租大排查”活动（）场,参与（）人次；</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开展外包外租典型违法案例专题警示教育（）场,参与（）人次；</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对外包外租项目开展大排查（）次。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b/>
                <w:bCs/>
                <w:spacing w:val="-6"/>
                <w:sz w:val="28"/>
                <w:szCs w:val="28"/>
                <w:vertAlign w:val="baseline"/>
                <w:lang w:val="en-US" w:eastAsia="zh-CN"/>
              </w:rPr>
            </w:pPr>
            <w:r>
              <w:rPr>
                <w:rFonts w:hint="eastAsia" w:ascii="仿宋_GB2312" w:hAnsi="仿宋_GB2312" w:eastAsia="仿宋_GB2312" w:cs="仿宋_GB2312"/>
                <w:b/>
                <w:bCs/>
                <w:spacing w:val="-6"/>
                <w:sz w:val="28"/>
                <w:szCs w:val="28"/>
                <w:vertAlign w:val="baseline"/>
                <w:lang w:val="en-US" w:eastAsia="zh-CN"/>
              </w:rPr>
              <w:t>4.扎实开展全员查找身边隐患宣传活动</w:t>
            </w:r>
          </w:p>
        </w:tc>
        <w:tc>
          <w:tcPr>
            <w:tcW w:w="11599"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曝光重大事故隐患和突出问题（）个；</w:t>
            </w:r>
          </w:p>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在主流媒体公布“一案双罚”典型案例（）个，安全生产行刑衔接（含危险作业罪）等各类典型案例（）个；在本单位本部门网站、新媒体平台公布“安全生产举报微信小程序”“安全生产曝光台”“12350举报电话”等举报渠道（）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b/>
                <w:bCs/>
                <w:spacing w:val="-6"/>
                <w:sz w:val="28"/>
                <w:szCs w:val="28"/>
                <w:vertAlign w:val="baseline"/>
                <w:lang w:val="en-US" w:eastAsia="zh-CN"/>
              </w:rPr>
            </w:pPr>
            <w:r>
              <w:rPr>
                <w:rFonts w:hint="eastAsia" w:ascii="仿宋_GB2312" w:hAnsi="仿宋_GB2312" w:eastAsia="仿宋_GB2312" w:cs="仿宋_GB2312"/>
                <w:b/>
                <w:bCs/>
                <w:spacing w:val="-6"/>
                <w:sz w:val="28"/>
                <w:szCs w:val="28"/>
                <w:vertAlign w:val="baseline"/>
                <w:lang w:val="en-US" w:eastAsia="zh-CN"/>
              </w:rPr>
              <w:t>5.扎实开展常态化应急演练活动</w:t>
            </w:r>
          </w:p>
        </w:tc>
        <w:tc>
          <w:tcPr>
            <w:tcW w:w="11599"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企业组织事故应急演练（）场,参与（）人次，开展从业人员自救互救技能培训（）场,参与（）人次；农村、社区、学校、家庭开展科普知识宣传和情景模拟、实战推演、逃生演练、自救互救等活动（）场,参与（）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b/>
                <w:bCs/>
                <w:spacing w:val="-6"/>
                <w:sz w:val="28"/>
                <w:szCs w:val="28"/>
                <w:vertAlign w:val="baseline"/>
                <w:lang w:val="en-US" w:eastAsia="zh-CN"/>
              </w:rPr>
            </w:pPr>
            <w:r>
              <w:rPr>
                <w:rFonts w:hint="eastAsia" w:ascii="仿宋_GB2312" w:hAnsi="仿宋_GB2312" w:eastAsia="仿宋_GB2312" w:cs="仿宋_GB2312"/>
                <w:b/>
                <w:bCs/>
                <w:spacing w:val="-6"/>
                <w:sz w:val="28"/>
                <w:szCs w:val="28"/>
                <w:vertAlign w:val="baseline"/>
                <w:lang w:val="en-US" w:eastAsia="zh-CN"/>
              </w:rPr>
              <w:t>6.扎实开展“安全宣传咨询日”活动</w:t>
            </w:r>
          </w:p>
        </w:tc>
        <w:tc>
          <w:tcPr>
            <w:tcW w:w="11599"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组织开展“安全宣传咨询日”现场活动（）场、参与（）人次，网络直播（）场、（）人观看。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b/>
                <w:bCs/>
                <w:spacing w:val="-6"/>
                <w:sz w:val="28"/>
                <w:szCs w:val="28"/>
                <w:vertAlign w:val="baseline"/>
                <w:lang w:val="en-US" w:eastAsia="zh-CN"/>
              </w:rPr>
            </w:pPr>
            <w:r>
              <w:rPr>
                <w:rFonts w:hint="eastAsia" w:ascii="仿宋_GB2312" w:hAnsi="仿宋_GB2312" w:eastAsia="仿宋_GB2312" w:cs="仿宋_GB2312"/>
                <w:b/>
                <w:bCs/>
                <w:spacing w:val="-6"/>
                <w:sz w:val="28"/>
                <w:szCs w:val="28"/>
                <w:vertAlign w:val="baseline"/>
                <w:lang w:val="en-US" w:eastAsia="zh-CN"/>
              </w:rPr>
              <w:t>7.扎实开展安全事故警示教育“五个一”活动。</w:t>
            </w:r>
          </w:p>
        </w:tc>
        <w:tc>
          <w:tcPr>
            <w:tcW w:w="11599" w:type="dxa"/>
          </w:tcPr>
          <w:p>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spacing w:val="-6"/>
                <w:sz w:val="28"/>
                <w:szCs w:val="28"/>
                <w:vertAlign w:val="baseline"/>
                <w:lang w:val="en-US" w:eastAsia="zh-CN"/>
              </w:rPr>
            </w:pPr>
            <w:r>
              <w:rPr>
                <w:rFonts w:hint="eastAsia" w:ascii="仿宋_GB2312" w:hAnsi="仿宋_GB2312" w:eastAsia="仿宋_GB2312" w:cs="仿宋_GB2312"/>
                <w:spacing w:val="-6"/>
                <w:sz w:val="28"/>
                <w:szCs w:val="28"/>
                <w:vertAlign w:val="baseline"/>
                <w:lang w:val="en-US" w:eastAsia="zh-CN"/>
              </w:rPr>
              <w:t>组织召开安全生产工作警示教育专题会议（）场/次,参与（）人次，开展行业岗位安全生产大讨论（）场/次,参与（）人次，上安全警示教育课（）场/次,参与（）人次，播放收看生产安全事故警示片（）场/次,参与（）人次，观看安全生产主题教育电影（）场/次,参与（）人次。</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sectPr>
      <w:headerReference r:id="rId3" w:type="default"/>
      <w:footerReference r:id="rId4" w:type="default"/>
      <w:pgSz w:w="16838" w:h="11906" w:orient="landscape"/>
      <w:pgMar w:top="1701" w:right="1418" w:bottom="1531"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4"/>
        <w:rFonts w:asci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- 6 -</w:t>
    </w:r>
    <w:r>
      <w:rPr>
        <w:rStyle w:val="14"/>
        <w:rFonts w:ascii="宋体" w:hAnsi="宋体"/>
        <w:sz w:val="28"/>
        <w:szCs w:val="28"/>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YjRiOGRjMDM5ZGVmNGE4YmIyOWFlYmY5YTgwNWYifQ=="/>
  </w:docVars>
  <w:rsids>
    <w:rsidRoot w:val="00000000"/>
    <w:rsid w:val="00035A14"/>
    <w:rsid w:val="00D27811"/>
    <w:rsid w:val="00FE0429"/>
    <w:rsid w:val="01570300"/>
    <w:rsid w:val="01981D96"/>
    <w:rsid w:val="01AE0B15"/>
    <w:rsid w:val="02255018"/>
    <w:rsid w:val="02CB7913"/>
    <w:rsid w:val="036708A6"/>
    <w:rsid w:val="04763EE5"/>
    <w:rsid w:val="05206ED9"/>
    <w:rsid w:val="05C70E9C"/>
    <w:rsid w:val="06014728"/>
    <w:rsid w:val="06B74757"/>
    <w:rsid w:val="08CF64AA"/>
    <w:rsid w:val="08E355CB"/>
    <w:rsid w:val="0C266499"/>
    <w:rsid w:val="0C344CFC"/>
    <w:rsid w:val="0DB978B3"/>
    <w:rsid w:val="0E1070E4"/>
    <w:rsid w:val="0F704352"/>
    <w:rsid w:val="0FAA0E98"/>
    <w:rsid w:val="11D8535E"/>
    <w:rsid w:val="123707E2"/>
    <w:rsid w:val="12665599"/>
    <w:rsid w:val="13332002"/>
    <w:rsid w:val="14670935"/>
    <w:rsid w:val="1486638D"/>
    <w:rsid w:val="154F67B8"/>
    <w:rsid w:val="15924739"/>
    <w:rsid w:val="18013266"/>
    <w:rsid w:val="181F3AFB"/>
    <w:rsid w:val="18A41B0E"/>
    <w:rsid w:val="1A322049"/>
    <w:rsid w:val="1B252495"/>
    <w:rsid w:val="1B4142DC"/>
    <w:rsid w:val="1D9E318A"/>
    <w:rsid w:val="1F8635ED"/>
    <w:rsid w:val="206375BB"/>
    <w:rsid w:val="20B35567"/>
    <w:rsid w:val="219E5426"/>
    <w:rsid w:val="227F1241"/>
    <w:rsid w:val="22AF191D"/>
    <w:rsid w:val="23647613"/>
    <w:rsid w:val="23A90030"/>
    <w:rsid w:val="241C63FF"/>
    <w:rsid w:val="25187373"/>
    <w:rsid w:val="27B962CB"/>
    <w:rsid w:val="285A5748"/>
    <w:rsid w:val="286C2376"/>
    <w:rsid w:val="298360D8"/>
    <w:rsid w:val="29BA46F0"/>
    <w:rsid w:val="2A207D5A"/>
    <w:rsid w:val="2B342280"/>
    <w:rsid w:val="2BBA7343"/>
    <w:rsid w:val="2BD55811"/>
    <w:rsid w:val="2CD8064D"/>
    <w:rsid w:val="300F6E18"/>
    <w:rsid w:val="30E0679A"/>
    <w:rsid w:val="31337327"/>
    <w:rsid w:val="318D1BB1"/>
    <w:rsid w:val="31EB232F"/>
    <w:rsid w:val="32A41430"/>
    <w:rsid w:val="3328091C"/>
    <w:rsid w:val="34C763D0"/>
    <w:rsid w:val="34D51719"/>
    <w:rsid w:val="34FD52C6"/>
    <w:rsid w:val="3589141A"/>
    <w:rsid w:val="38233540"/>
    <w:rsid w:val="38AA02BC"/>
    <w:rsid w:val="392175FA"/>
    <w:rsid w:val="3A9673D2"/>
    <w:rsid w:val="3AC325CE"/>
    <w:rsid w:val="3ACD505F"/>
    <w:rsid w:val="3AF713C0"/>
    <w:rsid w:val="3B517B72"/>
    <w:rsid w:val="3BD67DCE"/>
    <w:rsid w:val="3C9506A5"/>
    <w:rsid w:val="3CCA4EF5"/>
    <w:rsid w:val="433230F1"/>
    <w:rsid w:val="45774353"/>
    <w:rsid w:val="467918C0"/>
    <w:rsid w:val="46F32B98"/>
    <w:rsid w:val="478A12A1"/>
    <w:rsid w:val="47D46525"/>
    <w:rsid w:val="480D2FE1"/>
    <w:rsid w:val="498B68F3"/>
    <w:rsid w:val="4A2937C1"/>
    <w:rsid w:val="4A8F2BD7"/>
    <w:rsid w:val="4AF71C57"/>
    <w:rsid w:val="4B077724"/>
    <w:rsid w:val="4BA17066"/>
    <w:rsid w:val="4C1474B4"/>
    <w:rsid w:val="4C645D81"/>
    <w:rsid w:val="4C6F4A6E"/>
    <w:rsid w:val="4CB874CC"/>
    <w:rsid w:val="4CD247BC"/>
    <w:rsid w:val="4E3E0B9C"/>
    <w:rsid w:val="4E7E71EB"/>
    <w:rsid w:val="4FB166F2"/>
    <w:rsid w:val="50081462"/>
    <w:rsid w:val="500A342C"/>
    <w:rsid w:val="50C051DC"/>
    <w:rsid w:val="510332B6"/>
    <w:rsid w:val="51250B96"/>
    <w:rsid w:val="5397343E"/>
    <w:rsid w:val="545F7130"/>
    <w:rsid w:val="553309BA"/>
    <w:rsid w:val="553F1A17"/>
    <w:rsid w:val="55D537BC"/>
    <w:rsid w:val="56676CC2"/>
    <w:rsid w:val="575A6D64"/>
    <w:rsid w:val="581D158F"/>
    <w:rsid w:val="58755C89"/>
    <w:rsid w:val="58C04FB8"/>
    <w:rsid w:val="58F31A22"/>
    <w:rsid w:val="59DE717B"/>
    <w:rsid w:val="5A581FC4"/>
    <w:rsid w:val="5A676343"/>
    <w:rsid w:val="5C814A76"/>
    <w:rsid w:val="5F090D52"/>
    <w:rsid w:val="5F925FAE"/>
    <w:rsid w:val="5FFE2454"/>
    <w:rsid w:val="61051BAA"/>
    <w:rsid w:val="611B693C"/>
    <w:rsid w:val="61ED0863"/>
    <w:rsid w:val="626165F9"/>
    <w:rsid w:val="64601415"/>
    <w:rsid w:val="648F741A"/>
    <w:rsid w:val="64EC3D3C"/>
    <w:rsid w:val="6755134A"/>
    <w:rsid w:val="67780823"/>
    <w:rsid w:val="67AD4E2D"/>
    <w:rsid w:val="67B562A1"/>
    <w:rsid w:val="68831B76"/>
    <w:rsid w:val="695A584A"/>
    <w:rsid w:val="697B0A9F"/>
    <w:rsid w:val="69A04C94"/>
    <w:rsid w:val="6C382C77"/>
    <w:rsid w:val="6C69171D"/>
    <w:rsid w:val="6CE07597"/>
    <w:rsid w:val="6D6261FE"/>
    <w:rsid w:val="6D8F2D6B"/>
    <w:rsid w:val="6DAF3CF8"/>
    <w:rsid w:val="6E8201DA"/>
    <w:rsid w:val="6E8F2087"/>
    <w:rsid w:val="6F042B0E"/>
    <w:rsid w:val="70694367"/>
    <w:rsid w:val="71022736"/>
    <w:rsid w:val="7141612A"/>
    <w:rsid w:val="72E40201"/>
    <w:rsid w:val="74FF5591"/>
    <w:rsid w:val="759A3A9C"/>
    <w:rsid w:val="7770799C"/>
    <w:rsid w:val="788B1B57"/>
    <w:rsid w:val="78942292"/>
    <w:rsid w:val="78C22C00"/>
    <w:rsid w:val="79E653C9"/>
    <w:rsid w:val="7A37456E"/>
    <w:rsid w:val="7A5F7DC3"/>
    <w:rsid w:val="7BE76831"/>
    <w:rsid w:val="7C61564D"/>
    <w:rsid w:val="7D3C16D7"/>
    <w:rsid w:val="7D8066FA"/>
    <w:rsid w:val="7FC92E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sz w:val="32"/>
    </w:rPr>
  </w:style>
  <w:style w:type="paragraph" w:styleId="4">
    <w:name w:val="Body Text Indent"/>
    <w:basedOn w:val="1"/>
    <w:qFormat/>
    <w:uiPriority w:val="0"/>
    <w:pPr>
      <w:spacing w:line="580" w:lineRule="exact"/>
      <w:ind w:left="1680" w:leftChars="400" w:hanging="840" w:hangingChars="300"/>
    </w:pPr>
    <w:rPr>
      <w:rFonts w:ascii="仿宋_GB2312" w:hAnsi="Times New Roman" w:eastAsia="仿宋_GB2312"/>
      <w:sz w:val="2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jc w:val="left"/>
    </w:pPr>
    <w:rPr>
      <w:rFonts w:ascii="宋体" w:hAnsi="宋体" w:cs="宋体"/>
      <w:kern w:val="0"/>
      <w:sz w:val="24"/>
    </w:rPr>
  </w:style>
  <w:style w:type="paragraph" w:styleId="8">
    <w:name w:val="Title"/>
    <w:basedOn w:val="1"/>
    <w:qFormat/>
    <w:uiPriority w:val="0"/>
    <w:pPr>
      <w:widowControl w:val="0"/>
      <w:spacing w:before="240" w:after="60"/>
      <w:ind w:left="0" w:right="0"/>
      <w:jc w:val="center"/>
      <w:outlineLvl w:val="0"/>
    </w:pPr>
    <w:rPr>
      <w:rFonts w:ascii="Cambria" w:hAnsi="Cambria" w:eastAsia="宋体" w:cs="Times New Roman"/>
      <w:b/>
      <w:bCs/>
      <w:kern w:val="2"/>
      <w:sz w:val="32"/>
      <w:szCs w:val="32"/>
      <w:lang w:val="en-US" w:eastAsia="zh-CN" w:bidi="ar-SA"/>
    </w:rPr>
  </w:style>
  <w:style w:type="paragraph" w:styleId="9">
    <w:name w:val="Body Text First Indent 2"/>
    <w:basedOn w:val="4"/>
    <w:qFormat/>
    <w:uiPriority w:val="0"/>
    <w:pPr>
      <w:spacing w:after="120" w:line="240" w:lineRule="auto"/>
      <w:ind w:left="420" w:leftChars="200" w:firstLine="420" w:firstLineChars="200"/>
    </w:pPr>
    <w:rPr>
      <w:rFonts w:ascii="Calibri" w:hAnsi="Calibri" w:eastAsia="宋体"/>
      <w:sz w:val="21"/>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rFonts w:ascii="Times New Roman" w:hAnsi="Times New Roman"/>
      <w:b/>
    </w:rPr>
  </w:style>
  <w:style w:type="character" w:styleId="14">
    <w:name w:val="page number"/>
    <w:basedOn w:val="12"/>
    <w:qFormat/>
    <w:uiPriority w:val="99"/>
    <w:rPr>
      <w:rFonts w:cs="Times New Roman"/>
    </w:rPr>
  </w:style>
  <w:style w:type="character" w:styleId="15">
    <w:name w:val="FollowedHyperlink"/>
    <w:basedOn w:val="12"/>
    <w:qFormat/>
    <w:uiPriority w:val="99"/>
    <w:rPr>
      <w:rFonts w:cs="Times New Roman"/>
      <w:color w:val="0000FF"/>
      <w:u w:val="single"/>
    </w:rPr>
  </w:style>
  <w:style w:type="character" w:styleId="16">
    <w:name w:val="Hyperlink"/>
    <w:basedOn w:val="12"/>
    <w:qFormat/>
    <w:uiPriority w:val="99"/>
    <w:rPr>
      <w:rFonts w:cs="Times New Roman"/>
      <w:color w:val="0000FF"/>
      <w:u w:val="single"/>
    </w:rPr>
  </w:style>
  <w:style w:type="character" w:customStyle="1" w:styleId="17">
    <w:name w:val="href"/>
    <w:basedOn w:val="12"/>
    <w:qFormat/>
    <w:uiPriority w:val="99"/>
    <w:rPr>
      <w:rFonts w:cs="Times New Roman"/>
      <w:color w:val="0000FF"/>
      <w:u w:val="single"/>
    </w:rPr>
  </w:style>
  <w:style w:type="character" w:customStyle="1" w:styleId="18">
    <w:name w:val="页脚 Char"/>
    <w:basedOn w:val="12"/>
    <w:link w:val="5"/>
    <w:qFormat/>
    <w:uiPriority w:val="99"/>
    <w:rPr>
      <w:rFonts w:cs="Times New Roman"/>
      <w:sz w:val="18"/>
      <w:szCs w:val="18"/>
    </w:rPr>
  </w:style>
  <w:style w:type="paragraph" w:customStyle="1" w:styleId="19">
    <w:name w:val="p0"/>
    <w:basedOn w:val="1"/>
    <w:qFormat/>
    <w:uiPriority w:val="99"/>
    <w:pPr>
      <w:spacing w:before="100" w:beforeAutospacing="1" w:after="100" w:afterAutospacing="1"/>
    </w:pPr>
    <w:rPr>
      <w:rFonts w:ascii="宋体" w:hAnsi="宋体" w:cs="宋体"/>
      <w:sz w:val="24"/>
    </w:rPr>
  </w:style>
  <w:style w:type="character" w:customStyle="1" w:styleId="20">
    <w:name w:val="页眉 Char"/>
    <w:basedOn w:val="12"/>
    <w:link w:val="6"/>
    <w:qFormat/>
    <w:uiPriority w:val="99"/>
    <w:rPr>
      <w:rFonts w:cs="Times New Roman"/>
      <w:kern w:val="2"/>
      <w:sz w:val="18"/>
      <w:szCs w:val="18"/>
    </w:rPr>
  </w:style>
  <w:style w:type="character" w:customStyle="1" w:styleId="21">
    <w:name w:val="html-tag"/>
    <w:basedOn w:val="12"/>
    <w:qFormat/>
    <w:uiPriority w:val="0"/>
  </w:style>
  <w:style w:type="character" w:customStyle="1" w:styleId="22">
    <w:name w:val="html-attribute-name"/>
    <w:basedOn w:val="12"/>
    <w:qFormat/>
    <w:uiPriority w:val="0"/>
  </w:style>
  <w:style w:type="character" w:customStyle="1" w:styleId="23">
    <w:name w:val="html-attribute-value"/>
    <w:basedOn w:val="12"/>
    <w:qFormat/>
    <w:uiPriority w:val="0"/>
  </w:style>
  <w:style w:type="character" w:customStyle="1" w:styleId="24">
    <w:name w:val="leaidx"/>
    <w:basedOn w:val="12"/>
    <w:qFormat/>
    <w:uiPriority w:val="0"/>
  </w:style>
  <w:style w:type="character" w:customStyle="1" w:styleId="25">
    <w:name w:val="fontstyle21"/>
    <w:basedOn w:val="12"/>
    <w:qFormat/>
    <w:uiPriority w:val="0"/>
    <w:rPr>
      <w:rFonts w:ascii="仿宋_GB2312" w:hAnsi="仿宋_GB2312" w:eastAsia="仿宋_GB2312" w:cs="仿宋_GB2312"/>
      <w:color w:val="000000"/>
      <w:sz w:val="32"/>
      <w:szCs w:val="32"/>
    </w:rPr>
  </w:style>
  <w:style w:type="character" w:customStyle="1" w:styleId="26">
    <w:name w:val="fontstyle11"/>
    <w:basedOn w:val="12"/>
    <w:qFormat/>
    <w:uiPriority w:val="0"/>
    <w:rPr>
      <w:rFonts w:ascii="仿宋_GB2312" w:hAnsi="仿宋_GB2312" w:eastAsia="仿宋_GB2312" w:cs="仿宋_GB2312"/>
      <w:color w:val="000000"/>
      <w:sz w:val="32"/>
      <w:szCs w:val="32"/>
    </w:rPr>
  </w:style>
  <w:style w:type="character" w:customStyle="1" w:styleId="27">
    <w:name w:val="fontstyle01"/>
    <w:basedOn w:val="12"/>
    <w:qFormat/>
    <w:uiPriority w:val="0"/>
    <w:rPr>
      <w:rFonts w:ascii="TimesNewRomanPSMT" w:hAnsi="TimesNewRomanPSMT" w:eastAsia="TimesNewRomanPSMT" w:cs="TimesNewRomanPSMT"/>
      <w:color w:val="000000"/>
      <w:sz w:val="32"/>
      <w:szCs w:val="32"/>
    </w:rPr>
  </w:style>
  <w:style w:type="paragraph" w:customStyle="1" w:styleId="28">
    <w:name w:val="&quot;List Paragraph_64f458bd-83b7-44bb-8ae1-4a55ca055503&quot;"/>
    <w:basedOn w:val="1"/>
    <w:qFormat/>
    <w:uiPriority w:val="0"/>
    <w:pPr>
      <w:widowControl w:val="0"/>
      <w:spacing w:after="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9">
    <w:name w:val="&quot;Default&quot;"/>
    <w:qFormat/>
    <w:uiPriority w:val="0"/>
    <w:pPr>
      <w:widowControl w:val="0"/>
      <w:autoSpaceDE w:val="0"/>
      <w:autoSpaceDN w:val="0"/>
      <w:adjustRightInd w:val="0"/>
      <w:spacing w:after="0"/>
    </w:pPr>
    <w:rPr>
      <w:rFonts w:ascii="黑体" w:hAnsi="Times New Roman" w:eastAsia="黑体" w:cs="Times New Roman"/>
      <w:color w:val="000000"/>
      <w:sz w:val="24"/>
      <w:szCs w:val="24"/>
      <w:lang w:val="en-US" w:eastAsia="zh-CN" w:bidi="ar-SA"/>
    </w:rPr>
  </w:style>
  <w:style w:type="paragraph" w:customStyle="1" w:styleId="30">
    <w:name w:val="&quot;List Paragraph_cf825477-f2e3-457b-a226-2876d055dd8c&quot;"/>
    <w:basedOn w:val="1"/>
    <w:qFormat/>
    <w:uiPriority w:val="0"/>
    <w:pPr>
      <w:widowControl w:val="0"/>
      <w:spacing w:after="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1">
    <w:name w:val="&quot;Default&quot;1"/>
    <w:qFormat/>
    <w:uiPriority w:val="0"/>
    <w:pPr>
      <w:widowControl w:val="0"/>
      <w:autoSpaceDE w:val="0"/>
      <w:autoSpaceDN w:val="0"/>
      <w:adjustRightInd w:val="0"/>
      <w:spacing w:after="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3361</Words>
  <Characters>3447</Characters>
  <Paragraphs>147</Paragraphs>
  <TotalTime>3</TotalTime>
  <ScaleCrop>false</ScaleCrop>
  <LinksUpToDate>false</LinksUpToDate>
  <CharactersWithSpaces>3491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2018-06-21T07:28:00Z</dcterms:created>
  <dc:creator>微软用户</dc:creator>
  <cp:lastModifiedBy>tingcui</cp:lastModifiedBy>
  <cp:lastPrinted>2023-05-24T02:36:00Z</cp:lastPrinted>
  <dcterms:modified xsi:type="dcterms:W3CDTF">2023-05-30T02:10:40Z</dcterms:modified>
  <dc:title>钦州市食品药品监督管理局关于印发2013年</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0_btnclosed</vt:lpwstr>
  </property>
  <property fmtid="{D5CDD505-2E9C-101B-9397-08002B2CF9AE}" pid="4" name="ICV">
    <vt:lpwstr>0F3062484F824C11BF733DC722B12D1A_13</vt:lpwstr>
  </property>
</Properties>
</file>