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A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w w:val="100"/>
          <w:sz w:val="44"/>
          <w:szCs w:val="48"/>
          <w14:textFill>
            <w14:solidFill>
              <w14:schemeClr w14:val="tx1"/>
            </w14:solidFill>
          </w14:textFill>
        </w:rPr>
      </w:pPr>
      <w:r>
        <w:rPr>
          <w:rFonts w:hint="default" w:ascii="Times New Roman" w:hAnsi="Times New Roman" w:eastAsia="方正小标宋简体" w:cs="Times New Roman"/>
          <w:color w:val="000000" w:themeColor="text1"/>
          <w:w w:val="100"/>
          <w:sz w:val="44"/>
          <w:szCs w:val="48"/>
          <w14:textFill>
            <w14:solidFill>
              <w14:schemeClr w14:val="tx1"/>
            </w14:solidFill>
          </w14:textFill>
        </w:rPr>
        <w:t>钦北区粉尘涉爆生产安全事故应急预案</w:t>
      </w:r>
    </w:p>
    <w:p w14:paraId="101B9E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themeColor="text1"/>
          <w:sz w:val="28"/>
          <w:szCs w:val="36"/>
          <w14:textFill>
            <w14:solidFill>
              <w14:schemeClr w14:val="tx1"/>
            </w14:solidFill>
          </w14:textFill>
        </w:rPr>
      </w:pPr>
    </w:p>
    <w:p w14:paraId="6DCC81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 xml:space="preserve">目 </w:t>
      </w:r>
      <w:r>
        <w:rPr>
          <w:rFonts w:hint="default" w:ascii="Times New Roman" w:hAnsi="Times New Roman" w:eastAsia="黑体" w:cs="Times New Roman"/>
          <w:b/>
          <w:bCs/>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44"/>
          <w:szCs w:val="44"/>
          <w14:textFill>
            <w14:solidFill>
              <w14:schemeClr w14:val="tx1"/>
            </w14:solidFill>
          </w14:textFill>
        </w:rPr>
        <w:t>录</w:t>
      </w:r>
    </w:p>
    <w:p w14:paraId="4FFE1EAF">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14:textFill>
            <w14:solidFill>
              <w14:schemeClr w14:val="tx1"/>
            </w14:solidFill>
          </w14:textFill>
        </w:rPr>
        <w:instrText xml:space="preserve">TOC \o "1-3" \h \u </w:instrText>
      </w:r>
      <w:r>
        <w:rPr>
          <w:rFonts w:hint="default" w:ascii="Times New Roman" w:hAnsi="Times New Roman" w:eastAsia="宋体" w:cs="Times New Roman"/>
          <w:bCs/>
          <w:color w:val="000000" w:themeColor="text1"/>
          <w:sz w:val="24"/>
          <w:szCs w:val="24"/>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_Toc16281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1. 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_Toc16281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74E53AC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_Toc8032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_Toc8032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554AF0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_Toc25336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_Toc25336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C9988E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_Toc10072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_Toc10072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32247DB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_Toc17648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_Toc17648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0C7E51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_Toc9074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_Toc9074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A82125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_Toc15291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1.6</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应急预案体系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_Toc15291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CBF6CA7">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_Toc2656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1.6.1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钦北区粉尘涉爆生产安全事故应急预案体系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99BFAC4">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_Toc32544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1.6.2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应急预案支撑性文件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_Toc32544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412705F">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_Toc18753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2. 组织指挥体系及职责</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_Toc18753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4E36B450">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_Toc21102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2.1 指挥机构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_Toc21102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C056F66">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_Toc7724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区指挥部及指挥长职责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_Toc7724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C8070D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_Toc27478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区指挥部成员单位职责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_Toc27478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5948766">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现场指挥部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88FE15D">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_Toc25783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2.5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各应急救援工作组职责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_Toc25783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206ABD8">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_Toc18197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3. 监测与预警</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_Toc18197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- 12 -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7FC506B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_Toc17552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3.1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监测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_Toc17552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F03CC0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_Toc7886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3.2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预警</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_Toc7886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8B2D10C">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_Toc5811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4. 事故信息报告</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_Toc5811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507C5F2F">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_Toc24339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4.1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事故信息报告程序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_Toc24339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CF5A79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_Toc27127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4.2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事故信息报告内容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_Toc27127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FC6133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_Toc181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4.3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事故信息通报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D71E9A3">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_Toc11244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5.</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28"/>
          <w:szCs w:val="28"/>
          <w14:textFill>
            <w14:solidFill>
              <w14:schemeClr w14:val="tx1"/>
            </w14:solidFill>
          </w14:textFill>
        </w:rPr>
        <w:t>应急响应</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_Toc11244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2278FE3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_Toc23264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5.1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响应分级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_Toc23264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49675A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_Toc32622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5.2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响应程序及响应行动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_Toc32622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5906D99">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_Toc29683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6. 规范现场处置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_Toc29683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- 18 -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125E002B">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_Toc19589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企业先期处置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_Toc19589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294E25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_Toc19034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政府应急救援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_Toc19034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8F7572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_Toc31851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应急救援现场管理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_Toc31851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68875D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_Toc23802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科学安全有效施救</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_Toc23802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51DEA2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_Toc10936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6.5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救援暂停和终止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_Toc10936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22329C5A">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_Toc14378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7. 后期处置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_Toc14378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1500A1D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_Toc7429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善后处置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_Toc7429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1AC63BF">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_Toc13137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事故调查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_Toc13137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BC3DBD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_Toc7299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总结评估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_Toc7299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9C67FB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_Toc11427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恢复重建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_Toc11427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7B932C6">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_Toc26959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责任与奖惩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_Toc26959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4891800">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_Toc15251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7.5.1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奖励</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_Toc15251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385AEAE">
      <w:pPr>
        <w:pStyle w:val="7"/>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_Toc32157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7.5.2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责任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_Toc32157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7A2FD8A">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_Toc22508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8. 保障措施</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_Toc22508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56DECA3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_Toc18149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_Toc18149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9077F7F">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_Toc8890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装备、物资保障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_Toc8890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914A50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_Toc28079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通信保障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_Toc28079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78E76A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_Toc10082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交通运输保障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_Toc10082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E80480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_Toc18628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_Toc18628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209DA0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_Toc24221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8.6</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供水、供电保障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_Toc24221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C8EFAFA">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_Toc16065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8.7</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医疗卫生保障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_Toc16065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ABCA7E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_Toc19000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8.8</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治安保障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_Toc19000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19EA3DBD">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_Toc12639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8.9</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社会动员保障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_Toc12639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6085EB5">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_Toc30648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8.10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技术保障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_Toc30648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69FB32BA">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_Toc10226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9. </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28"/>
          <w:szCs w:val="28"/>
          <w14:textFill>
            <w14:solidFill>
              <w14:schemeClr w14:val="tx1"/>
            </w14:solidFill>
          </w14:textFill>
        </w:rPr>
        <w:t>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_Toc10226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49F5B4E0">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_Toc26976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_Toc26976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DF538BF">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_Toc23279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_Toc23279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8AD1F8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_Toc8236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预案修编</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_Toc8236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3D2B364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_Toc4205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预案解释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_Toc4205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B2CC95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_Toc5807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9.5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_Toc5807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73E20636">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HYPERLINK \l _Toc31242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10. 附件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_Toc31242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- 28 -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p>
    <w:p w14:paraId="4F58CA7F">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_Toc15366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附件1</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_Toc1688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粉尘涉爆生产安全事故指挥组织架构图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DEFAEBE">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_Toc14140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附件2</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_Toc28279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粉尘涉爆生产安全事故应急响应流程示意图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_Toc28279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5AF5B2DF">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_Toc16068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附件3</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_Toc14223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钦州市工贸生产安全专家名单</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_Toc14223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40D43E48">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_Toc27913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附件4</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_Toc5697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粉尘爆炸危害程度分析、事故预防与现场应急措施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_Toc5697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0DD14D5E">
      <w:pPr>
        <w:pStyle w:val="10"/>
        <w:keepNext w:val="0"/>
        <w:keepLines w:val="0"/>
        <w:pageBreakBefore w:val="0"/>
        <w:widowControl w:val="0"/>
        <w:tabs>
          <w:tab w:val="right" w:leader="dot" w:pos="907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_Toc534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附件5</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Cs/>
          <w:color w:val="000000" w:themeColor="text1"/>
          <w:sz w:val="28"/>
          <w:szCs w:val="28"/>
          <w14:textFill>
            <w14:solidFill>
              <w14:schemeClr w14:val="tx1"/>
            </w14:solidFill>
          </w14:textFill>
        </w:rPr>
        <w:instrText xml:space="preserve"> HYPERLINK \l _Toc31440 </w:instrText>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钦州市钦北区粉尘涉爆企业统计表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_Toc31440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Cs/>
          <w:color w:val="000000" w:themeColor="text1"/>
          <w:sz w:val="28"/>
          <w:szCs w:val="28"/>
          <w14:textFill>
            <w14:solidFill>
              <w14:schemeClr w14:val="tx1"/>
            </w14:solidFill>
          </w14:textFill>
        </w:rPr>
        <w:fldChar w:fldCharType="end"/>
      </w:r>
    </w:p>
    <w:p w14:paraId="322F35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upperRoman" w:start="1"/>
          <w:cols w:space="425" w:num="1"/>
          <w:docGrid w:linePitch="312" w:charSpace="0"/>
        </w:sectPr>
      </w:pPr>
      <w:r>
        <w:rPr>
          <w:rFonts w:hint="default" w:ascii="Times New Roman" w:hAnsi="Times New Roman" w:eastAsia="宋体" w:cs="Times New Roman"/>
          <w:bCs/>
          <w:color w:val="000000" w:themeColor="text1"/>
          <w:sz w:val="24"/>
          <w:szCs w:val="24"/>
          <w14:textFill>
            <w14:solidFill>
              <w14:schemeClr w14:val="tx1"/>
            </w14:solidFill>
          </w14:textFill>
        </w:rPr>
        <w:fldChar w:fldCharType="end"/>
      </w:r>
    </w:p>
    <w:p w14:paraId="718868C7">
      <w:pPr>
        <w:rPr>
          <w:rFonts w:hint="default"/>
        </w:rPr>
        <w:sectPr>
          <w:footerReference r:id="rId5" w:type="default"/>
          <w:pgSz w:w="11906" w:h="16838"/>
          <w:pgMar w:top="1417" w:right="1417" w:bottom="1417" w:left="1417" w:header="851" w:footer="992" w:gutter="0"/>
          <w:pgNumType w:fmt="upperRoman" w:start="1"/>
          <w:cols w:space="425" w:num="1"/>
          <w:docGrid w:linePitch="312" w:charSpace="0"/>
        </w:sectPr>
      </w:pPr>
    </w:p>
    <w:p w14:paraId="006807A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0" w:name="_Toc16281"/>
      <w:bookmarkStart w:id="1" w:name="_Toc26751"/>
      <w:r>
        <w:rPr>
          <w:rFonts w:hint="default" w:ascii="Times New Roman" w:hAnsi="Times New Roman" w:eastAsia="黑体" w:cs="Times New Roman"/>
          <w:b w:val="0"/>
          <w:color w:val="000000" w:themeColor="text1"/>
          <w:sz w:val="32"/>
          <w:szCs w:val="32"/>
          <w14:textFill>
            <w14:solidFill>
              <w14:schemeClr w14:val="tx1"/>
            </w14:solidFill>
          </w14:textFill>
        </w:rPr>
        <w:t>1. 总则</w:t>
      </w:r>
      <w:bookmarkEnd w:id="0"/>
      <w:bookmarkEnd w:id="1"/>
    </w:p>
    <w:p w14:paraId="2351344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 w:name="_Toc8032"/>
      <w:bookmarkStart w:id="3" w:name="_Toc5269"/>
      <w:r>
        <w:rPr>
          <w:rFonts w:hint="default" w:ascii="Times New Roman" w:hAnsi="Times New Roman" w:eastAsia="楷体_GB2312" w:cs="Times New Roman"/>
          <w:b w:val="0"/>
          <w:color w:val="000000" w:themeColor="text1"/>
          <w14:textFill>
            <w14:solidFill>
              <w14:schemeClr w14:val="tx1"/>
            </w14:solidFill>
          </w14:textFill>
        </w:rPr>
        <w:t>1.1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编制目的</w:t>
      </w:r>
      <w:bookmarkEnd w:id="2"/>
      <w:bookmarkEnd w:id="3"/>
    </w:p>
    <w:p w14:paraId="39F33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bookmarkStart w:id="4" w:name="_Hlk49336570"/>
      <w:r>
        <w:rPr>
          <w:rFonts w:hint="default" w:ascii="Times New Roman" w:hAnsi="Times New Roman" w:eastAsia="仿宋_GB2312" w:cs="Times New Roman"/>
          <w:color w:val="000000" w:themeColor="text1"/>
          <w:sz w:val="32"/>
          <w:szCs w:val="28"/>
          <w14:textFill>
            <w14:solidFill>
              <w14:schemeClr w14:val="tx1"/>
            </w14:solidFill>
          </w14:textFill>
        </w:rPr>
        <w:t>以习近平新时代中国特色社会主义思想为指导，坚持</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人民至上、生命至上</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w:t>
      </w:r>
      <w:bookmarkEnd w:id="4"/>
      <w:r>
        <w:rPr>
          <w:rFonts w:hint="default" w:ascii="Times New Roman" w:hAnsi="Times New Roman" w:eastAsia="仿宋_GB2312" w:cs="Times New Roman"/>
          <w:color w:val="000000" w:themeColor="text1"/>
          <w:sz w:val="32"/>
          <w:szCs w:val="28"/>
          <w14:textFill>
            <w14:solidFill>
              <w14:schemeClr w14:val="tx1"/>
            </w14:solidFill>
          </w14:textFill>
        </w:rPr>
        <w:t>为规范我区粉尘涉爆生产安全事故应急处置程序，提高我区对粉尘爆炸事故的应急处理能力，建立健全粉尘爆炸应急机制，最大限度地减少事故造成的人员伤亡和财产损失，保障人民群众生命、财产安全和社会稳定，促进</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辖</w:t>
      </w:r>
      <w:r>
        <w:rPr>
          <w:rFonts w:hint="default" w:ascii="Times New Roman" w:hAnsi="Times New Roman" w:eastAsia="仿宋_GB2312" w:cs="Times New Roman"/>
          <w:color w:val="000000" w:themeColor="text1"/>
          <w:sz w:val="32"/>
          <w:szCs w:val="28"/>
          <w14:textFill>
            <w14:solidFill>
              <w14:schemeClr w14:val="tx1"/>
            </w14:solidFill>
          </w14:textFill>
        </w:rPr>
        <w:t>区经济社会全面、协调、可持续发展，制定本预案。</w:t>
      </w:r>
    </w:p>
    <w:p w14:paraId="21B559B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 w:name="_Toc28755"/>
      <w:bookmarkStart w:id="6" w:name="_Toc25336"/>
      <w:r>
        <w:rPr>
          <w:rFonts w:hint="default" w:ascii="Times New Roman" w:hAnsi="Times New Roman" w:eastAsia="楷体_GB2312" w:cs="Times New Roman"/>
          <w:b w:val="0"/>
          <w:color w:val="000000" w:themeColor="text1"/>
          <w14:textFill>
            <w14:solidFill>
              <w14:schemeClr w14:val="tx1"/>
            </w14:solidFill>
          </w14:textFill>
        </w:rPr>
        <w:t>1.2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编制依据</w:t>
      </w:r>
      <w:bookmarkEnd w:id="5"/>
      <w:bookmarkEnd w:id="6"/>
    </w:p>
    <w:p w14:paraId="04D56D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《中华人民共和国安全生产法》（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主席令第88号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2021年9月1日实施</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46EBEA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（2）《中华人民共和国消防法》（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主席令第81号，2021年4月29日修订</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1D8C4E3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（3）《中华人民共和国突发事件应对法》（主席令</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〔2024〕25号</w:t>
      </w:r>
      <w:r>
        <w:rPr>
          <w:rFonts w:hint="default" w:ascii="Times New Roman" w:hAnsi="Times New Roman" w:eastAsia="仿宋_GB2312" w:cs="Times New Roman"/>
          <w:color w:val="000000" w:themeColor="text1"/>
          <w:spacing w:val="0"/>
          <w:sz w:val="32"/>
          <w:szCs w:val="28"/>
          <w14:textFill>
            <w14:solidFill>
              <w14:schemeClr w14:val="tx1"/>
            </w14:solidFill>
          </w14:textFill>
        </w:rPr>
        <w:t>，2</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024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年11月1日起施行）；</w:t>
      </w:r>
    </w:p>
    <w:p w14:paraId="4DDF214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《中华人民共和国环境保护法》（主席令</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〔1989〕22号</w:t>
      </w:r>
      <w:r>
        <w:rPr>
          <w:rFonts w:hint="default" w:ascii="Times New Roman" w:hAnsi="Times New Roman" w:eastAsia="仿宋_GB2312" w:cs="Times New Roman"/>
          <w:color w:val="000000" w:themeColor="text1"/>
          <w:sz w:val="32"/>
          <w:szCs w:val="28"/>
          <w14:textFill>
            <w14:solidFill>
              <w14:schemeClr w14:val="tx1"/>
            </w14:solidFill>
          </w14:textFill>
        </w:rPr>
        <w:t>发布，主席令</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〔2014〕9号</w:t>
      </w:r>
      <w:r>
        <w:rPr>
          <w:rFonts w:hint="default" w:ascii="Times New Roman" w:hAnsi="Times New Roman" w:eastAsia="仿宋_GB2312" w:cs="Times New Roman"/>
          <w:color w:val="000000" w:themeColor="text1"/>
          <w:sz w:val="32"/>
          <w:szCs w:val="28"/>
          <w14:textFill>
            <w14:solidFill>
              <w14:schemeClr w14:val="tx1"/>
            </w14:solidFill>
          </w14:textFill>
        </w:rPr>
        <w:t>修订，2015年1月1日起施行）；</w:t>
      </w:r>
    </w:p>
    <w:p w14:paraId="2CE0F89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《中华人民共和国劳动法》（国家主席令</w:t>
      </w:r>
      <w:r>
        <w:rPr>
          <w:rFonts w:hint="default" w:ascii="Times New Roman" w:hAnsi="Times New Roman" w:eastAsia="仿宋_GB2312" w:cs="Times New Roman"/>
          <w:color w:val="000000" w:themeColor="text1"/>
          <w:sz w:val="32"/>
          <w:lang w:eastAsia="zh-CN"/>
          <w14:textFill>
            <w14:solidFill>
              <w14:schemeClr w14:val="tx1"/>
            </w14:solidFill>
          </w14:textFill>
        </w:rPr>
        <w:t>〔1994〕28号</w:t>
      </w:r>
      <w:r>
        <w:rPr>
          <w:rFonts w:hint="default" w:ascii="Times New Roman" w:hAnsi="Times New Roman" w:eastAsia="仿宋_GB2312" w:cs="Times New Roman"/>
          <w:color w:val="000000" w:themeColor="text1"/>
          <w:sz w:val="32"/>
          <w14:textFill>
            <w14:solidFill>
              <w14:schemeClr w14:val="tx1"/>
            </w14:solidFill>
          </w14:textFill>
        </w:rPr>
        <w:t>公布，国家主席令</w:t>
      </w:r>
      <w:r>
        <w:rPr>
          <w:rFonts w:hint="default" w:ascii="Times New Roman" w:hAnsi="Times New Roman" w:eastAsia="仿宋_GB2312" w:cs="Times New Roman"/>
          <w:color w:val="000000" w:themeColor="text1"/>
          <w:sz w:val="32"/>
          <w:lang w:eastAsia="zh-CN"/>
          <w14:textFill>
            <w14:solidFill>
              <w14:schemeClr w14:val="tx1"/>
            </w14:solidFill>
          </w14:textFill>
        </w:rPr>
        <w:t>〔2018〕24号</w:t>
      </w:r>
      <w:r>
        <w:rPr>
          <w:rFonts w:hint="default" w:ascii="Times New Roman" w:hAnsi="Times New Roman" w:eastAsia="仿宋_GB2312" w:cs="Times New Roman"/>
          <w:color w:val="000000" w:themeColor="text1"/>
          <w:sz w:val="32"/>
          <w14:textFill>
            <w14:solidFill>
              <w14:schemeClr w14:val="tx1"/>
            </w14:solidFill>
          </w14:textFill>
        </w:rPr>
        <w:t>第二次修订，2018年12月29日施行）；</w:t>
      </w:r>
    </w:p>
    <w:p w14:paraId="20FCB1F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《生产安全事故报告和调查处理条例》（国务院令</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28"/>
          <w14:textFill>
            <w14:solidFill>
              <w14:schemeClr w14:val="tx1"/>
            </w14:solidFill>
          </w14:textFill>
        </w:rPr>
        <w:t>）；</w:t>
      </w:r>
    </w:p>
    <w:p w14:paraId="6270349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《突发事件应急预案管理办法》（国办发〔20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28"/>
          <w14:textFill>
            <w14:solidFill>
              <w14:schemeClr w14:val="tx1"/>
            </w14:solidFill>
          </w14:textFill>
        </w:rPr>
        <w:t>号）；</w:t>
      </w:r>
    </w:p>
    <w:p w14:paraId="097EEC7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《生产安全事故应急条例》（国务院令第708号，2019年4月1日起施行）；</w:t>
      </w:r>
    </w:p>
    <w:p w14:paraId="0DB1C78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《生产安全事故应急预案管理办法》（</w:t>
      </w:r>
      <w:r>
        <w:rPr>
          <w:rFonts w:hint="default" w:ascii="Times New Roman" w:hAnsi="Times New Roman" w:eastAsia="仿宋_GB2312" w:cs="Times New Roman"/>
          <w:color w:val="000000" w:themeColor="text1"/>
          <w:sz w:val="32"/>
          <w:szCs w:val="32"/>
          <w14:textFill>
            <w14:solidFill>
              <w14:schemeClr w14:val="tx1"/>
            </w14:solidFill>
          </w14:textFill>
        </w:rPr>
        <w:t>应急管理部令第2号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2019年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9月1日实施</w:t>
      </w:r>
      <w:r>
        <w:rPr>
          <w:rFonts w:hint="default" w:ascii="Times New Roman" w:hAnsi="Times New Roman" w:eastAsia="仿宋_GB2312" w:cs="Times New Roman"/>
          <w:color w:val="000000" w:themeColor="text1"/>
          <w:sz w:val="32"/>
          <w:szCs w:val="28"/>
          <w14:textFill>
            <w14:solidFill>
              <w14:schemeClr w14:val="tx1"/>
            </w14:solidFill>
          </w14:textFill>
        </w:rPr>
        <w:t>）；</w:t>
      </w:r>
    </w:p>
    <w:p w14:paraId="5BBC5CA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《生产经营单位安全生产事故应急预案编制导则》（GB/T29639</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20，2021年4月1日实施</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p>
    <w:p w14:paraId="6ECDBF9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《国务院安委会关于进一步加强生产安全事故应急处置工作的通知》（安委〔2013〕8号）；</w:t>
      </w:r>
    </w:p>
    <w:p w14:paraId="7F0C182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《工贸行业重点可燃性粉尘目录（2015版）》（原安监总厅管四2015</w:t>
      </w:r>
      <w:r>
        <w:rPr>
          <w:rFonts w:hint="eastAsia" w:ascii="Times New Roman" w:hAnsi="Times New Roman" w:eastAsia="仿宋_GB2312" w:cs="Times New Roman"/>
          <w:color w:val="000000" w:themeColor="text1"/>
          <w:sz w:val="32"/>
          <w:lang w:eastAsia="zh-CN"/>
          <w14:textFill>
            <w14:solidFill>
              <w14:schemeClr w14:val="tx1"/>
            </w14:solidFill>
          </w14:textFill>
        </w:rPr>
        <w:t>年第</w:t>
      </w:r>
      <w:r>
        <w:rPr>
          <w:rFonts w:hint="default" w:ascii="Times New Roman" w:hAnsi="Times New Roman" w:eastAsia="仿宋_GB2312" w:cs="Times New Roman"/>
          <w:color w:val="000000" w:themeColor="text1"/>
          <w:sz w:val="32"/>
          <w14:textFill>
            <w14:solidFill>
              <w14:schemeClr w14:val="tx1"/>
            </w14:solidFill>
          </w14:textFill>
        </w:rPr>
        <w:t>84号）；</w:t>
      </w:r>
    </w:p>
    <w:p w14:paraId="038D30F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28"/>
          <w:lang w:val="en-US" w:eastAsia="zh-CN" w:bidi="ar-SA"/>
          <w14:textFill>
            <w14:solidFill>
              <w14:schemeClr w14:val="tx1"/>
            </w14:solidFill>
          </w14:textFill>
        </w:rPr>
        <w:t>《工贸企业粉尘防爆安全规定》（应急管理部令</w:t>
      </w:r>
      <w:r>
        <w:rPr>
          <w:rFonts w:hint="eastAsia" w:ascii="Times New Roman" w:hAnsi="Times New Roman" w:eastAsia="仿宋_GB2312" w:cs="Times New Roman"/>
          <w:color w:val="000000" w:themeColor="text1"/>
          <w:spacing w:val="0"/>
          <w:kern w:val="2"/>
          <w:sz w:val="32"/>
          <w:szCs w:val="28"/>
          <w:lang w:val="en-US" w:eastAsia="zh-CN" w:bidi="ar-SA"/>
          <w14:textFill>
            <w14:solidFill>
              <w14:schemeClr w14:val="tx1"/>
            </w14:solidFill>
          </w14:textFill>
        </w:rPr>
        <w:t>第</w:t>
      </w:r>
      <w:r>
        <w:rPr>
          <w:rFonts w:hint="default" w:ascii="Times New Roman" w:hAnsi="Times New Roman" w:eastAsia="仿宋_GB2312" w:cs="Times New Roman"/>
          <w:color w:val="000000" w:themeColor="text1"/>
          <w:spacing w:val="0"/>
          <w:kern w:val="2"/>
          <w:sz w:val="32"/>
          <w:szCs w:val="28"/>
          <w:lang w:val="en-US" w:eastAsia="zh-CN" w:bidi="ar-SA"/>
          <w14:textFill>
            <w14:solidFill>
              <w14:schemeClr w14:val="tx1"/>
            </w14:solidFill>
          </w14:textFill>
        </w:rPr>
        <w:t>6号，2021年9月1日施行）</w:t>
      </w:r>
      <w:r>
        <w:rPr>
          <w:rFonts w:hint="eastAsia" w:ascii="Times New Roman" w:hAnsi="Times New Roman" w:eastAsia="仿宋_GB2312" w:cs="Times New Roman"/>
          <w:color w:val="000000" w:themeColor="text1"/>
          <w:spacing w:val="0"/>
          <w:kern w:val="2"/>
          <w:sz w:val="32"/>
          <w:szCs w:val="28"/>
          <w:lang w:val="en-US" w:eastAsia="zh-CN" w:bidi="ar-SA"/>
          <w14:textFill>
            <w14:solidFill>
              <w14:schemeClr w14:val="tx1"/>
            </w14:solidFill>
          </w14:textFill>
        </w:rPr>
        <w:t>；</w:t>
      </w:r>
    </w:p>
    <w:p w14:paraId="7551D78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《广西壮族自治区安全生产条例》（20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6月1日实施</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w:t>
      </w:r>
    </w:p>
    <w:p w14:paraId="411950F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《广西壮族自治区实施〈中华人民共和国突发事件应对法〉办法》（2013年版）；</w:t>
      </w:r>
    </w:p>
    <w:p w14:paraId="263CAE8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《广西壮族自治区突发事件应急救援预案》；</w:t>
      </w:r>
    </w:p>
    <w:p w14:paraId="7BFBBC3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《广西壮族自治区生产安全事故灾难应急预案》；</w:t>
      </w:r>
    </w:p>
    <w:p w14:paraId="14D6F3D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《广西壮族自治区粉尘爆炸生产安全事故应急预案》；</w:t>
      </w:r>
    </w:p>
    <w:p w14:paraId="049F113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《钦州市粉尘爆炸生产安全事故应急预案》；</w:t>
      </w:r>
    </w:p>
    <w:p w14:paraId="7A9D32D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《钦北区机构改革方案》。</w:t>
      </w:r>
    </w:p>
    <w:p w14:paraId="7622CB7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7" w:name="_Toc16971"/>
      <w:bookmarkStart w:id="8" w:name="_Toc10072"/>
      <w:r>
        <w:rPr>
          <w:rFonts w:hint="default" w:ascii="Times New Roman" w:hAnsi="Times New Roman" w:eastAsia="楷体_GB2312" w:cs="Times New Roman"/>
          <w:b w:val="0"/>
          <w:color w:val="000000" w:themeColor="text1"/>
          <w14:textFill>
            <w14:solidFill>
              <w14:schemeClr w14:val="tx1"/>
            </w14:solidFill>
          </w14:textFill>
        </w:rPr>
        <w:t>1.3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适用范围</w:t>
      </w:r>
      <w:bookmarkEnd w:id="7"/>
      <w:bookmarkEnd w:id="8"/>
    </w:p>
    <w:p w14:paraId="2681A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本预案适用于钦北区行政区域内发生的粉尘爆炸生产安全事故的应急处置工作。</w:t>
      </w:r>
    </w:p>
    <w:p w14:paraId="59A8A0C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9" w:name="_Toc17648"/>
      <w:bookmarkStart w:id="10" w:name="_Toc19773"/>
      <w:r>
        <w:rPr>
          <w:rFonts w:hint="default" w:ascii="Times New Roman" w:hAnsi="Times New Roman" w:eastAsia="楷体_GB2312" w:cs="Times New Roman"/>
          <w:b w:val="0"/>
          <w:color w:val="000000" w:themeColor="text1"/>
          <w14:textFill>
            <w14:solidFill>
              <w14:schemeClr w14:val="tx1"/>
            </w14:solidFill>
          </w14:textFill>
        </w:rPr>
        <w:t>1.4</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工作原则</w:t>
      </w:r>
      <w:bookmarkEnd w:id="9"/>
      <w:bookmarkEnd w:id="10"/>
    </w:p>
    <w:p w14:paraId="70E478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以人为本，预防为主</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源头治理。牢固树立安全发展理念，弘扬生命至上、安全第一的思想，增强防范意识，坚持常态与非常态并重、预防与应急相结合，加强风险隐患排查治理，把确保人民群众生命财产安全放在首位，最大限度减少事故造成的人员伤亡和财产损失。</w:t>
      </w:r>
    </w:p>
    <w:p w14:paraId="6545A4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统一领导，依法管理</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科学处置。健全统一领导、综合协调、分类管理、分级负责、属地为主的应急管理体制，充分运用</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互联网+</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理念和大数据、云计算等技术手段，充分发挥专家队伍和专业人员的作用，规范事故应对活动，提高预防和应对事故的规范化、制度化、</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法治化水平</w:t>
      </w:r>
      <w:r>
        <w:rPr>
          <w:rFonts w:hint="default" w:ascii="Times New Roman" w:hAnsi="Times New Roman" w:eastAsia="仿宋_GB2312" w:cs="Times New Roman"/>
          <w:color w:val="000000" w:themeColor="text1"/>
          <w:sz w:val="32"/>
          <w:szCs w:val="28"/>
          <w14:textFill>
            <w14:solidFill>
              <w14:schemeClr w14:val="tx1"/>
            </w14:solidFill>
          </w14:textFill>
        </w:rPr>
        <w:t>。</w:t>
      </w:r>
    </w:p>
    <w:p w14:paraId="56BF0E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快速反应，协同应对，信息透明。充分动员和发挥镇（街道）、村（社区）、企事业单位、社会团体和志愿者队伍的作用，依靠人民群众，形成统一指挥、快速反应、协调有序、运转高效的应急管理机制。及时准确发布事故信息</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充分发挥新闻媒体作用</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客观真实报道事故发展及处置工作情况</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正确引导社会舆论。</w:t>
      </w:r>
    </w:p>
    <w:p w14:paraId="79B81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区人民政府是应对本行政区域发生一般粉尘爆炸生产安全事故的责任主体；各镇人民政府（街道办事处）及有关部门依据职责开展事故应急处置工作。</w:t>
      </w:r>
    </w:p>
    <w:p w14:paraId="35D9AFB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11" w:name="_Toc9074"/>
      <w:bookmarkStart w:id="12" w:name="_Toc22661"/>
      <w:r>
        <w:rPr>
          <w:rFonts w:hint="default" w:ascii="Times New Roman" w:hAnsi="Times New Roman" w:eastAsia="楷体_GB2312" w:cs="Times New Roman"/>
          <w:b w:val="0"/>
          <w:color w:val="000000" w:themeColor="text1"/>
          <w14:textFill>
            <w14:solidFill>
              <w14:schemeClr w14:val="tx1"/>
            </w14:solidFill>
          </w14:textFill>
        </w:rPr>
        <w:t>1.5</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事故分级</w:t>
      </w:r>
      <w:bookmarkEnd w:id="11"/>
      <w:bookmarkEnd w:id="12"/>
    </w:p>
    <w:p w14:paraId="0AD92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根据事故严重程度，粉尘涉爆生产安全事故由高到低分为特别重大、重大、较大、一般四个等级。</w:t>
      </w:r>
    </w:p>
    <w:p w14:paraId="1F692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特别重大事故：造成30人以上死亡（或失踪），或重伤100人以上（包括急性工业中毒），或1亿元以上直接经济损失的。</w:t>
      </w:r>
    </w:p>
    <w:p w14:paraId="59873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重大事故：造成10人以上30人以下死亡（或失踪），或50人以上100人以下重伤（包括急性工业中毒），或5000万元以上1亿元以下直接经济损失的。</w:t>
      </w:r>
    </w:p>
    <w:p w14:paraId="4EFE0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较大事故：造成3人以上10人以下死亡（或失踪），或10人以上50人以下重伤（包括急性工业中毒），或1000万元以上5000万元以下直接经济损失的。</w:t>
      </w:r>
    </w:p>
    <w:p w14:paraId="3F92E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一般事故：造成3人以下死亡（或失踪），或10人以下重伤（包括急性工业中毒），或1000万元以下直接经济损失的。</w:t>
      </w:r>
    </w:p>
    <w:p w14:paraId="35F31CA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上述有关数量表述中，</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以上</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含本数，</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以下</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不含本数。</w:t>
      </w:r>
    </w:p>
    <w:p w14:paraId="4D49B4E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13" w:name="_Toc10926"/>
      <w:bookmarkStart w:id="14" w:name="_Toc26185"/>
      <w:bookmarkStart w:id="15" w:name="_Toc15291"/>
      <w:bookmarkStart w:id="16" w:name="_Toc49241101"/>
      <w:r>
        <w:rPr>
          <w:rFonts w:hint="default" w:ascii="Times New Roman" w:hAnsi="Times New Roman" w:eastAsia="楷体_GB2312" w:cs="Times New Roman"/>
          <w:b w:val="0"/>
          <w:color w:val="000000" w:themeColor="text1"/>
          <w14:textFill>
            <w14:solidFill>
              <w14:schemeClr w14:val="tx1"/>
            </w14:solidFill>
          </w14:textFill>
        </w:rPr>
        <w:t>1.6</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应急预案体系</w:t>
      </w:r>
      <w:bookmarkEnd w:id="13"/>
      <w:bookmarkEnd w:id="14"/>
      <w:bookmarkEnd w:id="15"/>
      <w:bookmarkEnd w:id="16"/>
    </w:p>
    <w:p w14:paraId="50238BA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17" w:name="_Toc2656"/>
      <w:bookmarkStart w:id="18" w:name="_Toc6725"/>
      <w:bookmarkStart w:id="19" w:name="_Toc21082"/>
      <w:r>
        <w:rPr>
          <w:rFonts w:hint="default" w:ascii="Times New Roman" w:hAnsi="Times New Roman" w:eastAsia="仿宋_GB2312" w:cs="Times New Roman"/>
          <w:color w:val="000000" w:themeColor="text1"/>
          <w:szCs w:val="28"/>
          <w14:textFill>
            <w14:solidFill>
              <w14:schemeClr w14:val="tx1"/>
            </w14:solidFill>
          </w14:textFill>
        </w:rPr>
        <w:t>1.6.1</w:t>
      </w:r>
      <w:r>
        <w:rPr>
          <w:rFonts w:hint="default" w:ascii="Times New Roman" w:hAnsi="Times New Roman" w:eastAsia="仿宋_GB2312"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28"/>
          <w14:textFill>
            <w14:solidFill>
              <w14:schemeClr w14:val="tx1"/>
            </w14:solidFill>
          </w14:textFill>
        </w:rPr>
        <w:t>钦北区粉尘涉爆生产安全事故应急预案体系</w:t>
      </w:r>
      <w:bookmarkEnd w:id="17"/>
      <w:bookmarkEnd w:id="18"/>
      <w:bookmarkEnd w:id="19"/>
    </w:p>
    <w:p w14:paraId="41CEC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钦北区粉尘涉爆生产安全事故应急预案》分别与《广西壮族自治区粉尘爆炸生产安全事故应急预案》《钦州市粉尘涉爆生产安全事故应急预案》相衔接，是为应对粉尘涉爆生产安全事故而特别制定的区级的专项应急救援预案，其明确规范区级层面的应急行动，同时体现了指导性。</w:t>
      </w:r>
    </w:p>
    <w:p w14:paraId="73824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（2）区相关部门和单位编制的专项预案，由各负有粉尘涉爆生产安全事故应急职责的牵头单位负责编制，并与本预案相衔接。</w:t>
      </w:r>
    </w:p>
    <w:p w14:paraId="181E8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（3）各镇人民政府（街道办事处）粉尘涉爆生产安全事故应急预案及各类配套的专项应急预案，所编制的预案与本预案及配套的专项预案相衔接。</w:t>
      </w:r>
    </w:p>
    <w:p w14:paraId="7FD3F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（4）粉尘涉爆生产经营单位编制的生产安全事故应急预案，是本预案体系的组成部分。</w:t>
      </w:r>
    </w:p>
    <w:p w14:paraId="45FC1A1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20" w:name="_Toc32544"/>
      <w:bookmarkStart w:id="21" w:name="_Toc22592"/>
      <w:bookmarkStart w:id="22" w:name="_Toc8571"/>
      <w:r>
        <w:rPr>
          <w:rFonts w:hint="default" w:ascii="Times New Roman" w:hAnsi="Times New Roman" w:eastAsia="仿宋_GB2312" w:cs="Times New Roman"/>
          <w:color w:val="000000" w:themeColor="text1"/>
          <w:szCs w:val="28"/>
          <w14:textFill>
            <w14:solidFill>
              <w14:schemeClr w14:val="tx1"/>
            </w14:solidFill>
          </w14:textFill>
        </w:rPr>
        <w:t>1.6.2</w:t>
      </w:r>
      <w:r>
        <w:rPr>
          <w:rFonts w:hint="default" w:ascii="Times New Roman" w:hAnsi="Times New Roman" w:eastAsia="仿宋_GB2312"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28"/>
          <w14:textFill>
            <w14:solidFill>
              <w14:schemeClr w14:val="tx1"/>
            </w14:solidFill>
          </w14:textFill>
        </w:rPr>
        <w:t>应急预案支撑性文件</w:t>
      </w:r>
      <w:bookmarkEnd w:id="20"/>
      <w:bookmarkEnd w:id="21"/>
      <w:bookmarkEnd w:id="22"/>
    </w:p>
    <w:p w14:paraId="27C58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工作手册是预案涉及的有关部门对自身承担职责任务进一步分解细化的工作方案，是本部门应对突发事件的工作指南。党委、政府及其部门应急预案涉及的有关部门要编制相应工作手册，确保预案各项职责任务落实到位。要把每一项职责任务细化、具体化，明确工作内容和流程，并落实到具体责任部门、具体责任人。基层组织和单位应急预案涉及有关方面根据自身实际情况，可单独编制工作手册，也可将有关内容融入预案，合并编制。</w:t>
      </w:r>
    </w:p>
    <w:p w14:paraId="0C60C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件行动方案是参与突发事件应对的现场指挥机构、救援队伍、专家队伍等按照应急预案、工作手册或上级指挥机构要求，为指挥现场行动或执行具体任务，根据现场实际情况而制定的工作方案。要明确现场处置的队伍、装备、物资等应急资源，队伍编成、力量预置、行动路线、战勤保障、通信联络等具体内容，以及采取的具体对策措施和实施步骤。</w:t>
      </w:r>
      <w:bookmarkStart w:id="23" w:name="_Toc19992"/>
    </w:p>
    <w:p w14:paraId="1648976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24" w:name="_Toc18753"/>
      <w:r>
        <w:rPr>
          <w:rFonts w:hint="default" w:ascii="Times New Roman" w:hAnsi="Times New Roman" w:eastAsia="黑体" w:cs="Times New Roman"/>
          <w:b w:val="0"/>
          <w:color w:val="000000" w:themeColor="text1"/>
          <w:sz w:val="32"/>
          <w:szCs w:val="32"/>
          <w14:textFill>
            <w14:solidFill>
              <w14:schemeClr w14:val="tx1"/>
            </w14:solidFill>
          </w14:textFill>
        </w:rPr>
        <w:t>2. 组织指挥体系及职责</w:t>
      </w:r>
      <w:bookmarkEnd w:id="23"/>
      <w:bookmarkEnd w:id="24"/>
    </w:p>
    <w:p w14:paraId="19EF837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5" w:name="_Toc21102"/>
      <w:r>
        <w:rPr>
          <w:rFonts w:hint="default" w:ascii="Times New Roman" w:hAnsi="Times New Roman" w:eastAsia="楷体_GB2312" w:cs="Times New Roman"/>
          <w:b w:val="0"/>
          <w:color w:val="000000" w:themeColor="text1"/>
          <w14:textFill>
            <w14:solidFill>
              <w14:schemeClr w14:val="tx1"/>
            </w14:solidFill>
          </w14:textFill>
        </w:rPr>
        <w:t>2.1 指挥机构</w:t>
      </w:r>
      <w:bookmarkEnd w:id="25"/>
    </w:p>
    <w:p w14:paraId="23A71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发生一般粉尘涉爆生产安全事故，区人民政府成立钦北区粉尘涉爆生产安全事故应急处置指挥部（以下简称区指挥部），实行指挥长负责制，承担事故应急处置的组织领导、指挥协调工作。</w:t>
      </w:r>
    </w:p>
    <w:p w14:paraId="1AF50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指 挥 长：区委常委、常务副区长</w:t>
      </w:r>
    </w:p>
    <w:p w14:paraId="29479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副指挥长：区人民政府办公室分管应急工作的副主任</w:t>
      </w:r>
    </w:p>
    <w:p w14:paraId="42E06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 xml:space="preserve">          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主要负责同志</w:t>
      </w:r>
    </w:p>
    <w:p w14:paraId="4597C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成员单位：区委宣传部、区总工会、</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28"/>
          <w14:textFill>
            <w14:solidFill>
              <w14:schemeClr w14:val="tx1"/>
            </w14:solidFill>
          </w14:textFill>
        </w:rPr>
        <w:t>、区民政局、区财政局、区人力资源社会保障局、区住房城乡建设局、区综合行政执法局</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区交通运输局、区卫生健康局、区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、区市场监管局</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公安钦北分局、钦北生态环境局、</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28"/>
          <w14:textFill>
            <w14:solidFill>
              <w14:schemeClr w14:val="tx1"/>
            </w14:solidFill>
          </w14:textFill>
        </w:rPr>
        <w:t>、市交警三大队、市交警四大队等，视事故处置情况可增加相关成员单位，包括供电、供气、通信等单位。</w:t>
      </w:r>
    </w:p>
    <w:p w14:paraId="5DF81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指挥部办公室设在区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，办公室主任由区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主要负责同志兼任。</w:t>
      </w:r>
    </w:p>
    <w:p w14:paraId="00C1533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6" w:name="_Toc7724"/>
      <w:r>
        <w:rPr>
          <w:rFonts w:hint="default" w:ascii="Times New Roman" w:hAnsi="Times New Roman" w:eastAsia="楷体_GB2312" w:cs="Times New Roman"/>
          <w:b w:val="0"/>
          <w:color w:val="000000" w:themeColor="text1"/>
          <w14:textFill>
            <w14:solidFill>
              <w14:schemeClr w14:val="tx1"/>
            </w14:solidFill>
          </w14:textFill>
        </w:rPr>
        <w:t>2.2区指挥部及指挥长职责</w:t>
      </w:r>
      <w:bookmarkEnd w:id="26"/>
    </w:p>
    <w:p w14:paraId="103B3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区指挥部主要职责是：</w:t>
      </w:r>
    </w:p>
    <w:p w14:paraId="38FFF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传达并贯彻落实党中央、国务院和自治区党委、自治区人民政府及钦州市委、市人民政府有关指示批示精神</w:t>
      </w:r>
      <w:r>
        <w:rPr>
          <w:rFonts w:hint="default" w:ascii="Times New Roman" w:hAnsi="Times New Roman" w:eastAsia="仿宋_GB2312" w:cs="Times New Roman"/>
          <w:color w:val="000000" w:themeColor="text1"/>
          <w:sz w:val="32"/>
          <w:szCs w:val="28"/>
          <w14:textFill>
            <w14:solidFill>
              <w14:schemeClr w14:val="tx1"/>
            </w14:solidFill>
          </w14:textFill>
        </w:rPr>
        <w:t>；</w:t>
      </w:r>
    </w:p>
    <w:p w14:paraId="45F5F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（2）根据事故情况决定启动和解除本级应急响应；</w:t>
      </w:r>
    </w:p>
    <w:p w14:paraId="439B8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（3）组织、协调、指挥一般粉尘涉爆生产安全事故应急处置工作，组织制订并同意实施事故应急救援方案，并及时向区人民政府和市</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报告事故应急处置工作进展情况；</w:t>
      </w:r>
    </w:p>
    <w:p w14:paraId="4298E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（4）组织有关队伍、专家赶赴现场参加应急处置工作；</w:t>
      </w:r>
    </w:p>
    <w:p w14:paraId="6E223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（5）协调指导事故信息发布、事故救援宣传报道及舆论引导工作；</w:t>
      </w:r>
    </w:p>
    <w:p w14:paraId="27EA2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（6）成立相应工作组负责有关应急处置等工作；</w:t>
      </w:r>
    </w:p>
    <w:p w14:paraId="000E6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（7）决定事故救援其他重大事项。</w:t>
      </w:r>
    </w:p>
    <w:p w14:paraId="3EDB6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区指挥部指挥长主要职责是：</w:t>
      </w:r>
    </w:p>
    <w:p w14:paraId="7B2F5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（1）决定粉尘涉爆生产安全事故应急响应的级别；</w:t>
      </w:r>
    </w:p>
    <w:p w14:paraId="34BC1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（2）组织指挥粉尘涉爆生产安全事故应急救援行动，根据应急处置成效，决定提高或降低应急响应的级别；</w:t>
      </w:r>
    </w:p>
    <w:p w14:paraId="29810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（3）任命现场指挥部指挥长；</w:t>
      </w:r>
    </w:p>
    <w:p w14:paraId="4156F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（4）决定粉尘涉爆生产安全事故应急行动中的重大决策；</w:t>
      </w:r>
    </w:p>
    <w:p w14:paraId="502E1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（5）决定是否请求外部援助。</w:t>
      </w:r>
    </w:p>
    <w:p w14:paraId="150B2C0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7" w:name="_Toc27478"/>
      <w:r>
        <w:rPr>
          <w:rFonts w:hint="default" w:ascii="Times New Roman" w:hAnsi="Times New Roman" w:eastAsia="楷体_GB2312" w:cs="Times New Roman"/>
          <w:b w:val="0"/>
          <w:color w:val="000000" w:themeColor="text1"/>
          <w14:textFill>
            <w14:solidFill>
              <w14:schemeClr w14:val="tx1"/>
            </w14:solidFill>
          </w14:textFill>
        </w:rPr>
        <w:t>2.3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区指挥部成员单位职责</w:t>
      </w:r>
      <w:bookmarkEnd w:id="27"/>
    </w:p>
    <w:p w14:paraId="51021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区委宣传部：负责指导协调相关单位新闻报道和新闻发布工作；及时掌握舆情，加强网络舆论引导。</w:t>
      </w:r>
    </w:p>
    <w:p w14:paraId="747EA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区总工会：参与事故调查处理和善后处置工作。</w:t>
      </w:r>
    </w:p>
    <w:p w14:paraId="79830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eastAsia" w:ascii="Times New Roman" w:hAnsi="Times New Roman" w:eastAsia="仿宋_GB2312" w:cs="Times New Roman"/>
          <w:color w:val="000000" w:themeColor="text1"/>
          <w:sz w:val="32"/>
          <w:szCs w:val="28"/>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28"/>
          <w14:textFill>
            <w14:solidFill>
              <w14:schemeClr w14:val="tx1"/>
            </w14:solidFill>
          </w14:textFill>
        </w:rPr>
        <w:t>：负责协调各通信企业为事故应急处置工作提供通信保障。</w:t>
      </w:r>
    </w:p>
    <w:p w14:paraId="396D6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区民政局：</w:t>
      </w:r>
      <w:r>
        <w:rPr>
          <w:rFonts w:hint="default" w:ascii="Times New Roman" w:hAnsi="Times New Roman" w:eastAsia="仿宋_GB2312" w:cs="Times New Roman"/>
          <w:color w:val="000000" w:themeColor="text1"/>
          <w:sz w:val="32"/>
          <w:szCs w:val="32"/>
          <w14:textFill>
            <w14:solidFill>
              <w14:schemeClr w14:val="tx1"/>
            </w14:solidFill>
          </w14:textFill>
        </w:rPr>
        <w:t>负责协助开展事故善后工作；指导协调慈善组织做好事故期间的社会捐赠资金、物品的接收、管理及发放工作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及时结合民政部门职责向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指挥部报告救援行动进展情况。负责死亡人员丧葬等有关事宜，参与善后处理工作。</w:t>
      </w:r>
    </w:p>
    <w:p w14:paraId="67188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区财政局：</w:t>
      </w:r>
      <w:r>
        <w:rPr>
          <w:rFonts w:hint="default" w:ascii="Times New Roman" w:hAnsi="Times New Roman" w:eastAsia="仿宋_GB2312" w:cs="Times New Roman"/>
          <w:color w:val="000000" w:themeColor="text1"/>
          <w:spacing w:val="-6"/>
          <w:sz w:val="32"/>
          <w:szCs w:val="28"/>
          <w14:textFill>
            <w14:solidFill>
              <w14:schemeClr w14:val="tx1"/>
            </w14:solidFill>
          </w14:textFill>
        </w:rPr>
        <w:t>负责粉尘涉爆生产安全事故应急处置所需工作经费。</w:t>
      </w:r>
    </w:p>
    <w:p w14:paraId="7349E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区人力资源社会保障局：负责工伤保险等有关事宜，参与善后处理工作。</w:t>
      </w:r>
    </w:p>
    <w:p w14:paraId="2166A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区住房城乡建设局：根据事故处置需要组织协调建筑施工企业参与事故应急救援。</w:t>
      </w:r>
    </w:p>
    <w:p w14:paraId="0E669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区综合行政执法局：根据事故处置需要，组织协调供水、排水、污水处理、燃气领域企业参与事故应急救援。</w:t>
      </w:r>
    </w:p>
    <w:p w14:paraId="6CF06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区交通运输局：负责开辟救援绿色通道，协助调集、征用救援车辆，对被损坏公路进行抢修、维护，保障公路运输畅通。</w:t>
      </w:r>
    </w:p>
    <w:p w14:paraId="36A46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区卫生健康局：</w:t>
      </w:r>
      <w:r>
        <w:rPr>
          <w:rFonts w:hint="default" w:ascii="Times New Roman" w:hAnsi="Times New Roman" w:eastAsia="仿宋_GB2312" w:cs="Times New Roman"/>
          <w:color w:val="000000" w:themeColor="text1"/>
          <w:spacing w:val="6"/>
          <w:sz w:val="32"/>
          <w:szCs w:val="32"/>
          <w14:textFill>
            <w14:solidFill>
              <w14:schemeClr w14:val="tx1"/>
            </w14:solidFill>
          </w14:textFill>
        </w:rPr>
        <w:t>牵头负责统筹、指挥、协调实施事故卫生应急救援工作；组织实施现场伤病员紧急救护，转运伤员到定点医疗机构</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指导、协调医疗机构开展事故伤员的院内救治工作，统计、报告伤亡情况；及时向</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6"/>
          <w:sz w:val="32"/>
          <w:szCs w:val="32"/>
          <w14:textFill>
            <w14:solidFill>
              <w14:schemeClr w14:val="tx1"/>
            </w14:solidFill>
          </w14:textFill>
        </w:rPr>
        <w:t>指挥部报告紧急医疗救护进展情况。</w:t>
      </w:r>
    </w:p>
    <w:p w14:paraId="733E2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牵头负责粉尘涉爆生产安全事故抢险救援工作，接到事故报告后，通知有关单位立即赶赴事故现场；统筹协调事故的应急处置，及时向区人民政府及其指挥部报告事故处置情况；调动应急救援队伍及应急救援物资、装备实施抢险救援；邀请有关专家赶赴事故现场指导事故救援工作；负责配合事发地镇人民政府（街道办事处）做好群众转移安置工作和临时生活救助工作；根据区人民政府委托依法组织事故调查处理工作。</w:t>
      </w:r>
    </w:p>
    <w:p w14:paraId="13374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区市场监管局：负责组织实施粉尘涉爆生产安全事故涉及的《特种设备目录》内锅炉、压力容器、压力管道等特种设备的应急救援工作；</w:t>
      </w: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粉尘涉爆</w:t>
      </w:r>
      <w:r>
        <w:rPr>
          <w:rFonts w:hint="default" w:ascii="Times New Roman" w:hAnsi="Times New Roman" w:eastAsia="仿宋_GB2312" w:cs="Times New Roman"/>
          <w:color w:val="000000" w:themeColor="text1"/>
          <w:sz w:val="32"/>
          <w:szCs w:val="32"/>
          <w14:textFill>
            <w14:solidFill>
              <w14:schemeClr w14:val="tx1"/>
            </w14:solidFill>
          </w14:textFill>
        </w:rPr>
        <w:t>事故救援及事故调查处理协调产品质量检验机构进行有关产品质量检测等技术支持；配合处置食品、医药生产行业涉及金属冶炼的事故及相关事故调查工作；参与涉及特种设备的事故应急救援和调查处理工作。</w:t>
      </w:r>
    </w:p>
    <w:p w14:paraId="4A309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公安钦北分局：牵头负责事故现场警戒保卫工作；根据事故影响范围设立警戒区域，维护事故现场和周边区域社会秩序；组织控制事故责任人；组织对遇难者进行身份确认。</w:t>
      </w:r>
    </w:p>
    <w:p w14:paraId="24845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钦北生态环境局：</w:t>
      </w:r>
      <w:r>
        <w:rPr>
          <w:rFonts w:hint="default" w:ascii="Times New Roman" w:hAnsi="Times New Roman" w:eastAsia="仿宋_GB2312" w:cs="Times New Roman"/>
          <w:color w:val="000000" w:themeColor="text1"/>
          <w:sz w:val="32"/>
          <w:szCs w:val="32"/>
          <w14:textFill>
            <w14:solidFill>
              <w14:schemeClr w14:val="tx1"/>
            </w14:solidFill>
          </w14:textFill>
        </w:rPr>
        <w:t>负责配合钦州市生态环境局开展事发地的环境监测，对粉尘涉爆生产安全事故造成的环境污染提出处理方案的建议；指导和监督污染物的处置及生态环境破坏的恢复；及时向区指挥部报告污染物处置与生态环境恢复进展情况。 一旦因事故引发次生环境污染事件，及时指导采取措施进行处置。</w:t>
      </w:r>
    </w:p>
    <w:p w14:paraId="6E1BF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28"/>
          <w14:textFill>
            <w14:solidFill>
              <w14:schemeClr w14:val="tx1"/>
            </w14:solidFill>
          </w14:textFill>
        </w:rPr>
        <w:t>：负责组织、协调、指挥火灾扑救工作以及其他灾害事故的抢险救援工作</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粉尘涉爆</w:t>
      </w:r>
      <w:r>
        <w:rPr>
          <w:rFonts w:hint="default" w:ascii="Times New Roman" w:hAnsi="Times New Roman" w:eastAsia="仿宋_GB2312" w:cs="Times New Roman"/>
          <w:color w:val="000000" w:themeColor="text1"/>
          <w:sz w:val="32"/>
          <w:szCs w:val="32"/>
          <w14:textFill>
            <w14:solidFill>
              <w14:schemeClr w14:val="tx1"/>
            </w14:solidFill>
          </w14:textFill>
        </w:rPr>
        <w:t>综合应急救援工作任务；统筹指挥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应急救援工作；负责组织搜救事故现场被困和伤亡人员；组织实施事故现场侦测、救援过程的危险监控、灭火、洗消等救援行动；与属地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（街道办事处）、</w:t>
      </w:r>
      <w:r>
        <w:rPr>
          <w:rFonts w:hint="default" w:ascii="Times New Roman" w:hAnsi="Times New Roman" w:eastAsia="仿宋_GB2312" w:cs="Times New Roman"/>
          <w:color w:val="000000" w:themeColor="text1"/>
          <w:sz w:val="32"/>
          <w:szCs w:val="32"/>
          <w14:textFill>
            <w14:solidFill>
              <w14:schemeClr w14:val="tx1"/>
            </w14:solidFill>
          </w14:textFill>
        </w:rPr>
        <w:t>区人民政府一道协助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生态环境</w:t>
      </w:r>
      <w:r>
        <w:rPr>
          <w:rFonts w:hint="default" w:ascii="Times New Roman" w:hAnsi="Times New Roman" w:eastAsia="仿宋_GB2312" w:cs="Times New Roman"/>
          <w:color w:val="000000" w:themeColor="text1"/>
          <w:sz w:val="32"/>
          <w:szCs w:val="32"/>
          <w14:textFill>
            <w14:solidFill>
              <w14:schemeClr w14:val="tx1"/>
            </w14:solidFill>
          </w14:textFill>
        </w:rPr>
        <w:t>部门进行救援行动结束后污染物的洗消、回收及无害化处理工作；及时向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指挥部报告救援行动进展情况，根据事态发展状况提出救援工作意见建议和需协调解决的事项。</w:t>
      </w:r>
    </w:p>
    <w:p w14:paraId="578AC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市交警三大队、市交警四大队：做好事故现场周边道路交通</w:t>
      </w:r>
      <w:r>
        <w:rPr>
          <w:rFonts w:hint="default" w:ascii="Times New Roman" w:hAnsi="Times New Roman" w:eastAsia="仿宋_GB2312" w:cs="Times New Roman"/>
          <w:color w:val="000000" w:themeColor="text1"/>
          <w:spacing w:val="-6"/>
          <w:sz w:val="32"/>
          <w:szCs w:val="28"/>
          <w14:textFill>
            <w14:solidFill>
              <w14:schemeClr w14:val="tx1"/>
            </w14:solidFill>
          </w14:textFill>
        </w:rPr>
        <w:t>管制及疏导工作，开辟绿色通道保障应急救援和伤员救助车辆通行。</w:t>
      </w:r>
    </w:p>
    <w:p w14:paraId="24D71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事发地镇人民政府（街道办事处）：负责报送事故有关情况；布置现场应急处置指挥部；落实区人民政府和区指挥部有关指示要求；组织开展事故先期处置工作；做好事故应急处置后勤保障和善后处置工作。</w:t>
      </w:r>
    </w:p>
    <w:p w14:paraId="50EE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电力、燃气、供水、通信等有关单位要为事故现场抢险提供供电、供气、供水、通信保障，及时抢修受损设施设备。</w:t>
      </w:r>
    </w:p>
    <w:p w14:paraId="2D0ABA3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8" w:name="_Toc26"/>
      <w:r>
        <w:rPr>
          <w:rFonts w:hint="default" w:ascii="Times New Roman" w:hAnsi="Times New Roman" w:eastAsia="楷体_GB2312" w:cs="Times New Roman"/>
          <w:b w:val="0"/>
          <w:color w:val="000000" w:themeColor="text1"/>
          <w14:textFill>
            <w14:solidFill>
              <w14:schemeClr w14:val="tx1"/>
            </w14:solidFill>
          </w14:textFill>
        </w:rPr>
        <w:t>2.4</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现场指挥部</w:t>
      </w:r>
      <w:bookmarkEnd w:id="28"/>
    </w:p>
    <w:p w14:paraId="4FE6F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当发生粉尘涉爆一般生产安全事故时</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区指挥部与事发地镇人民政府（街道办事处）联合成立现场指挥部。现场指挥长由区指挥部指派担任。现场指挥部职责：</w:t>
      </w:r>
    </w:p>
    <w:p w14:paraId="2CC65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（1）指挥粉尘涉爆生产安全事故现场抢险救援</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协调各有关</w:t>
      </w:r>
      <w:r>
        <w:rPr>
          <w:rFonts w:hint="default" w:ascii="Times New Roman" w:hAnsi="Times New Roman" w:eastAsia="仿宋_GB2312" w:cs="Times New Roman"/>
          <w:color w:val="000000" w:themeColor="text1"/>
          <w:spacing w:val="0"/>
          <w:sz w:val="32"/>
          <w:szCs w:val="28"/>
          <w14:textFill>
            <w14:solidFill>
              <w14:schemeClr w14:val="tx1"/>
            </w14:solidFill>
          </w14:textFill>
        </w:rPr>
        <w:t>部门（单位）参与、配合、支援粉尘涉爆生产安全事故应急救援工作；</w:t>
      </w:r>
    </w:p>
    <w:p w14:paraId="1F01F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（2）制定粉尘涉爆生产安全事故现场应急处置方案</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并根据事故发展形势现场研究实施应急处置措施；</w:t>
      </w:r>
    </w:p>
    <w:p w14:paraId="7FB20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（3）收集粉尘涉爆生产安全事故信息报送区指挥部及各有关部门（单位）</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负责统一对外发布事故应对处置情况信息；</w:t>
      </w:r>
    </w:p>
    <w:p w14:paraId="727B5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（4）执行区指挥部指令。</w:t>
      </w:r>
    </w:p>
    <w:p w14:paraId="71D03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现场指挥长职责：</w:t>
      </w:r>
    </w:p>
    <w:p w14:paraId="4F199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（1）全面负责粉尘涉爆生产事故现场应急指挥工作，为现场应急工作第一指挥官；</w:t>
      </w:r>
    </w:p>
    <w:p w14:paraId="5F2D2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（2）根据现场实际情况，协调安排各应急工作组成员解决各种问题，维护粉尘涉爆生产事故现场的稳定；</w:t>
      </w:r>
    </w:p>
    <w:p w14:paraId="3BE9D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（3）及时向区指挥部指挥长汇报粉尘涉爆生产事故现场处置情况；</w:t>
      </w:r>
    </w:p>
    <w:p w14:paraId="72E13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发生较大、重大、特别重大生产安全粉尘涉爆事故时，自治区、市现场指挥部成立后，区现场指挥部纳入上级指挥体系，并根据指令配合开展应急救援工作。</w:t>
      </w:r>
    </w:p>
    <w:p w14:paraId="1086DFF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29" w:name="_Toc25783"/>
      <w:r>
        <w:rPr>
          <w:rFonts w:hint="default" w:ascii="Times New Roman" w:hAnsi="Times New Roman" w:eastAsia="楷体_GB2312" w:cs="Times New Roman"/>
          <w:b w:val="0"/>
          <w:color w:val="000000" w:themeColor="text1"/>
          <w14:textFill>
            <w14:solidFill>
              <w14:schemeClr w14:val="tx1"/>
            </w14:solidFill>
          </w14:textFill>
        </w:rPr>
        <w:t>2.5</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各应急救援工作组职责</w:t>
      </w:r>
      <w:bookmarkEnd w:id="29"/>
    </w:p>
    <w:p w14:paraId="6E22C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区现场指挥部根据需要设立综合协调组、抢险救援组、警戒保卫组、医疗救护组、后勤保障组、善后处置组、新闻报道组、技术专家组、事故调查组等工作组。各工作组职责如下：</w:t>
      </w:r>
    </w:p>
    <w:p w14:paraId="470B7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（1）综合协调组：由区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牵头，公安钦北分局、事发地镇人民政府（街道办事处）等参加。主要职责：在区现场指挥部</w:t>
      </w:r>
      <w:r>
        <w:rPr>
          <w:rFonts w:hint="default" w:ascii="Times New Roman" w:hAnsi="Times New Roman" w:eastAsia="仿宋_GB2312" w:cs="Times New Roman"/>
          <w:color w:val="000000" w:themeColor="text1"/>
          <w:spacing w:val="-6"/>
          <w:sz w:val="32"/>
          <w:szCs w:val="28"/>
          <w14:textFill>
            <w14:solidFill>
              <w14:schemeClr w14:val="tx1"/>
            </w14:solidFill>
          </w14:textFill>
        </w:rPr>
        <w:t>的领导下，履行会议组织、信息汇总、综合协调和资料管理等职责。</w:t>
      </w:r>
    </w:p>
    <w:p w14:paraId="0987C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（2）抢险救援组：由区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牵头，</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28"/>
          <w14:textFill>
            <w14:solidFill>
              <w14:schemeClr w14:val="tx1"/>
            </w14:solidFill>
          </w14:textFill>
        </w:rPr>
        <w:t>、专业应急救援队伍、事故单位等参加。主要职责：负责实施经区指挥部同意批准的事故应急救援方案；组织指挥各类救援队伍进入事故现场开展救援工作。</w:t>
      </w:r>
    </w:p>
    <w:p w14:paraId="437EA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警戒保卫组：由公安钦北分局牵头，公安交警部门、事发地镇人民政府（街道办事处）等参加。主要职责：负责封锁、警戒、控制、保护事故现场及周边区域；维护事发单位治安和救援工作秩序；疏散转移现场和周边受威胁区域人员；开展交通管制，在现场外围开辟绿色专用通道供应急救援车辆和人员通行；依法控制事故责任人。</w:t>
      </w:r>
    </w:p>
    <w:p w14:paraId="59F06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医疗救护组：由区卫生健康局牵头，事发地镇（街道）有关医疗机构等参加。主要职责：负责组织协调救护车、医疗专家和卫生应急队伍等开展伤员及中毒人员急救、转运、救治和现场卫生防疫工作；组织协调卫生应急药品、器械等物资调配工作。</w:t>
      </w:r>
    </w:p>
    <w:p w14:paraId="3E129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（5）后勤保障组：由事发地镇人民政府（街道办事处）牵头，</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28"/>
          <w14:textFill>
            <w14:solidFill>
              <w14:schemeClr w14:val="tx1"/>
            </w14:solidFill>
          </w14:textFill>
        </w:rPr>
        <w:t>、区财政局、区住房城乡建设局、区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等参加。主要职责：负责抢险救援物资的联系、采购、供应、车辆及油料的调配；为救援人员提供食宿场所；为受灾人员提供临时安置场所；与气象部门加强沟通，为救援提供气象监测和预报；协调电力、供水、供气、通信等企业保证现场电力、供水、供气、通信保障；现场救援物资和设备存放和保管。</w:t>
      </w:r>
    </w:p>
    <w:p w14:paraId="1AF51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（6）善后处置组：由事发地镇人民政府（街道办事处）牵头，区总工会、区民政局、区人力资源社会保障局、区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及有关部门参加。主要职责：负责开展伤亡人员及家属的安抚、补偿和保险理赔；做好事故死亡人员遗体火化；恢复正常的生产、生活秩序。</w:t>
      </w:r>
    </w:p>
    <w:p w14:paraId="0B7CC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（7）新闻报道组：由区委宣传部牵头，区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、公安钦北分局和事发地镇人民政府（街道办事处）等有关</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28"/>
          <w14:textFill>
            <w14:solidFill>
              <w14:schemeClr w14:val="tx1"/>
            </w14:solidFill>
          </w14:textFill>
        </w:rPr>
        <w:t>参加。主要职责：负责及时、准确、正面、客观发布权威信息；汇集收集相关舆情；组织开展宣传报道；做好现场媒体记者的接待工作；做好舆论引导工作。</w:t>
      </w:r>
    </w:p>
    <w:p w14:paraId="1312D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（8）技术专家组：由区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牵头，依托于钦州市安全生产专家库资源以及聘请相关专家参加。主要职责：参与粉尘涉爆生产安全事故灾难救援方案研究制定；研究分析事故情况演变和救援措施，为应急救援决策提出意见和建议；提出事故防范措施建议；为恢复生产提供技术支持。</w:t>
      </w:r>
    </w:p>
    <w:p w14:paraId="5AA76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（9）事故调查组：由区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牵头，</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28"/>
          <w14:textFill>
            <w14:solidFill>
              <w14:schemeClr w14:val="tx1"/>
            </w14:solidFill>
          </w14:textFill>
        </w:rPr>
        <w:t>、公安钦北分局、</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区消防救援</w:t>
      </w:r>
      <w:r>
        <w:rPr>
          <w:rFonts w:hint="eastAsia" w:ascii="Times New Roman" w:hAnsi="Times New Roman" w:eastAsia="仿宋_GB2312" w:cs="Times New Roman"/>
          <w:color w:val="000000" w:themeColor="text1"/>
          <w:sz w:val="32"/>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28"/>
          <w14:textFill>
            <w14:solidFill>
              <w14:schemeClr w14:val="tx1"/>
            </w14:solidFill>
          </w14:textFill>
        </w:rPr>
        <w:t>和事发地镇人民政府（街道办事处）等参加。主要职责：负责按规定组织开展事故前期调查，对事故现场进行取证，记录应急救援相关重要事项，妥善保存相关原始资料凭证，初步查明事故发生经过、原因、人员伤亡情况及经济损失，初步认定事故性质、责任；区人民政府按规定成立事故调查组后向调查组移交相关资料、凭证。</w:t>
      </w:r>
    </w:p>
    <w:p w14:paraId="0912654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30" w:name="_Toc18197"/>
      <w:r>
        <w:rPr>
          <w:rFonts w:hint="default" w:ascii="Times New Roman" w:hAnsi="Times New Roman" w:eastAsia="黑体" w:cs="Times New Roman"/>
          <w:b w:val="0"/>
          <w:color w:val="000000" w:themeColor="text1"/>
          <w:sz w:val="32"/>
          <w:szCs w:val="32"/>
          <w14:textFill>
            <w14:solidFill>
              <w14:schemeClr w14:val="tx1"/>
            </w14:solidFill>
          </w14:textFill>
        </w:rPr>
        <w:t>3. 监测与预警</w:t>
      </w:r>
      <w:bookmarkEnd w:id="30"/>
    </w:p>
    <w:p w14:paraId="248F3F5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31" w:name="_Toc17552"/>
      <w:r>
        <w:rPr>
          <w:rFonts w:hint="default" w:ascii="Times New Roman" w:hAnsi="Times New Roman" w:eastAsia="楷体_GB2312" w:cs="Times New Roman"/>
          <w:b w:val="0"/>
          <w:color w:val="000000" w:themeColor="text1"/>
          <w14:textFill>
            <w14:solidFill>
              <w14:schemeClr w14:val="tx1"/>
            </w14:solidFill>
          </w14:textFill>
        </w:rPr>
        <w:t>3.1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监测</w:t>
      </w:r>
      <w:bookmarkEnd w:id="31"/>
    </w:p>
    <w:p w14:paraId="74E39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各级人民政府、区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等有关部门要建立健全粉尘涉爆安全生产隐患监测制度，整合监测信息资源，完善信息资源获取和共享机制</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p>
    <w:p w14:paraId="774C3E1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28"/>
          <w14:textFill>
            <w14:solidFill>
              <w14:schemeClr w14:val="tx1"/>
            </w14:solidFill>
          </w14:textFill>
        </w:rPr>
        <w:t>应急</w:t>
      </w:r>
      <w:r>
        <w:rPr>
          <w:rFonts w:hint="default" w:ascii="Times New Roman" w:hAnsi="Times New Roman" w:eastAsia="仿宋_GB2312" w:cs="Times New Roman"/>
          <w:color w:val="000000" w:themeColor="text1"/>
          <w:spacing w:val="6"/>
          <w:sz w:val="32"/>
          <w:szCs w:val="28"/>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6"/>
          <w:sz w:val="32"/>
          <w:szCs w:val="28"/>
          <w14:textFill>
            <w14:solidFill>
              <w14:schemeClr w14:val="tx1"/>
            </w14:solidFill>
          </w14:textFill>
        </w:rPr>
        <w:t>部门负责粉尘涉爆安全生产类突发事件监测信息集成</w:t>
      </w:r>
      <w:r>
        <w:rPr>
          <w:rFonts w:hint="default" w:ascii="Times New Roman" w:hAnsi="Times New Roman" w:eastAsia="仿宋_GB2312" w:cs="Times New Roman"/>
          <w:color w:val="000000" w:themeColor="text1"/>
          <w:spacing w:val="6"/>
          <w:sz w:val="32"/>
          <w:szCs w:val="28"/>
          <w:lang w:eastAsia="zh-CN"/>
          <w14:textFill>
            <w14:solidFill>
              <w14:schemeClr w14:val="tx1"/>
            </w14:solidFill>
          </w14:textFill>
        </w:rPr>
        <w:t>。</w:t>
      </w:r>
    </w:p>
    <w:p w14:paraId="2FE8F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其他各行业（领域）部门负责相应行业（领域）安全隐患监测信息采集</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要根据突发粉尘涉爆生产安全事故种类和特点，建立健全粉尘涉爆企业监测网络，划分监测区域，确定监测重点，明确监测项目</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；负责</w:t>
      </w:r>
      <w:r>
        <w:rPr>
          <w:rFonts w:hint="default" w:ascii="Times New Roman" w:hAnsi="Times New Roman" w:eastAsia="仿宋_GB2312" w:cs="Times New Roman"/>
          <w:color w:val="000000" w:themeColor="text1"/>
          <w:sz w:val="32"/>
          <w:szCs w:val="28"/>
          <w14:textFill>
            <w14:solidFill>
              <w14:schemeClr w14:val="tx1"/>
            </w14:solidFill>
          </w14:textFill>
        </w:rPr>
        <w:t>提供必要的设备、设施，配备专职或兼职人员，对可能发生的粉尘涉爆生产安全事故进行监测。</w:t>
      </w:r>
    </w:p>
    <w:p w14:paraId="2F19FA5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32" w:name="_Toc7886"/>
      <w:r>
        <w:rPr>
          <w:rFonts w:hint="default" w:ascii="Times New Roman" w:hAnsi="Times New Roman" w:eastAsia="楷体_GB2312" w:cs="Times New Roman"/>
          <w:b w:val="0"/>
          <w:color w:val="000000" w:themeColor="text1"/>
          <w14:textFill>
            <w14:solidFill>
              <w14:schemeClr w14:val="tx1"/>
            </w14:solidFill>
          </w14:textFill>
        </w:rPr>
        <w:t>3.2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预警</w:t>
      </w:r>
      <w:bookmarkEnd w:id="32"/>
    </w:p>
    <w:p w14:paraId="57E44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（1）确定预警级别。依据粉尘涉爆生产安全事故隐患可能造成的危害程度及发展态势</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将预警级别分为四级</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Ⅰ级（特别重大）、Ⅱ级（重大）、Ⅲ级（较大）、Ⅳ级（一般）</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依次用红色、橙色、黄色和蓝色表示。各预警级别的具体划分标准与预测事故隐患可能导致的粉尘涉爆生产安全事故分级标准相同。</w:t>
      </w:r>
    </w:p>
    <w:p w14:paraId="47F2A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（2）红色、橙色预警由自治区生产安全事故应急指挥部发布</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黄色预警由市应急指挥部发布</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蓝色预警由区应急指挥部发布。跨市级行政区划的黄色、蓝色预警</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须经自治区应急指挥部授权批准后</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由相应市、县（区）应急指挥部对各自辖区进行发布。事故隐患难以控制有扩大趋势等情况时</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提升预警级别</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并由相应级别的指挥部进行预警发布。</w:t>
      </w:r>
    </w:p>
    <w:p w14:paraId="4AD18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（3）发布预警信息。Ⅳ级以上预警发布程序</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p>
    <w:p w14:paraId="0C94B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①区指挥部办公室接到事故预警报告后</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经核实、分析</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符合Ⅳ级以上预警条件的</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向区指挥部提出预警发布建议；</w:t>
      </w:r>
    </w:p>
    <w:p w14:paraId="76F0E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②区指挥部认为需要发布Ⅳ级以上预警时</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由区指挥部指挥长或其授权人签发预警发布文件</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及时对外发布警报</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Ⅳ级以上预警要报告区人民政府和市</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。预警内容应当包括</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可能发生的突发事件类别、预警起始时间、预警区域或场所、预警级别、影响程度、警示事项、预警预防措施及工作要求、发布机关等。</w:t>
      </w:r>
    </w:p>
    <w:p w14:paraId="1799B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③各级事故应急救援指挥机构接到预警后</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应当立即组织采取预警预防行动。</w:t>
      </w:r>
    </w:p>
    <w:p w14:paraId="173EE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④预警信息的发布和调整可通过广播、电视、报刊、通信、信息网络、警报器、宣传车、大喇叭或组织人员逐户通知等方式进行，对老、幼、病、残、孕等特殊人群以及学校等特殊场所和警报盲区应当采取有针对性的通知方式。</w:t>
      </w:r>
    </w:p>
    <w:p w14:paraId="07AFF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（4）采取预警措施。发布预警信息后，有关方面要根据预警级别和实际情况以及分级负责的原则，采取下列一项或多项措施：</w:t>
      </w:r>
    </w:p>
    <w:p w14:paraId="13971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①增加观测频次，及时收集、报告有关信息；加</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强与</w:t>
      </w:r>
      <w:r>
        <w:rPr>
          <w:rFonts w:hint="default" w:ascii="Times New Roman" w:hAnsi="Times New Roman" w:eastAsia="仿宋_GB2312" w:cs="Times New Roman"/>
          <w:color w:val="000000" w:themeColor="text1"/>
          <w:sz w:val="32"/>
          <w:szCs w:val="28"/>
          <w14:textFill>
            <w14:solidFill>
              <w14:schemeClr w14:val="tx1"/>
            </w14:solidFill>
          </w14:textFill>
        </w:rPr>
        <w:t>公众沟通，公布信息接收和咨询电话，向社会公告采取的有关特定措施、避免或减轻危害的建议和劝告等；</w:t>
      </w:r>
    </w:p>
    <w:p w14:paraId="132E1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②组织粉尘涉爆生产安全事故应急救援队伍和负有特定职责的人员进入待命状态，动员后备人员做好参加应急处置和救援工作的准备，视情预置有关队伍、装备、物资等应急资源；</w:t>
      </w:r>
    </w:p>
    <w:p w14:paraId="6DF7C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③调集生产安全事故应急处置和救援所需物资、设备、工具，准备生产安全事故应急设施和避难场所，并确保其处于良好状态、随时可以投入正常使用；</w:t>
      </w:r>
    </w:p>
    <w:p w14:paraId="7AF16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④加强对重点单位、重要部位和重要基础设施的安全保卫，维护社会治安秩序；</w:t>
      </w:r>
    </w:p>
    <w:p w14:paraId="346D8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⑤采取必要措施，确保交通、通信、供水、排水、供电、供气、供热等公共设施的安全和正常运行；</w:t>
      </w:r>
    </w:p>
    <w:p w14:paraId="1C113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⑥转移、疏散或者撤离易受事故危害的人员并予以妥善安置，转移重要财产；</w:t>
      </w:r>
    </w:p>
    <w:p w14:paraId="01776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⑦关闭或者限制使用易受事故危害的场所，控制或者限制容易导致危害扩大的公共场所的活动；</w:t>
      </w:r>
    </w:p>
    <w:p w14:paraId="26B00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（5）解除预警措施。当可能导致生产安全事故的风险已经解除，发布警报的政府或有关部门要立即宣布解除警报，终止预警期，解除已经采取的有关措施。</w:t>
      </w:r>
    </w:p>
    <w:p w14:paraId="411FBF0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33" w:name="_Toc5811"/>
      <w:r>
        <w:rPr>
          <w:rFonts w:hint="default" w:ascii="Times New Roman" w:hAnsi="Times New Roman" w:eastAsia="黑体" w:cs="Times New Roman"/>
          <w:b w:val="0"/>
          <w:color w:val="000000" w:themeColor="text1"/>
          <w:sz w:val="32"/>
          <w:szCs w:val="32"/>
          <w14:textFill>
            <w14:solidFill>
              <w14:schemeClr w14:val="tx1"/>
            </w14:solidFill>
          </w14:textFill>
        </w:rPr>
        <w:t>4. 事故信息报告</w:t>
      </w:r>
      <w:bookmarkEnd w:id="33"/>
    </w:p>
    <w:p w14:paraId="623270D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34" w:name="_Toc24339"/>
      <w:r>
        <w:rPr>
          <w:rFonts w:hint="default" w:ascii="Times New Roman" w:hAnsi="Times New Roman" w:eastAsia="楷体_GB2312" w:cs="Times New Roman"/>
          <w:b w:val="0"/>
          <w:color w:val="000000" w:themeColor="text1"/>
          <w14:textFill>
            <w14:solidFill>
              <w14:schemeClr w14:val="tx1"/>
            </w14:solidFill>
          </w14:textFill>
        </w:rPr>
        <w:t>4.1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事故信息报告程序</w:t>
      </w:r>
      <w:bookmarkEnd w:id="34"/>
    </w:p>
    <w:p w14:paraId="6413E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粉尘涉爆生产安全事故发生后，</w:t>
      </w:r>
      <w:r>
        <w:rPr>
          <w:rFonts w:hint="default" w:ascii="Times New Roman" w:hAnsi="Times New Roman" w:eastAsia="仿宋_GB2312" w:cs="Times New Roman"/>
          <w:color w:val="000000" w:themeColor="text1"/>
          <w:spacing w:val="0"/>
          <w:sz w:val="32"/>
          <w:szCs w:val="28"/>
          <w14:textFill>
            <w14:solidFill>
              <w14:schemeClr w14:val="tx1"/>
            </w14:solidFill>
          </w14:textFill>
        </w:rPr>
        <w:t>事故单位</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应在</w:t>
      </w:r>
      <w:r>
        <w:rPr>
          <w:rFonts w:hint="default" w:ascii="Times New Roman" w:hAnsi="Times New Roman" w:eastAsia="仿宋_GB2312" w:cs="Times New Roman"/>
          <w:color w:val="000000" w:themeColor="text1"/>
          <w:spacing w:val="0"/>
          <w:sz w:val="32"/>
          <w:szCs w:val="28"/>
          <w14:textFill>
            <w14:solidFill>
              <w14:schemeClr w14:val="tx1"/>
            </w14:solidFill>
          </w14:textFill>
        </w:rPr>
        <w:t>30分钟内向属地镇人民政府（街道办事处）、区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和负有安全监管职责的有关部门初步报告事故情况（可先电话报告后补书面报告），1小时内续报事故详细情况（书面）</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p>
    <w:p w14:paraId="2B51A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区应急</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pacing w:val="0"/>
          <w:sz w:val="32"/>
          <w:szCs w:val="32"/>
          <w14:textFill>
            <w14:solidFill>
              <w14:schemeClr w14:val="tx1"/>
            </w14:solidFill>
          </w14:textFill>
        </w:rPr>
        <w:t>在接报后</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应立即核实有关情况</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并向</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区委</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14:textFill>
            <w14:solidFill>
              <w14:schemeClr w14:val="tx1"/>
            </w14:solidFill>
          </w14:textFill>
        </w:rPr>
        <w:t>人民政府报告生产安全事故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人民政府</w:t>
      </w:r>
      <w:r>
        <w:rPr>
          <w:rFonts w:hint="default" w:ascii="Times New Roman" w:hAnsi="Times New Roman" w:eastAsia="仿宋_GB2312" w:cs="Times New Roman"/>
          <w:color w:val="000000" w:themeColor="text1"/>
          <w:spacing w:val="0"/>
          <w:sz w:val="32"/>
          <w:szCs w:val="32"/>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接到生产安全事故报告后</w:t>
      </w:r>
      <w:r>
        <w:rPr>
          <w:rFonts w:hint="default" w:ascii="Times New Roman" w:hAnsi="Times New Roman" w:eastAsia="仿宋_GB2312" w:cs="Times New Roman"/>
          <w:color w:val="000000" w:themeColor="text1"/>
          <w:spacing w:val="0"/>
          <w:sz w:val="32"/>
          <w:szCs w:val="32"/>
          <w14:textFill>
            <w14:solidFill>
              <w14:schemeClr w14:val="tx1"/>
            </w14:solidFill>
          </w14:textFill>
        </w:rPr>
        <w:t>30分钟内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，直报自治区人民政府应急管理部门；属于较大以上等级事故的，还应当在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1小时内书面报告；</w:t>
      </w:r>
      <w:r>
        <w:rPr>
          <w:rFonts w:hint="default" w:ascii="Times New Roman" w:hAnsi="Times New Roman" w:eastAsia="仿宋_GB2312" w:cs="Times New Roman"/>
          <w:color w:val="000000" w:themeColor="text1"/>
          <w:spacing w:val="0"/>
          <w:sz w:val="32"/>
          <w:szCs w:val="28"/>
          <w14:textFill>
            <w14:solidFill>
              <w14:schemeClr w14:val="tx1"/>
            </w14:solidFill>
          </w14:textFill>
        </w:rPr>
        <w:t>每</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层</w:t>
      </w:r>
      <w:r>
        <w:rPr>
          <w:rFonts w:hint="default" w:ascii="Times New Roman" w:hAnsi="Times New Roman" w:eastAsia="仿宋_GB2312" w:cs="Times New Roman"/>
          <w:color w:val="000000" w:themeColor="text1"/>
          <w:spacing w:val="0"/>
          <w:sz w:val="32"/>
          <w:szCs w:val="28"/>
          <w14:textFill>
            <w14:solidFill>
              <w14:schemeClr w14:val="tx1"/>
            </w14:solidFill>
          </w14:textFill>
        </w:rPr>
        <w:t>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按规定</w:t>
      </w:r>
      <w:r>
        <w:rPr>
          <w:rFonts w:hint="default" w:ascii="Times New Roman" w:hAnsi="Times New Roman" w:eastAsia="仿宋_GB2312" w:cs="Times New Roman"/>
          <w:color w:val="000000" w:themeColor="text1"/>
          <w:spacing w:val="0"/>
          <w:sz w:val="32"/>
          <w:szCs w:val="28"/>
          <w14:textFill>
            <w14:solidFill>
              <w14:schemeClr w14:val="tx1"/>
            </w14:solidFill>
          </w14:textFill>
        </w:rPr>
        <w:t>上报时限</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报告事故，</w:t>
      </w:r>
      <w:r>
        <w:rPr>
          <w:rFonts w:hint="default" w:ascii="Times New Roman" w:hAnsi="Times New Roman" w:eastAsia="仿宋_GB2312" w:cs="Times New Roman"/>
          <w:color w:val="000000" w:themeColor="text1"/>
          <w:spacing w:val="0"/>
          <w:sz w:val="32"/>
          <w:szCs w:val="28"/>
          <w14:textFill>
            <w14:solidFill>
              <w14:schemeClr w14:val="tx1"/>
            </w14:solidFill>
          </w14:textFill>
        </w:rPr>
        <w:t>情况特别紧急或重大时，可越级上报。</w:t>
      </w:r>
    </w:p>
    <w:p w14:paraId="3EAB0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对首报时要素不齐全或事件衍生出新情况、处置工作有新进展的要及时续报，较大以上粉尘涉爆生产安全事故处置信息至少每日一报。处置结束后要及时终报。</w:t>
      </w:r>
    </w:p>
    <w:p w14:paraId="6D3B8B8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35" w:name="_Toc27127"/>
      <w:r>
        <w:rPr>
          <w:rFonts w:hint="default" w:ascii="Times New Roman" w:hAnsi="Times New Roman" w:eastAsia="楷体_GB2312" w:cs="Times New Roman"/>
          <w:b w:val="0"/>
          <w:color w:val="000000" w:themeColor="text1"/>
          <w14:textFill>
            <w14:solidFill>
              <w14:schemeClr w14:val="tx1"/>
            </w14:solidFill>
          </w14:textFill>
        </w:rPr>
        <w:t>4.2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事故信息报告内容</w:t>
      </w:r>
      <w:bookmarkEnd w:id="35"/>
    </w:p>
    <w:p w14:paraId="60DEA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故信息报告主要内容包括：事故发生时间、地点、事故基本情况、初步原因、初判等级，事故简要经过、直接经济损失、伤亡及被困人数情况，现场指挥的主要负责人姓名、职务和联系方式，已采取的处置措施及进展，是否需要增援，报告人姓名、职务、联系方式等内容。</w:t>
      </w:r>
    </w:p>
    <w:p w14:paraId="6DEC4D7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36" w:name="_Toc28262"/>
      <w:bookmarkStart w:id="37" w:name="_Toc181"/>
      <w:r>
        <w:rPr>
          <w:rFonts w:hint="default" w:ascii="Times New Roman" w:hAnsi="Times New Roman" w:eastAsia="楷体_GB2312" w:cs="Times New Roman"/>
          <w:b w:val="0"/>
          <w:color w:val="000000" w:themeColor="text1"/>
          <w14:textFill>
            <w14:solidFill>
              <w14:schemeClr w14:val="tx1"/>
            </w14:solidFill>
          </w14:textFill>
        </w:rPr>
        <w:t>4.3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事故信息通报</w:t>
      </w:r>
      <w:bookmarkEnd w:id="36"/>
      <w:bookmarkEnd w:id="37"/>
    </w:p>
    <w:p w14:paraId="02249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发生粉尘爆炸事故后，应急管理部门应当通报同级有关部门，并及时通报事发地周边区域可能受影响的单位和居民。其他可能引发粉尘爆炸事故的事件发生后，有关部门、有关单位应当及时通报同级监督管理部门。</w:t>
      </w:r>
    </w:p>
    <w:p w14:paraId="0F443E9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38" w:name="_Toc11244"/>
      <w:bookmarkStart w:id="39" w:name="_Toc27427"/>
      <w:r>
        <w:rPr>
          <w:rFonts w:hint="default" w:ascii="Times New Roman" w:hAnsi="Times New Roman" w:eastAsia="黑体" w:cs="Times New Roman"/>
          <w:b w:val="0"/>
          <w:color w:val="000000" w:themeColor="text1"/>
          <w:sz w:val="32"/>
          <w:szCs w:val="32"/>
          <w14:textFill>
            <w14:solidFill>
              <w14:schemeClr w14:val="tx1"/>
            </w14:solidFill>
          </w14:textFill>
        </w:rPr>
        <w:t>5. 应急响应</w:t>
      </w:r>
      <w:bookmarkEnd w:id="38"/>
    </w:p>
    <w:p w14:paraId="3B9F853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0" w:name="_Toc23264"/>
      <w:r>
        <w:rPr>
          <w:rFonts w:hint="default" w:ascii="Times New Roman" w:hAnsi="Times New Roman" w:eastAsia="楷体_GB2312" w:cs="Times New Roman"/>
          <w:b w:val="0"/>
          <w:color w:val="000000" w:themeColor="text1"/>
          <w14:textFill>
            <w14:solidFill>
              <w14:schemeClr w14:val="tx1"/>
            </w14:solidFill>
          </w14:textFill>
        </w:rPr>
        <w:t>5.1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响应分级</w:t>
      </w:r>
      <w:bookmarkEnd w:id="40"/>
    </w:p>
    <w:p w14:paraId="5802D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故应急响应等级由高到低分为Ⅰ级、Ⅱ级、Ⅲ级、Ⅳ级。发生特别重大、重大事故，分别启动I级、Ⅱ级应急响应，由自治区人民政府负责应对工作；发生较大事故，分别启动Ⅲ级应急响应，由市人民政府负责应对，发生一般事故，启动Ⅳ级应急响应，由区人民政府负责应对工作。具体如下：</w:t>
      </w:r>
    </w:p>
    <w:p w14:paraId="4D452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启动Ⅰ级应急响应由国务院安委会或国务院有关部门组织实施，各级人民政府根据有关预案要求开展救援工作。</w:t>
      </w:r>
    </w:p>
    <w:p w14:paraId="7A392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Ⅱ级应急响应由自治区指挥部组织实施，事发地市人民政府按照自治区指挥部要求密切配合。</w:t>
      </w:r>
    </w:p>
    <w:p w14:paraId="1AB2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Ⅲ级应急响应由事发地市人民政府组织实施，区人民政府及其指挥部按要求密切配合。</w:t>
      </w:r>
    </w:p>
    <w:p w14:paraId="3D541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Ⅳ级应急响应由区人民政府组织实施。</w:t>
      </w:r>
    </w:p>
    <w:p w14:paraId="26B25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应急响应启动后，可以根据损失情况、发展趋势调整响应级别，避免响应不足或响应过度。</w:t>
      </w:r>
    </w:p>
    <w:p w14:paraId="7D4C9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事态发展到需向市人民政府、</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市安全生产和应急委员会</w:t>
      </w:r>
      <w:r>
        <w:rPr>
          <w:rFonts w:hint="default" w:ascii="Times New Roman" w:hAnsi="Times New Roman" w:eastAsia="仿宋_GB2312" w:cs="Times New Roman"/>
          <w:color w:val="000000" w:themeColor="text1"/>
          <w:sz w:val="32"/>
          <w:szCs w:val="28"/>
          <w14:textFill>
            <w14:solidFill>
              <w14:schemeClr w14:val="tx1"/>
            </w14:solidFill>
          </w14:textFill>
        </w:rPr>
        <w:t>和中国人民解放军、武警部队请求支援时，由区人民政府协调。</w:t>
      </w:r>
    </w:p>
    <w:p w14:paraId="2D1D981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1" w:name="_Toc32622"/>
      <w:r>
        <w:rPr>
          <w:rFonts w:hint="default" w:ascii="Times New Roman" w:hAnsi="Times New Roman" w:eastAsia="楷体_GB2312" w:cs="Times New Roman"/>
          <w:b w:val="0"/>
          <w:color w:val="000000" w:themeColor="text1"/>
          <w14:textFill>
            <w14:solidFill>
              <w14:schemeClr w14:val="tx1"/>
            </w14:solidFill>
          </w14:textFill>
        </w:rPr>
        <w:t>5.2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响应程序及响应行动</w:t>
      </w:r>
      <w:bookmarkEnd w:id="41"/>
    </w:p>
    <w:p w14:paraId="74E95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当发生特别重大、重大</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28"/>
          <w14:textFill>
            <w14:solidFill>
              <w14:schemeClr w14:val="tx1"/>
            </w14:solidFill>
          </w14:textFill>
        </w:rPr>
        <w:t>较大粉尘涉爆生产安全事故，国务院安委会、自治区、市启动Ⅰ级、Ⅱ级、Ⅲ级应急响应时，区指挥部根据上级响应等级启动相应或高一级的应急响应，并按指令全力执行和落实各项应急处置措施。</w:t>
      </w:r>
    </w:p>
    <w:p w14:paraId="7167A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当发生一般粉尘涉爆生产安全事故灾难时</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由区应急指挥部</w:t>
      </w:r>
      <w:r>
        <w:rPr>
          <w:rFonts w:hint="default" w:ascii="Times New Roman" w:hAnsi="Times New Roman" w:eastAsia="仿宋_GB2312" w:cs="Times New Roman"/>
          <w:color w:val="000000" w:themeColor="text1"/>
          <w:spacing w:val="6"/>
          <w:sz w:val="32"/>
          <w:szCs w:val="28"/>
          <w14:textFill>
            <w14:solidFill>
              <w14:schemeClr w14:val="tx1"/>
            </w14:solidFill>
          </w14:textFill>
        </w:rPr>
        <w:t>启动Ⅳ级应急响应，区指挥部及各单位根据职责采取以下响应措施：</w:t>
      </w:r>
    </w:p>
    <w:p w14:paraId="72ED7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（1）区指挥部视情设立现场指挥部，明确有关领导担任现场指挥部指挥长，现场指挥部指挥长赶赴事故现场进行组织、协调、指挥救援；</w:t>
      </w:r>
    </w:p>
    <w:p w14:paraId="6DC7A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（2）区指挥部办公室向现场指挥部提供相关的预案、专家、队伍、装备、物资等信息，通知各有关单位、救援队伍赶赴事故现场；</w:t>
      </w:r>
    </w:p>
    <w:p w14:paraId="6E5CC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w:t>
      </w:r>
      <w:r>
        <w:rPr>
          <w:rFonts w:hint="default" w:ascii="Times New Roman" w:hAnsi="Times New Roman" w:eastAsia="仿宋_GB2312" w:cs="Times New Roman"/>
          <w:color w:val="000000" w:themeColor="text1"/>
          <w:spacing w:val="-6"/>
          <w:sz w:val="32"/>
          <w:szCs w:val="28"/>
          <w14:textFill>
            <w14:solidFill>
              <w14:schemeClr w14:val="tx1"/>
            </w14:solidFill>
          </w14:textFill>
        </w:rPr>
        <w:t>现场指挥部根据事故实际按预案要求设置应急救援工作组；</w:t>
      </w:r>
    </w:p>
    <w:p w14:paraId="6D8E0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（4）现场指挥部组织专家咨询，研判分析事故影响和应急措施，提出事故现场救援指挥协调方案，制定现场应急处置方案；</w:t>
      </w:r>
    </w:p>
    <w:p w14:paraId="17B92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（5）现场指挥部根据现场救援方案，调动有关队伍、专家参加现场救援工作，调动有关单位和救援装备、物资支援现场救援；</w:t>
      </w:r>
    </w:p>
    <w:p w14:paraId="6F7A2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（6）现场指挥部设置的各工作组根据职责和现场处置方案开展处置工作；</w:t>
      </w:r>
    </w:p>
    <w:p w14:paraId="3D2D9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（7）进一步分析研判事故发展态势，及时转移疏散受威胁群众，加强事故现场及周边重要目标和重大危险源的保护，防范次生灾害；</w:t>
      </w:r>
    </w:p>
    <w:p w14:paraId="09052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（8）根据事故破坏程度，组织抢修事故现场救援</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必需的</w:t>
      </w:r>
      <w:r>
        <w:rPr>
          <w:rFonts w:hint="default" w:ascii="Times New Roman" w:hAnsi="Times New Roman" w:eastAsia="仿宋_GB2312" w:cs="Times New Roman"/>
          <w:color w:val="000000" w:themeColor="text1"/>
          <w:sz w:val="32"/>
          <w:szCs w:val="28"/>
          <w14:textFill>
            <w14:solidFill>
              <w14:schemeClr w14:val="tx1"/>
            </w14:solidFill>
          </w14:textFill>
        </w:rPr>
        <w:t>通信、电力、供水、交通等设施，保障救援顺利开展；</w:t>
      </w:r>
    </w:p>
    <w:p w14:paraId="56472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（9）协调指导粉尘涉爆生产安全事故灾难信息发布和事故应急救援宣传报道，引导正确舆论；</w:t>
      </w:r>
    </w:p>
    <w:p w14:paraId="1B7AA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（10）根据事故现场救援进展，研判分析事故发展态势，必要时请求市指挥部支援。</w:t>
      </w:r>
    </w:p>
    <w:p w14:paraId="387D0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现场指挥部应当及时掌握事故现场基本情况，主要包括：遇险人员伤亡、失踪、被困等情况；事故现场隐患情况及应急处置方法等信息；周边建筑、居民、地形、电源、火源等情况；风速、风向等气象信息；事故可能导致的后果及对周围区域的可能影响范围和危害程度；应急救援设备、物</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资</w:t>
      </w:r>
      <w:r>
        <w:rPr>
          <w:rFonts w:hint="default" w:ascii="Times New Roman" w:hAnsi="Times New Roman" w:eastAsia="仿宋_GB2312" w:cs="Times New Roman"/>
          <w:color w:val="000000" w:themeColor="text1"/>
          <w:sz w:val="32"/>
          <w:szCs w:val="28"/>
          <w14:textFill>
            <w14:solidFill>
              <w14:schemeClr w14:val="tx1"/>
            </w14:solidFill>
          </w14:textFill>
        </w:rPr>
        <w:t>、器材、队伍等情况；有</w:t>
      </w:r>
      <w:r>
        <w:rPr>
          <w:rFonts w:hint="default" w:ascii="Times New Roman" w:hAnsi="Times New Roman" w:eastAsia="仿宋_GB2312" w:cs="Times New Roman"/>
          <w:color w:val="000000" w:themeColor="text1"/>
          <w:spacing w:val="-6"/>
          <w:sz w:val="32"/>
          <w:szCs w:val="28"/>
          <w14:textFill>
            <w14:solidFill>
              <w14:schemeClr w14:val="tx1"/>
            </w14:solidFill>
          </w14:textFill>
        </w:rPr>
        <w:t>关装置、设备、设施等损毁情况；应急救援污水的收纳及其他情况。</w:t>
      </w:r>
    </w:p>
    <w:p w14:paraId="01FF4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区指挥部办公室应及时了解掌握事故现场最</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新事</w:t>
      </w:r>
      <w:r>
        <w:rPr>
          <w:rFonts w:hint="default" w:ascii="Times New Roman" w:hAnsi="Times New Roman" w:eastAsia="仿宋_GB2312" w:cs="Times New Roman"/>
          <w:color w:val="000000" w:themeColor="text1"/>
          <w:sz w:val="32"/>
          <w:szCs w:val="28"/>
          <w14:textFill>
            <w14:solidFill>
              <w14:schemeClr w14:val="tx1"/>
            </w14:solidFill>
          </w14:textFill>
        </w:rPr>
        <w:t>故基本情况、事态发展和救援的进展情况，向区指挥部指挥长、区总值班中心、市应急指挥中心报告；保持与现场指挥部、事发地镇人民政府（街道办事处）和相关行业（领域）指挥机构、应急专家组的联系，随时掌握事态发展情况；根据现场指挥部决策部署，及时协调相关单位、人员和行业专家赶赴现场参加、指导现场应急救援；及时协调相关应急力量予以支持；按区指挥部指挥长的指示，协调落实其他有关事项。</w:t>
      </w:r>
    </w:p>
    <w:p w14:paraId="355C8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根据事故实际和响应等级，区指挥部不设立现场指挥部的，相关响应行动由区指挥部及其办公室组织实施。</w:t>
      </w:r>
    </w:p>
    <w:p w14:paraId="096515C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42" w:name="_Toc29683"/>
      <w:r>
        <w:rPr>
          <w:rFonts w:hint="default" w:ascii="Times New Roman" w:hAnsi="Times New Roman" w:eastAsia="黑体" w:cs="Times New Roman"/>
          <w:b w:val="0"/>
          <w:color w:val="000000" w:themeColor="text1"/>
          <w:sz w:val="32"/>
          <w:szCs w:val="32"/>
          <w14:textFill>
            <w14:solidFill>
              <w14:schemeClr w14:val="tx1"/>
            </w14:solidFill>
          </w14:textFill>
        </w:rPr>
        <w:t>6. 规范现场处置</w:t>
      </w:r>
      <w:bookmarkEnd w:id="42"/>
    </w:p>
    <w:p w14:paraId="26C3532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3" w:name="_Toc19589"/>
      <w:r>
        <w:rPr>
          <w:rFonts w:hint="default" w:ascii="Times New Roman" w:hAnsi="Times New Roman" w:eastAsia="楷体_GB2312" w:cs="Times New Roman"/>
          <w:b w:val="0"/>
          <w:color w:val="000000" w:themeColor="text1"/>
          <w14:textFill>
            <w14:solidFill>
              <w14:schemeClr w14:val="tx1"/>
            </w14:solidFill>
          </w14:textFill>
        </w:rPr>
        <w:t>6.1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企业先期处置</w:t>
      </w:r>
      <w:bookmarkEnd w:id="43"/>
    </w:p>
    <w:p w14:paraId="6AD3E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发生粉尘涉爆生产安全事故后，生产经营单位应当立即启动生产安全事故应急救援预案，采取下列一项或者多项应急救援措施，并按照国家有关规定报告事故情况：</w:t>
      </w:r>
    </w:p>
    <w:p w14:paraId="5129B5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迅速控制危险源，组织抢救遇险人员；</w:t>
      </w:r>
    </w:p>
    <w:p w14:paraId="5EEC09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根据事故危害程度，组织现场人员撤离或者采取可能的应急措施后撤离；</w:t>
      </w:r>
    </w:p>
    <w:p w14:paraId="162866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及时通知可能受到事故影响的单位和人员；</w:t>
      </w:r>
    </w:p>
    <w:p w14:paraId="592F11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 w:val="32"/>
          <w:szCs w:val="28"/>
          <w14:textFill>
            <w14:solidFill>
              <w14:schemeClr w14:val="tx1"/>
            </w14:solidFill>
          </w14:textFill>
        </w:rPr>
      </w:pPr>
      <w:r>
        <w:rPr>
          <w:rFonts w:hint="default" w:ascii="Times New Roman" w:hAnsi="Times New Roman" w:eastAsia="仿宋_GB2312" w:cs="Times New Roman"/>
          <w:color w:val="000000" w:themeColor="text1"/>
          <w:spacing w:val="-6"/>
          <w:sz w:val="32"/>
          <w:szCs w:val="28"/>
          <w14:textFill>
            <w14:solidFill>
              <w14:schemeClr w14:val="tx1"/>
            </w14:solidFill>
          </w14:textFill>
        </w:rPr>
        <w:t>采取必要措施，防止事故危害扩大和次生、衍生灾害发生；</w:t>
      </w:r>
    </w:p>
    <w:p w14:paraId="210EDA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根据需要请求邻近的应急救援队伍参加救援，并向参加救援的应急救援队伍提供相关技术资料、信息和处置方法；</w:t>
      </w:r>
    </w:p>
    <w:p w14:paraId="53F217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维护事故现场秩序，保护事故现场和相关证据；</w:t>
      </w:r>
    </w:p>
    <w:p w14:paraId="0977D1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eastAsia" w:ascii="Times New Roman" w:hAnsi="Times New Roman" w:eastAsia="仿宋_GB2312" w:cs="Times New Roman"/>
          <w:color w:val="000000" w:themeColor="text1"/>
          <w:sz w:val="32"/>
          <w:szCs w:val="28"/>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28"/>
          <w14:textFill>
            <w14:solidFill>
              <w14:schemeClr w14:val="tx1"/>
            </w14:solidFill>
          </w14:textFill>
        </w:rPr>
        <w:t>规定的其他应急救援措施。</w:t>
      </w:r>
    </w:p>
    <w:p w14:paraId="628231A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4" w:name="_Toc19034"/>
      <w:r>
        <w:rPr>
          <w:rFonts w:hint="default" w:ascii="Times New Roman" w:hAnsi="Times New Roman" w:eastAsia="楷体_GB2312" w:cs="Times New Roman"/>
          <w:b w:val="0"/>
          <w:color w:val="000000" w:themeColor="text1"/>
          <w14:textFill>
            <w14:solidFill>
              <w14:schemeClr w14:val="tx1"/>
            </w14:solidFill>
          </w14:textFill>
        </w:rPr>
        <w:t>6.2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政府应急救援</w:t>
      </w:r>
      <w:bookmarkEnd w:id="44"/>
    </w:p>
    <w:p w14:paraId="6F31F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区人民政府及其有关部门接到粉尘涉爆生产安全事故报告后，应当按照国家有关规定上报事故情况，启动相应的生产安全事故应急救援预案，并按照应急救援预案的规定采取下列一项或者多项应急救援措施：</w:t>
      </w:r>
    </w:p>
    <w:p w14:paraId="0BE365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组织抢救遇险人员，救治受伤人员，研判事故发展趋势以及可能造成的危害；</w:t>
      </w:r>
    </w:p>
    <w:p w14:paraId="06087E1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通知可能受到事故影响的单位和人员，隔离事故现场，划定警戒区域，疏散受到威胁的人员，实施交通管制；</w:t>
      </w:r>
    </w:p>
    <w:p w14:paraId="5CF0D75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采取必要措施，防止事故危害扩大和次生、衍生灾害发生，避免</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28"/>
          <w14:textFill>
            <w14:solidFill>
              <w14:schemeClr w14:val="tx1"/>
            </w14:solidFill>
          </w14:textFill>
        </w:rPr>
        <w:t>减少事故对环境造成的危害；</w:t>
      </w:r>
    </w:p>
    <w:p w14:paraId="409144A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依法发布调用和征用应急资源的决定；</w:t>
      </w:r>
    </w:p>
    <w:p w14:paraId="7690F14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依法向应急救援队伍下达救援命令；</w:t>
      </w:r>
    </w:p>
    <w:p w14:paraId="6F7DEC3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维护事故现场秩序，组织安抚遇险人员和遇险遇难人员亲属；</w:t>
      </w:r>
    </w:p>
    <w:p w14:paraId="682938A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依法发布有关事故情况和应急救援工作的信息；</w:t>
      </w:r>
    </w:p>
    <w:p w14:paraId="75815BC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eastAsia" w:ascii="Times New Roman" w:hAnsi="Times New Roman" w:eastAsia="仿宋_GB2312" w:cs="Times New Roman"/>
          <w:color w:val="000000" w:themeColor="text1"/>
          <w:sz w:val="32"/>
          <w:szCs w:val="28"/>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28"/>
          <w14:textFill>
            <w14:solidFill>
              <w14:schemeClr w14:val="tx1"/>
            </w14:solidFill>
          </w14:textFill>
        </w:rPr>
        <w:t>规定的其他应急救援措施。</w:t>
      </w:r>
    </w:p>
    <w:p w14:paraId="2060B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粉尘涉爆生产安全事故发生地镇人民政府（街道办事处）及有关部门接到事故报告后，相关负责同志要立即赶赴事故现场，按照有关应急预案规定和现场指挥部指令，组织开展事故应急处置工作。</w:t>
      </w:r>
    </w:p>
    <w:p w14:paraId="6A3F5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发地镇人民政府（街道办事处）不能有效控制生产安全事故的，应当及时向区人民政府报告。区人民政府应当及时采取措施，统一指挥应急救援。现场指挥部不能有效控制生产安全事故的，应当及时向区人民政府报告，请求市指挥部支援。</w:t>
      </w:r>
    </w:p>
    <w:p w14:paraId="42F72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区指挥部成立后，镇（街道）现场应急处置指挥部要立即移交指挥权，并继续配合做好应急处置工作。</w:t>
      </w:r>
    </w:p>
    <w:p w14:paraId="68EB6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事故发生地有关单位、各类安全生产应急救援队伍接到地方政府及有关部门的应急救援指令或有关企业的请求后，应当及时出动参加事故救援。</w:t>
      </w:r>
    </w:p>
    <w:p w14:paraId="03A7404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5" w:name="_Toc31851"/>
      <w:r>
        <w:rPr>
          <w:rFonts w:hint="default" w:ascii="Times New Roman" w:hAnsi="Times New Roman" w:eastAsia="楷体_GB2312" w:cs="Times New Roman"/>
          <w:b w:val="0"/>
          <w:color w:val="000000" w:themeColor="text1"/>
          <w14:textFill>
            <w14:solidFill>
              <w14:schemeClr w14:val="tx1"/>
            </w14:solidFill>
          </w14:textFill>
        </w:rPr>
        <w:t>6.3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应急救援现场管理</w:t>
      </w:r>
      <w:bookmarkEnd w:id="45"/>
    </w:p>
    <w:p w14:paraId="6918F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现场指挥部要根据事故救援需要和现场实际需要划定警戒区域，设置警</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示</w:t>
      </w:r>
      <w:r>
        <w:rPr>
          <w:rFonts w:hint="default" w:ascii="Times New Roman" w:hAnsi="Times New Roman" w:eastAsia="仿宋_GB2312" w:cs="Times New Roman"/>
          <w:color w:val="000000" w:themeColor="text1"/>
          <w:sz w:val="32"/>
          <w:szCs w:val="28"/>
          <w14:textFill>
            <w14:solidFill>
              <w14:schemeClr w14:val="tx1"/>
            </w14:solidFill>
          </w14:textFill>
        </w:rPr>
        <w:t>标识。及时疏散和安置可能受事故影响的周边居民和群众，疏导劝离与救援无关的人员，维护现场秩序。必要时，对事故现场实行隔离保护，尤其是对重要部位实行专人值守，未经指挥部批准，任何人不准进入。要对有关区域实行交通管制，确保应急救援通道畅通。</w:t>
      </w:r>
    </w:p>
    <w:p w14:paraId="6E7B7A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6.3.1 警戒与管制</w:t>
      </w:r>
    </w:p>
    <w:p w14:paraId="25895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对事故现场周围实施交通管制和警戒：定向、定时封锁，保障救援通道畅通。</w:t>
      </w:r>
    </w:p>
    <w:p w14:paraId="5506F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指挥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危险</w:t>
      </w:r>
      <w:r>
        <w:rPr>
          <w:rFonts w:hint="default" w:ascii="Times New Roman" w:hAnsi="Times New Roman" w:eastAsia="仿宋_GB2312" w:cs="Times New Roman"/>
          <w:color w:val="000000" w:themeColor="text1"/>
          <w:sz w:val="32"/>
          <w:szCs w:val="32"/>
          <w14:textFill>
            <w14:solidFill>
              <w14:schemeClr w14:val="tx1"/>
            </w14:solidFill>
          </w14:textFill>
        </w:rPr>
        <w:t>区域内的人员撤离、保障车辆的顺利通行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20BD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及时清除交通障碍物；</w:t>
      </w:r>
    </w:p>
    <w:p w14:paraId="61A94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维护撤离区域和人员安置区场所的社会治安工作。</w:t>
      </w:r>
    </w:p>
    <w:p w14:paraId="4652F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确定警戒范围，避免进入危险区域，事故现场警戒范围由现场指挥部确定，并根据事态和监测的结果进行调整。</w:t>
      </w:r>
    </w:p>
    <w:p w14:paraId="2B6EB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6.3.2 抢险组织</w:t>
      </w:r>
    </w:p>
    <w:p w14:paraId="3570D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）组织营救和救治受害人员。</w:t>
      </w:r>
    </w:p>
    <w:p w14:paraId="57968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）迅速找到并控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制和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消除事故的危险源，标明或划定危险区域，防止事故扩大。</w:t>
      </w:r>
    </w:p>
    <w:p w14:paraId="171E7338">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）迅速恢复被损坏的供电、通风、运输、排水、通讯等系统。</w:t>
      </w:r>
    </w:p>
    <w:p w14:paraId="690082E5">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）组织专业人员加强事故涉及区域的环境、气体等监测监控。</w:t>
      </w:r>
    </w:p>
    <w:p w14:paraId="00A1E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）组织各种应急保障。</w:t>
      </w:r>
    </w:p>
    <w:p w14:paraId="7728A4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6.3.3 人群疏散与安置</w:t>
      </w:r>
    </w:p>
    <w:p w14:paraId="47238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）根据事故危害程度、持续时间、所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疏散时间等具体情况及专家意见作出决定。</w:t>
      </w:r>
    </w:p>
    <w:p w14:paraId="0A6C8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）向疏散区域发布公告，包括疏散时间、疏散方向、路线、交通工具、自我防护等。</w:t>
      </w:r>
    </w:p>
    <w:p w14:paraId="021F3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）优先选择交通便利和有安全保障的公园、学校、宾馆、体育场作为人群安置场所。</w:t>
      </w:r>
    </w:p>
    <w:p w14:paraId="0288D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）保障安置场所的生活（水、电、食品、衣被）、卫生、通讯和治安等基本需求。</w:t>
      </w:r>
    </w:p>
    <w:p w14:paraId="51EB1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）在人群安置场所设立临时医疗点，做好卫生防疫、污染物洗消等工作。</w:t>
      </w:r>
    </w:p>
    <w:p w14:paraId="0C635AD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6" w:name="_Toc23802"/>
      <w:r>
        <w:rPr>
          <w:rFonts w:hint="default" w:ascii="Times New Roman" w:hAnsi="Times New Roman" w:eastAsia="楷体_GB2312" w:cs="Times New Roman"/>
          <w:b w:val="0"/>
          <w:color w:val="000000" w:themeColor="text1"/>
          <w14:textFill>
            <w14:solidFill>
              <w14:schemeClr w14:val="tx1"/>
            </w14:solidFill>
          </w14:textFill>
        </w:rPr>
        <w:t>6.4</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科学安全有效施救</w:t>
      </w:r>
      <w:bookmarkEnd w:id="46"/>
    </w:p>
    <w:p w14:paraId="1F025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救援队伍指挥员应当作为指挥部成员，参与制订救援方案等重大决策，并根据救援方案和指挥长命令组织实施救援；在行动前要了解有关危险因素，明确防范措施，科学组织救援，积极搜救遇险人员。遇到突发情况危及救援人员生命安全时，救援队伍指挥员有权作出处置决定，迅速带领救援人员撤出危险区域，并及时报告现场指挥部。</w:t>
      </w:r>
    </w:p>
    <w:p w14:paraId="7737274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7" w:name="_Toc10936"/>
      <w:r>
        <w:rPr>
          <w:rFonts w:hint="default" w:ascii="Times New Roman" w:hAnsi="Times New Roman" w:eastAsia="楷体_GB2312" w:cs="Times New Roman"/>
          <w:b w:val="0"/>
          <w:color w:val="000000" w:themeColor="text1"/>
          <w14:textFill>
            <w14:solidFill>
              <w14:schemeClr w14:val="tx1"/>
            </w14:solidFill>
          </w14:textFill>
        </w:rPr>
        <w:t>6.5</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救援暂停和终止</w:t>
      </w:r>
      <w:bookmarkEnd w:id="47"/>
    </w:p>
    <w:p w14:paraId="3AB40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对于继续救援直接威胁救援人员生命安全、极易造成次生衍生事故等情况，现场指挥部要组织专家充分论证，作出暂停救援的决定；在事故现场得以控制、导致次生衍生事故隐患消除后，经现场指挥部组织研究，确认符合继续施救条件时，</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再</w:t>
      </w:r>
      <w:r>
        <w:rPr>
          <w:rFonts w:hint="default" w:ascii="Times New Roman" w:hAnsi="Times New Roman" w:eastAsia="仿宋_GB2312" w:cs="Times New Roman"/>
          <w:color w:val="000000" w:themeColor="text1"/>
          <w:sz w:val="32"/>
          <w:szCs w:val="28"/>
          <w14:textFill>
            <w14:solidFill>
              <w14:schemeClr w14:val="tx1"/>
            </w14:solidFill>
          </w14:textFill>
        </w:rPr>
        <w:t>组织施救。因客观条件导致无法实施救援或救援任务完成后，在经专家组论证并做好相关工作的基础上，现场指挥部要提出终止救援的意见，报区人民政府批准。</w:t>
      </w:r>
    </w:p>
    <w:p w14:paraId="0728534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48" w:name="_Toc14378"/>
      <w:r>
        <w:rPr>
          <w:rFonts w:hint="default" w:ascii="Times New Roman" w:hAnsi="Times New Roman" w:eastAsia="黑体" w:cs="Times New Roman"/>
          <w:b w:val="0"/>
          <w:color w:val="000000" w:themeColor="text1"/>
          <w:sz w:val="32"/>
          <w:szCs w:val="32"/>
          <w14:textFill>
            <w14:solidFill>
              <w14:schemeClr w14:val="tx1"/>
            </w14:solidFill>
          </w14:textFill>
        </w:rPr>
        <w:t>7. 后期处置</w:t>
      </w:r>
      <w:bookmarkEnd w:id="48"/>
    </w:p>
    <w:p w14:paraId="2BE3EAE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49" w:name="_Toc7429"/>
      <w:r>
        <w:rPr>
          <w:rFonts w:hint="default" w:ascii="Times New Roman" w:hAnsi="Times New Roman" w:eastAsia="楷体_GB2312" w:cs="Times New Roman"/>
          <w:b w:val="0"/>
          <w:color w:val="000000" w:themeColor="text1"/>
          <w14:textFill>
            <w14:solidFill>
              <w14:schemeClr w14:val="tx1"/>
            </w14:solidFill>
          </w14:textFill>
        </w:rPr>
        <w:t>7.1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善后处置</w:t>
      </w:r>
      <w:bookmarkEnd w:id="49"/>
    </w:p>
    <w:p w14:paraId="0072F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（1）事发地镇人民政府（街道办事处）、区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等相关单位负责做好有关人员的安置、救济、抚恤，物资和劳务的征用补偿，灾后重建，污染物收集，现场清理与处置等工作。</w:t>
      </w:r>
    </w:p>
    <w:p w14:paraId="1B2CB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（2）事发地镇人民政府（街道办事处）和有关部门负责做好转移疏散群众的安置</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28"/>
          <w14:textFill>
            <w14:solidFill>
              <w14:schemeClr w14:val="tx1"/>
            </w14:solidFill>
          </w14:textFill>
        </w:rPr>
        <w:t>伤亡人员家属的安抚工作。</w:t>
      </w:r>
    </w:p>
    <w:p w14:paraId="54044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（3）区指挥部组织有关部门及时对事故危害情况和当地重建能力以及可利用资源等进行初步评估后，迅速采取各种有效措施，开展恢复重建等工作。</w:t>
      </w:r>
    </w:p>
    <w:p w14:paraId="1FA15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（4）区指挥部对在应急过程中紧急征（调）用的物资、设备等按国家和自治区、市、区有关规定予以归还；造成损坏或无法归还的，依据国家和自治区、市、区有关规定给予适当补偿或</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做</w:t>
      </w:r>
      <w:r>
        <w:rPr>
          <w:rFonts w:hint="default" w:ascii="Times New Roman" w:hAnsi="Times New Roman" w:eastAsia="仿宋_GB2312" w:cs="Times New Roman"/>
          <w:color w:val="000000" w:themeColor="text1"/>
          <w:sz w:val="32"/>
          <w:szCs w:val="28"/>
          <w14:textFill>
            <w14:solidFill>
              <w14:schemeClr w14:val="tx1"/>
            </w14:solidFill>
          </w14:textFill>
        </w:rPr>
        <w:t>其他处理。</w:t>
      </w:r>
    </w:p>
    <w:p w14:paraId="50797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应急、卫生健康、消防救援、生态环境等有关部门协助事发地镇人民政府（街道办事处）组织涉事企业单位负责做好现场污染物或危险品的收集、现场清理、消毒和疾病预防等工作。在涉事企业单位灭失的情况下，由当地人民政府负责。</w:t>
      </w:r>
    </w:p>
    <w:p w14:paraId="79357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（6）各级人民政府、保险机构应积极宣传、动员各企事业单位和公众参加灾害保险并做好防灾防损工作。灾害发生后，保险公司应及时做好灾区投保单位和家庭受灾损失的理赔工作。</w:t>
      </w:r>
    </w:p>
    <w:p w14:paraId="0B44B97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0" w:name="_Toc13137"/>
      <w:r>
        <w:rPr>
          <w:rFonts w:hint="default" w:ascii="Times New Roman" w:hAnsi="Times New Roman" w:eastAsia="楷体_GB2312" w:cs="Times New Roman"/>
          <w:b w:val="0"/>
          <w:color w:val="000000" w:themeColor="text1"/>
          <w14:textFill>
            <w14:solidFill>
              <w14:schemeClr w14:val="tx1"/>
            </w14:solidFill>
          </w14:textFill>
        </w:rPr>
        <w:t>7.2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事故调查</w:t>
      </w:r>
      <w:bookmarkEnd w:id="50"/>
    </w:p>
    <w:p w14:paraId="48680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按《生产安全事故报告和调查处理条例》（国务院令</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28"/>
          <w14:textFill>
            <w14:solidFill>
              <w14:schemeClr w14:val="tx1"/>
            </w14:solidFill>
          </w14:textFill>
        </w:rPr>
        <w:t>）规定，特别粉尘涉爆生产安全事故按照国家有关规定由国务院有关部门负责组成调查组进行调查，自治区人民政府有关单位根据国务院调查组的要求派员配合调查。重大粉尘涉爆生产安全事故由自治区人民政府或授权有关部门牵头组成调查组开展事故调查。较大粉尘涉爆生产安全事故由市人民政府或授权有关部门牵头组成调查组开展事故调查。</w:t>
      </w:r>
    </w:p>
    <w:p w14:paraId="6DACF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一般涉爆粉尘生产安全事故由区人民政府或授权有关部门开展事故调查。</w:t>
      </w:r>
    </w:p>
    <w:p w14:paraId="4A7392F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1" w:name="_Toc7299"/>
      <w:r>
        <w:rPr>
          <w:rFonts w:hint="default" w:ascii="Times New Roman" w:hAnsi="Times New Roman" w:eastAsia="楷体_GB2312" w:cs="Times New Roman"/>
          <w:b w:val="0"/>
          <w:color w:val="000000" w:themeColor="text1"/>
          <w14:textFill>
            <w14:solidFill>
              <w14:schemeClr w14:val="tx1"/>
            </w14:solidFill>
          </w14:textFill>
        </w:rPr>
        <w:t>7.3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总结评估</w:t>
      </w:r>
      <w:bookmarkEnd w:id="51"/>
    </w:p>
    <w:p w14:paraId="57F3A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事故应急处置和救援工作结束后，当地人民政府、有关企业应认真分析事故原因，制定防范措施，落实安全生产责任制，防止类似事故发生。</w:t>
      </w:r>
    </w:p>
    <w:p w14:paraId="7F0B6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应急工作结束后，事发地的应急管理部门应将应急救援有关文字、图片、录像等资料整理归档，并对事故应急响应情况进行总结和评估，并按程序逐级上报。</w:t>
      </w:r>
    </w:p>
    <w:p w14:paraId="4BB43EF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2" w:name="_Toc11427"/>
      <w:r>
        <w:rPr>
          <w:rFonts w:hint="default" w:ascii="Times New Roman" w:hAnsi="Times New Roman" w:eastAsia="楷体_GB2312" w:cs="Times New Roman"/>
          <w:b w:val="0"/>
          <w:color w:val="000000" w:themeColor="text1"/>
          <w14:textFill>
            <w14:solidFill>
              <w14:schemeClr w14:val="tx1"/>
            </w14:solidFill>
          </w14:textFill>
        </w:rPr>
        <w:t>7.4</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恢复重建</w:t>
      </w:r>
      <w:bookmarkEnd w:id="52"/>
    </w:p>
    <w:p w14:paraId="592DC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粉尘涉爆生产安全事故应急处置结束后，事故单位要组织编制恢复生产实施方案并报行业监管部门和应急管理局批准备案</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p>
    <w:p w14:paraId="543B8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针对事故发生的原因组织开展整改工作</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开展全面的安全生产大检查，全面排查治理事故隐患</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开展企业主要负责人、安全生产管理人员、从业人员安全生产教育培训。</w:t>
      </w:r>
    </w:p>
    <w:p w14:paraId="4014B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一般粉尘涉爆生产安全事故恢复生产方案及整改工作落实情况</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，须</w:t>
      </w:r>
      <w:r>
        <w:rPr>
          <w:rFonts w:hint="default" w:ascii="Times New Roman" w:hAnsi="Times New Roman" w:eastAsia="仿宋_GB2312" w:cs="Times New Roman"/>
          <w:color w:val="000000" w:themeColor="text1"/>
          <w:sz w:val="32"/>
          <w:szCs w:val="28"/>
          <w14:textFill>
            <w14:solidFill>
              <w14:schemeClr w14:val="tx1"/>
            </w14:solidFill>
          </w14:textFill>
        </w:rPr>
        <w:t>经区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组织专家检查验收合格后</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方可恢复生产。</w:t>
      </w:r>
    </w:p>
    <w:p w14:paraId="122313E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3" w:name="_Toc26959"/>
      <w:r>
        <w:rPr>
          <w:rFonts w:hint="default" w:ascii="Times New Roman" w:hAnsi="Times New Roman" w:eastAsia="楷体_GB2312" w:cs="Times New Roman"/>
          <w:b w:val="0"/>
          <w:color w:val="000000" w:themeColor="text1"/>
          <w14:textFill>
            <w14:solidFill>
              <w14:schemeClr w14:val="tx1"/>
            </w14:solidFill>
          </w14:textFill>
        </w:rPr>
        <w:t>7.5</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责任与奖惩</w:t>
      </w:r>
      <w:bookmarkEnd w:id="53"/>
    </w:p>
    <w:p w14:paraId="2A926140">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54" w:name="_Toc15251"/>
      <w:r>
        <w:rPr>
          <w:rFonts w:hint="default" w:ascii="Times New Roman" w:hAnsi="Times New Roman" w:eastAsia="仿宋_GB2312" w:cs="Times New Roman"/>
          <w:color w:val="000000" w:themeColor="text1"/>
          <w:szCs w:val="28"/>
          <w14:textFill>
            <w14:solidFill>
              <w14:schemeClr w14:val="tx1"/>
            </w14:solidFill>
          </w14:textFill>
        </w:rPr>
        <w:t>7.5.1</w:t>
      </w:r>
      <w:r>
        <w:rPr>
          <w:rFonts w:hint="default" w:ascii="Times New Roman" w:hAnsi="Times New Roman" w:eastAsia="仿宋_GB2312"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28"/>
          <w14:textFill>
            <w14:solidFill>
              <w14:schemeClr w14:val="tx1"/>
            </w14:solidFill>
          </w14:textFill>
        </w:rPr>
        <w:t>奖励</w:t>
      </w:r>
      <w:bookmarkEnd w:id="54"/>
    </w:p>
    <w:p w14:paraId="4D65A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在粉尘涉爆生产安全事故应急救援工作中有下列表现之一的单位和个人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应依据有关规定给予奖励</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p>
    <w:p w14:paraId="7EB77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（1）出色完成应急处置任务</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成绩显著的；</w:t>
      </w:r>
    </w:p>
    <w:p w14:paraId="68845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（2）有力实施抢救工作</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使国家、集体和人民群众的财产免受损失或者减少损失的；</w:t>
      </w:r>
    </w:p>
    <w:p w14:paraId="26A37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（3）对应急救援工作提出重大建议</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实施效果显著的；</w:t>
      </w:r>
    </w:p>
    <w:p w14:paraId="1575F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（4）有其他特殊贡献的。</w:t>
      </w:r>
    </w:p>
    <w:p w14:paraId="46D4209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28"/>
          <w14:textFill>
            <w14:solidFill>
              <w14:schemeClr w14:val="tx1"/>
            </w14:solidFill>
          </w14:textFill>
        </w:rPr>
      </w:pPr>
      <w:bookmarkStart w:id="55" w:name="_Toc32157"/>
      <w:r>
        <w:rPr>
          <w:rFonts w:hint="default" w:ascii="Times New Roman" w:hAnsi="Times New Roman" w:eastAsia="仿宋_GB2312" w:cs="Times New Roman"/>
          <w:color w:val="000000" w:themeColor="text1"/>
          <w:szCs w:val="28"/>
          <w14:textFill>
            <w14:solidFill>
              <w14:schemeClr w14:val="tx1"/>
            </w14:solidFill>
          </w14:textFill>
        </w:rPr>
        <w:t>7.5.2</w:t>
      </w:r>
      <w:r>
        <w:rPr>
          <w:rFonts w:hint="default" w:ascii="Times New Roman" w:hAnsi="Times New Roman" w:eastAsia="仿宋_GB2312"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Cs w:val="28"/>
          <w14:textFill>
            <w14:solidFill>
              <w14:schemeClr w14:val="tx1"/>
            </w14:solidFill>
          </w14:textFill>
        </w:rPr>
        <w:t>责任</w:t>
      </w:r>
      <w:bookmarkEnd w:id="55"/>
    </w:p>
    <w:p w14:paraId="057BE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在粉尘涉爆生产安全事故应急救援工作中有下列行为之一的</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按照</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28"/>
          <w14:textFill>
            <w14:solidFill>
              <w14:schemeClr w14:val="tx1"/>
            </w14:solidFill>
          </w14:textFill>
        </w:rPr>
        <w:t>及有关规定</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对责任人员视情节和危害后果</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追究其责任</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p>
    <w:p w14:paraId="3415C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（1）不按照规定制定应急预案</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拒绝履行应急准备义务的；</w:t>
      </w:r>
    </w:p>
    <w:p w14:paraId="19BDE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（2）不按照规定报告、通报事故真实情况的；</w:t>
      </w:r>
    </w:p>
    <w:p w14:paraId="44900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（3）拒不执行应急预案</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不服从命令和指挥</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在应急响应时临阵脱逃的；</w:t>
      </w:r>
    </w:p>
    <w:p w14:paraId="0DEBB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（4）盗窃、挪用、贪污应急工作资金或者物资的；</w:t>
      </w:r>
    </w:p>
    <w:p w14:paraId="435F8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（5）阻碍应急工作人员依法执行任务</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或者进行破坏活动的；</w:t>
      </w:r>
    </w:p>
    <w:p w14:paraId="03D9C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（6）散布谣言</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扰乱社会秩序的；</w:t>
      </w:r>
    </w:p>
    <w:p w14:paraId="7B74C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（7）有其他阻碍、破坏应急救援工作行为的。</w:t>
      </w:r>
    </w:p>
    <w:p w14:paraId="3590E94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56" w:name="_Toc22508"/>
      <w:r>
        <w:rPr>
          <w:rFonts w:hint="default" w:ascii="Times New Roman" w:hAnsi="Times New Roman" w:eastAsia="黑体" w:cs="Times New Roman"/>
          <w:b w:val="0"/>
          <w:color w:val="000000" w:themeColor="text1"/>
          <w:sz w:val="32"/>
          <w:szCs w:val="32"/>
          <w14:textFill>
            <w14:solidFill>
              <w14:schemeClr w14:val="tx1"/>
            </w14:solidFill>
          </w14:textFill>
        </w:rPr>
        <w:t>8. 保障措施</w:t>
      </w:r>
      <w:bookmarkEnd w:id="56"/>
    </w:p>
    <w:p w14:paraId="186CCFE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7" w:name="_Toc18149"/>
      <w:r>
        <w:rPr>
          <w:rFonts w:hint="default" w:ascii="Times New Roman" w:hAnsi="Times New Roman" w:eastAsia="楷体_GB2312" w:cs="Times New Roman"/>
          <w:b w:val="0"/>
          <w:color w:val="000000" w:themeColor="text1"/>
          <w14:textFill>
            <w14:solidFill>
              <w14:schemeClr w14:val="tx1"/>
            </w14:solidFill>
          </w14:textFill>
        </w:rPr>
        <w:t>8.1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队伍保障</w:t>
      </w:r>
      <w:bookmarkEnd w:id="57"/>
    </w:p>
    <w:p w14:paraId="2DFA9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人民政府和有关部门要加强粉尘涉爆行业应急救援队伍建设，定期组织开展培训演练。各镇（街道）要根据辖区实际，督促企业建立安全生产应急救援队伍，并保持队伍正常运行和战斗力，确保发生粉尘涉爆生产安全事故时企业有专业队伍</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开展先期救援</w:t>
      </w:r>
      <w:r>
        <w:rPr>
          <w:rFonts w:hint="default" w:ascii="Times New Roman" w:hAnsi="Times New Roman" w:eastAsia="仿宋_GB2312" w:cs="Times New Roman"/>
          <w:color w:val="000000" w:themeColor="text1"/>
          <w:sz w:val="32"/>
          <w:szCs w:val="28"/>
          <w14:textFill>
            <w14:solidFill>
              <w14:schemeClr w14:val="tx1"/>
            </w14:solidFill>
          </w14:textFill>
        </w:rPr>
        <w:t>处置。</w:t>
      </w:r>
    </w:p>
    <w:p w14:paraId="153E7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目前我区没有专业的粉尘涉爆应急救援队伍，粉尘涉爆生产安全事故处置主要依托</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28"/>
          <w14:textFill>
            <w14:solidFill>
              <w14:schemeClr w14:val="tx1"/>
            </w14:solidFill>
          </w14:textFill>
        </w:rPr>
        <w:t>和市级救援力量及社会救援力量。</w:t>
      </w:r>
    </w:p>
    <w:p w14:paraId="579FBF3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8" w:name="_Toc8890"/>
      <w:r>
        <w:rPr>
          <w:rFonts w:hint="default" w:ascii="Times New Roman" w:hAnsi="Times New Roman" w:eastAsia="楷体_GB2312" w:cs="Times New Roman"/>
          <w:b w:val="0"/>
          <w:color w:val="000000" w:themeColor="text1"/>
          <w14:textFill>
            <w14:solidFill>
              <w14:schemeClr w14:val="tx1"/>
            </w14:solidFill>
          </w14:textFill>
        </w:rPr>
        <w:t>8.2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装备、物资保障</w:t>
      </w:r>
      <w:bookmarkEnd w:id="58"/>
    </w:p>
    <w:p w14:paraId="4A973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区人民政府应当根据本地区粉尘涉爆企业实际情况建立应急救援设施、设备、救治药品和医疗器械等储备制度，储备必要的应急物资和装备</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区应急救援队伍和相关企业根据有关法律法规要求和实际情况配备应急救援装备</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区人民政府各负有安全生产监督管理职责的部门应建立完善应急物资、装备数据库和调用制度，保证应急状态时调用。</w:t>
      </w:r>
    </w:p>
    <w:p w14:paraId="741E9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必要时，区人民政府依据有关法律法规及时动员和征用社会物资。</w:t>
      </w:r>
    </w:p>
    <w:p w14:paraId="7EFA0A9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59" w:name="_Toc28079"/>
      <w:r>
        <w:rPr>
          <w:rFonts w:hint="default" w:ascii="Times New Roman" w:hAnsi="Times New Roman" w:eastAsia="楷体_GB2312" w:cs="Times New Roman"/>
          <w:b w:val="0"/>
          <w:color w:val="000000" w:themeColor="text1"/>
          <w14:textFill>
            <w14:solidFill>
              <w14:schemeClr w14:val="tx1"/>
            </w14:solidFill>
          </w14:textFill>
        </w:rPr>
        <w:t>8.3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通信保障</w:t>
      </w:r>
      <w:bookmarkEnd w:id="59"/>
    </w:p>
    <w:p w14:paraId="3439A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区人民政府和有关部门、各企业单位要建立健全本地区本部门本单位事故应急通信保障体系。各成员单位负责本部门、本系统相关信息收集、分析和处理，并按规定上报。</w:t>
      </w:r>
    </w:p>
    <w:p w14:paraId="7281B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各级有关部门应当掌握本区域内所有应急机构和相关部门的通信联系方式，有关人员切实能够随时取得联系，各方通信联络及时、有效畅通。</w:t>
      </w:r>
    </w:p>
    <w:p w14:paraId="341D2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负责建立</w:t>
      </w:r>
      <w:r>
        <w:rPr>
          <w:rFonts w:hint="default" w:ascii="Times New Roman" w:hAnsi="Times New Roman" w:eastAsia="仿宋_GB2312" w:cs="Times New Roman"/>
          <w:color w:val="000000" w:themeColor="text1"/>
          <w:sz w:val="32"/>
          <w:szCs w:val="28"/>
          <w:lang w:val="en-US" w:eastAsia="zh-CN"/>
          <w14:textFill>
            <w14:solidFill>
              <w14:schemeClr w14:val="tx1"/>
            </w14:solidFill>
          </w14:textFill>
        </w:rPr>
        <w:t>健全</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辖</w:t>
      </w:r>
      <w:r>
        <w:rPr>
          <w:rFonts w:hint="default" w:ascii="Times New Roman" w:hAnsi="Times New Roman" w:eastAsia="仿宋_GB2312" w:cs="Times New Roman"/>
          <w:color w:val="000000" w:themeColor="text1"/>
          <w:sz w:val="32"/>
          <w:szCs w:val="28"/>
          <w14:textFill>
            <w14:solidFill>
              <w14:schemeClr w14:val="tx1"/>
            </w14:solidFill>
          </w14:textFill>
        </w:rPr>
        <w:t>区粉尘涉爆生产安全事故应急</w:t>
      </w:r>
      <w:r>
        <w:rPr>
          <w:rFonts w:hint="default" w:ascii="Times New Roman" w:hAnsi="Times New Roman" w:eastAsia="仿宋_GB2312" w:cs="Times New Roman"/>
          <w:color w:val="000000" w:themeColor="text1"/>
          <w:spacing w:val="6"/>
          <w:sz w:val="32"/>
          <w:szCs w:val="28"/>
          <w14:textFill>
            <w14:solidFill>
              <w14:schemeClr w14:val="tx1"/>
            </w14:solidFill>
          </w14:textFill>
        </w:rPr>
        <w:t>救援相关专家、队伍、机构通讯信息数据库，保证应急状态时调用。</w:t>
      </w:r>
    </w:p>
    <w:p w14:paraId="1F2F0BD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0" w:name="_Toc10082"/>
      <w:r>
        <w:rPr>
          <w:rFonts w:hint="default" w:ascii="Times New Roman" w:hAnsi="Times New Roman" w:eastAsia="楷体_GB2312" w:cs="Times New Roman"/>
          <w:b w:val="0"/>
          <w:color w:val="000000" w:themeColor="text1"/>
          <w14:textFill>
            <w14:solidFill>
              <w14:schemeClr w14:val="tx1"/>
            </w14:solidFill>
          </w14:textFill>
        </w:rPr>
        <w:t>8.4</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交通运输保障</w:t>
      </w:r>
      <w:bookmarkEnd w:id="60"/>
    </w:p>
    <w:p w14:paraId="537B7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在应急响应时，区指挥部办公室根据现场救援需要及时通知交通等部门提供运输保障；公安交警部门对事故现场进行道路交通管制，开设应急救援特别通道；交通部门对受损道路迅速组织抢修，形成快速、高效的应急运输系统，保证及时调运有关应急救援人员、装备和物资。</w:t>
      </w:r>
    </w:p>
    <w:p w14:paraId="5440393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1" w:name="_Toc18628"/>
      <w:r>
        <w:rPr>
          <w:rFonts w:hint="default" w:ascii="Times New Roman" w:hAnsi="Times New Roman" w:eastAsia="楷体_GB2312" w:cs="Times New Roman"/>
          <w:b w:val="0"/>
          <w:color w:val="000000" w:themeColor="text1"/>
          <w14:textFill>
            <w14:solidFill>
              <w14:schemeClr w14:val="tx1"/>
            </w14:solidFill>
          </w14:textFill>
        </w:rPr>
        <w:t>8.5</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资金保障</w:t>
      </w:r>
      <w:bookmarkEnd w:id="61"/>
    </w:p>
    <w:p w14:paraId="0F4C6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粉尘涉爆企业应当做好应急救援必要的资金准备。粉尘涉爆生产安全事故应急救援资金应当由事故责任单位承担</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z w:val="32"/>
          <w:szCs w:val="28"/>
          <w14:textFill>
            <w14:solidFill>
              <w14:schemeClr w14:val="tx1"/>
            </w14:solidFill>
          </w14:textFill>
        </w:rPr>
        <w:t>鼓励企业为相关人员购买安全责任险，若发生事故，由事故责任单位报保险公司理赔。</w:t>
      </w:r>
    </w:p>
    <w:p w14:paraId="0F61C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建立健全灾害风险保险体系，鼓励单位和公民参加保险。市有关部门、县级以上地方各级人民政府及其有关部门、有关单位安排应急救援人员参与可能发生人身危险的抢险救援行动前，应当为其购买相应的人身意外伤害保险。</w:t>
      </w:r>
    </w:p>
    <w:p w14:paraId="490FDCB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 w:val="32"/>
          <w:szCs w:val="28"/>
          <w14:textFill>
            <w14:solidFill>
              <w14:schemeClr w14:val="tx1"/>
            </w14:solidFill>
          </w14:textFill>
        </w:rPr>
      </w:pPr>
      <w:r>
        <w:rPr>
          <w:rFonts w:hint="default" w:ascii="Times New Roman" w:hAnsi="Times New Roman" w:eastAsia="仿宋_GB2312" w:cs="Times New Roman"/>
          <w:color w:val="000000" w:themeColor="text1"/>
          <w:spacing w:val="-6"/>
          <w:sz w:val="32"/>
          <w:szCs w:val="28"/>
          <w14:textFill>
            <w14:solidFill>
              <w14:schemeClr w14:val="tx1"/>
            </w14:solidFill>
          </w14:textFill>
        </w:rPr>
        <w:t>财政部门要保障粉尘涉爆生产安全事故应急处置所需工作经费。</w:t>
      </w:r>
    </w:p>
    <w:p w14:paraId="015BAB0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2" w:name="_Toc24221"/>
      <w:r>
        <w:rPr>
          <w:rFonts w:hint="default" w:ascii="Times New Roman" w:hAnsi="Times New Roman" w:eastAsia="楷体_GB2312" w:cs="Times New Roman"/>
          <w:b w:val="0"/>
          <w:color w:val="000000" w:themeColor="text1"/>
          <w14:textFill>
            <w14:solidFill>
              <w14:schemeClr w14:val="tx1"/>
            </w14:solidFill>
          </w14:textFill>
        </w:rPr>
        <w:t>8.6</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供水、供电保障</w:t>
      </w:r>
      <w:bookmarkEnd w:id="62"/>
    </w:p>
    <w:p w14:paraId="73A07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事故发生所在地人民政府，必须与供水、电力单位联系，保障在事故处理期间的供水、供电保障。</w:t>
      </w:r>
    </w:p>
    <w:p w14:paraId="3986452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3" w:name="_Toc16065"/>
      <w:r>
        <w:rPr>
          <w:rFonts w:hint="default" w:ascii="Times New Roman" w:hAnsi="Times New Roman" w:eastAsia="楷体_GB2312" w:cs="Times New Roman"/>
          <w:b w:val="0"/>
          <w:color w:val="000000" w:themeColor="text1"/>
          <w14:textFill>
            <w14:solidFill>
              <w14:schemeClr w14:val="tx1"/>
            </w14:solidFill>
          </w14:textFill>
        </w:rPr>
        <w:t>8.7</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医疗卫生保障</w:t>
      </w:r>
      <w:bookmarkEnd w:id="63"/>
    </w:p>
    <w:p w14:paraId="23926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医疗急救机构负责做好人员急救工作，医院负责后续救治，红十字会等社会救援组织积极配合专业医疗队伍参与救援工作。疾病预防控制机构负责做好有关卫生防疫工作。</w:t>
      </w:r>
    </w:p>
    <w:p w14:paraId="7535B19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4" w:name="_Toc19000"/>
      <w:r>
        <w:rPr>
          <w:rFonts w:hint="default" w:ascii="Times New Roman" w:hAnsi="Times New Roman" w:eastAsia="楷体_GB2312" w:cs="Times New Roman"/>
          <w:b w:val="0"/>
          <w:color w:val="000000" w:themeColor="text1"/>
          <w14:textFill>
            <w14:solidFill>
              <w14:schemeClr w14:val="tx1"/>
            </w14:solidFill>
          </w14:textFill>
        </w:rPr>
        <w:t>8.8</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治安保障</w:t>
      </w:r>
      <w:bookmarkEnd w:id="64"/>
    </w:p>
    <w:p w14:paraId="7410A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公安部门和事发地镇人民政府（街道办事处）负责事故灾难现场治安警戒和治安管理，加强对重点地区、重点场所、重点人群、重要物资和设备的保护，维持现场秩序，及时疏散群众；动员和组织群众开展群防联防，协助做好治安工作。</w:t>
      </w:r>
    </w:p>
    <w:p w14:paraId="61D978F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5" w:name="_Toc12639"/>
      <w:r>
        <w:rPr>
          <w:rFonts w:hint="default" w:ascii="Times New Roman" w:hAnsi="Times New Roman" w:eastAsia="楷体_GB2312" w:cs="Times New Roman"/>
          <w:b w:val="0"/>
          <w:color w:val="000000" w:themeColor="text1"/>
          <w14:textFill>
            <w14:solidFill>
              <w14:schemeClr w14:val="tx1"/>
            </w14:solidFill>
          </w14:textFill>
        </w:rPr>
        <w:t>8.9</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社会动员保障</w:t>
      </w:r>
      <w:bookmarkEnd w:id="65"/>
    </w:p>
    <w:p w14:paraId="58B1C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鼓励、动员公民、法人和其他社会组织为应对粉尘涉爆事故灾难提供物质、资金和人力支援，逐步形成以管理部门、专业队</w:t>
      </w:r>
      <w:r>
        <w:rPr>
          <w:rFonts w:hint="default" w:ascii="Times New Roman" w:hAnsi="Times New Roman" w:eastAsia="仿宋_GB2312" w:cs="Times New Roman"/>
          <w:color w:val="000000" w:themeColor="text1"/>
          <w:spacing w:val="-6"/>
          <w:sz w:val="32"/>
          <w:szCs w:val="28"/>
          <w14:textFill>
            <w14:solidFill>
              <w14:schemeClr w14:val="tx1"/>
            </w14:solidFill>
          </w14:textFill>
        </w:rPr>
        <w:t>伍为主体，志愿者队伍和社会公益组织为补充的应急救援保障机制。</w:t>
      </w:r>
    </w:p>
    <w:p w14:paraId="06655D8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6" w:name="_Toc30648"/>
      <w:r>
        <w:rPr>
          <w:rFonts w:hint="default" w:ascii="Times New Roman" w:hAnsi="Times New Roman" w:eastAsia="楷体_GB2312" w:cs="Times New Roman"/>
          <w:b w:val="0"/>
          <w:color w:val="000000" w:themeColor="text1"/>
          <w14:textFill>
            <w14:solidFill>
              <w14:schemeClr w14:val="tx1"/>
            </w14:solidFill>
          </w14:textFill>
        </w:rPr>
        <w:t>8.10</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技术保障</w:t>
      </w:r>
      <w:bookmarkEnd w:id="66"/>
    </w:p>
    <w:p w14:paraId="30799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发挥相关行业、领域机构现有的技术人才资源和技术设备设施资源，建立区粉尘涉爆事故灾难应急救援专家组，加强技术力量储备，提供在应急状态下的技术支持。</w:t>
      </w:r>
    </w:p>
    <w:p w14:paraId="1528D96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67" w:name="_Toc10226"/>
      <w:r>
        <w:rPr>
          <w:rFonts w:hint="default" w:ascii="Times New Roman" w:hAnsi="Times New Roman" w:eastAsia="黑体" w:cs="Times New Roman"/>
          <w:b w:val="0"/>
          <w:color w:val="000000" w:themeColor="text1"/>
          <w:sz w:val="32"/>
          <w:szCs w:val="32"/>
          <w14:textFill>
            <w14:solidFill>
              <w14:schemeClr w14:val="tx1"/>
            </w14:solidFill>
          </w14:textFill>
        </w:rPr>
        <w:t>9. 附则</w:t>
      </w:r>
      <w:bookmarkEnd w:id="67"/>
    </w:p>
    <w:p w14:paraId="405787E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8" w:name="_Toc26976"/>
      <w:r>
        <w:rPr>
          <w:rFonts w:hint="default" w:ascii="Times New Roman" w:hAnsi="Times New Roman" w:eastAsia="楷体_GB2312" w:cs="Times New Roman"/>
          <w:b w:val="0"/>
          <w:color w:val="000000" w:themeColor="text1"/>
          <w14:textFill>
            <w14:solidFill>
              <w14:schemeClr w14:val="tx1"/>
            </w14:solidFill>
          </w14:textFill>
        </w:rPr>
        <w:t>9.1</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预案管理</w:t>
      </w:r>
      <w:bookmarkEnd w:id="68"/>
    </w:p>
    <w:p w14:paraId="211DC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定期组织有关部门、专家开展预案评估工作，并根据有关法律法规、风险评估、应急演练、应急处置等情况及时进行修订完善。有关部门和单位要制定落实本预案任务的工作手册、行动方案等，确保责任落实到位。</w:t>
      </w:r>
    </w:p>
    <w:p w14:paraId="7FB0C4E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69" w:name="_Toc23279"/>
      <w:r>
        <w:rPr>
          <w:rFonts w:hint="default" w:ascii="Times New Roman" w:hAnsi="Times New Roman" w:eastAsia="楷体_GB2312" w:cs="Times New Roman"/>
          <w:b w:val="0"/>
          <w:color w:val="000000" w:themeColor="text1"/>
          <w14:textFill>
            <w14:solidFill>
              <w14:schemeClr w14:val="tx1"/>
            </w14:solidFill>
          </w14:textFill>
        </w:rPr>
        <w:t>9.2</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预案演练</w:t>
      </w:r>
      <w:bookmarkEnd w:id="69"/>
    </w:p>
    <w:p w14:paraId="50BA0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（1）粉尘涉爆生产安全事故应急预案编制单位应当建立应急演练制度，根据实际情况采取实战演练、桌面演练等方式，组织开展人员广泛参与、处置联动性强、形式多样、节约高效的应急演练。区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每年至少组织一次粉尘涉爆生产安全事故灾难应急救援演练。</w:t>
      </w:r>
    </w:p>
    <w:p w14:paraId="3A8F8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（2）粉尘涉爆生产经营单位每年至少开展1次综合预案或专项预案应急演练，每半年至少开展1次现场处置方案应急演练。</w:t>
      </w:r>
    </w:p>
    <w:p w14:paraId="6BD406F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70" w:name="_Toc8236"/>
      <w:r>
        <w:rPr>
          <w:rFonts w:hint="default" w:ascii="Times New Roman" w:hAnsi="Times New Roman" w:eastAsia="楷体_GB2312" w:cs="Times New Roman"/>
          <w:b w:val="0"/>
          <w:color w:val="000000" w:themeColor="text1"/>
          <w14:textFill>
            <w14:solidFill>
              <w14:schemeClr w14:val="tx1"/>
            </w14:solidFill>
          </w14:textFill>
        </w:rPr>
        <w:t>9.3</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预案修编</w:t>
      </w:r>
      <w:bookmarkEnd w:id="70"/>
    </w:p>
    <w:p w14:paraId="0A8C3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应当建立定期评估制度，分析评价预案内容的针对性、实用性和可操作性，实现粉尘涉爆生产安全事故应急预案的动态优化和科学规范管理。发生下述情况时，由区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负责对本预案进行修改和完善。</w:t>
      </w:r>
    </w:p>
    <w:p w14:paraId="6FAC0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（1）依据的</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28"/>
          <w14:textFill>
            <w14:solidFill>
              <w14:schemeClr w14:val="tx1"/>
            </w14:solidFill>
          </w14:textFill>
        </w:rPr>
        <w:t>、规章、标准及上位预案中的有关规定发生重大变化的；</w:t>
      </w:r>
    </w:p>
    <w:p w14:paraId="071C2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（2）应急指挥机构及其职责发生重大调整的；</w:t>
      </w:r>
    </w:p>
    <w:p w14:paraId="7A881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（3）安全生产面临的事故风险发生重大变化的；</w:t>
      </w:r>
    </w:p>
    <w:p w14:paraId="1626B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（4）重要应急资源发生重大变化的；</w:t>
      </w:r>
    </w:p>
    <w:p w14:paraId="6245B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（5）在应急演练和事故应急救援中发现问题需要修订预案的重大问题的；</w:t>
      </w:r>
    </w:p>
    <w:p w14:paraId="7036F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（6）其他情况。</w:t>
      </w:r>
    </w:p>
    <w:p w14:paraId="3D73E5A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71" w:name="_Toc4205"/>
      <w:r>
        <w:rPr>
          <w:rFonts w:hint="default" w:ascii="Times New Roman" w:hAnsi="Times New Roman" w:eastAsia="楷体_GB2312" w:cs="Times New Roman"/>
          <w:b w:val="0"/>
          <w:color w:val="000000" w:themeColor="text1"/>
          <w14:textFill>
            <w14:solidFill>
              <w14:schemeClr w14:val="tx1"/>
            </w14:solidFill>
          </w14:textFill>
        </w:rPr>
        <w:t>9.4</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预案解释</w:t>
      </w:r>
      <w:bookmarkEnd w:id="71"/>
    </w:p>
    <w:p w14:paraId="328DB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本预案由区</w:t>
      </w:r>
      <w:r>
        <w:rPr>
          <w:rFonts w:hint="default" w:ascii="Times New Roman" w:hAnsi="Times New Roman" w:eastAsia="仿宋_GB2312" w:cs="Times New Roman"/>
          <w:color w:val="000000" w:themeColor="text1"/>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28"/>
          <w14:textFill>
            <w14:solidFill>
              <w14:schemeClr w14:val="tx1"/>
            </w14:solidFill>
          </w14:textFill>
        </w:rPr>
        <w:t>负责解释。</w:t>
      </w:r>
    </w:p>
    <w:p w14:paraId="29CEF71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14:textFill>
            <w14:solidFill>
              <w14:schemeClr w14:val="tx1"/>
            </w14:solidFill>
          </w14:textFill>
        </w:rPr>
      </w:pPr>
      <w:bookmarkStart w:id="72" w:name="_Toc5807"/>
      <w:r>
        <w:rPr>
          <w:rFonts w:hint="default" w:ascii="Times New Roman" w:hAnsi="Times New Roman" w:eastAsia="楷体_GB2312" w:cs="Times New Roman"/>
          <w:b w:val="0"/>
          <w:color w:val="000000" w:themeColor="text1"/>
          <w14:textFill>
            <w14:solidFill>
              <w14:schemeClr w14:val="tx1"/>
            </w14:solidFill>
          </w14:textFill>
        </w:rPr>
        <w:t>9.5</w:t>
      </w:r>
      <w:r>
        <w:rPr>
          <w:rFonts w:hint="default" w:ascii="Times New Roman" w:hAnsi="Times New Roman" w:eastAsia="楷体_GB2312" w:cs="Times New Roman"/>
          <w:b w:val="0"/>
          <w:color w:val="000000" w:themeColor="text1"/>
          <w:lang w:val="en-US" w:eastAsia="zh-CN"/>
          <w14:textFill>
            <w14:solidFill>
              <w14:schemeClr w14:val="tx1"/>
            </w14:solidFill>
          </w14:textFill>
        </w:rPr>
        <w:t xml:space="preserve"> </w:t>
      </w:r>
      <w:r>
        <w:rPr>
          <w:rFonts w:hint="default" w:ascii="Times New Roman" w:hAnsi="Times New Roman" w:eastAsia="楷体_GB2312" w:cs="Times New Roman"/>
          <w:b w:val="0"/>
          <w:color w:val="000000" w:themeColor="text1"/>
          <w14:textFill>
            <w14:solidFill>
              <w14:schemeClr w14:val="tx1"/>
            </w14:solidFill>
          </w14:textFill>
        </w:rPr>
        <w:t>实施时间</w:t>
      </w:r>
      <w:bookmarkEnd w:id="72"/>
    </w:p>
    <w:p w14:paraId="7D2AA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本预案自印发之日起实施。</w:t>
      </w:r>
    </w:p>
    <w:p w14:paraId="443A402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3" w:name="_Toc31242"/>
      <w:r>
        <w:rPr>
          <w:rFonts w:hint="default" w:ascii="Times New Roman" w:hAnsi="Times New Roman" w:eastAsia="黑体" w:cs="Times New Roman"/>
          <w:b w:val="0"/>
          <w:color w:val="000000" w:themeColor="text1"/>
          <w:sz w:val="32"/>
          <w:szCs w:val="32"/>
          <w14:textFill>
            <w14:solidFill>
              <w14:schemeClr w14:val="tx1"/>
            </w14:solidFill>
          </w14:textFill>
        </w:rPr>
        <w:t>10. 附件</w:t>
      </w:r>
      <w:bookmarkEnd w:id="73"/>
    </w:p>
    <w:p w14:paraId="6A5D99A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14:paraId="5CDCCE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000000" w:themeColor="text1"/>
          <w:sz w:val="28"/>
          <w:szCs w:val="28"/>
          <w14:textFill>
            <w14:solidFill>
              <w14:schemeClr w14:val="tx1"/>
            </w14:solidFill>
          </w14:textFill>
        </w:rPr>
        <w:sectPr>
          <w:footerReference r:id="rId6" w:type="default"/>
          <w:pgSz w:w="11906" w:h="16838"/>
          <w:pgMar w:top="1417" w:right="1417" w:bottom="1417" w:left="1417" w:header="850" w:footer="992" w:gutter="0"/>
          <w:pgNumType w:fmt="numberInDash" w:start="1"/>
          <w:cols w:space="720" w:num="1"/>
        </w:sectPr>
      </w:pPr>
    </w:p>
    <w:bookmarkEnd w:id="39"/>
    <w:p w14:paraId="26EBA7C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4" w:name="_Toc15366"/>
      <w:bookmarkStart w:id="75" w:name="_Toc28803"/>
      <w:r>
        <w:rPr>
          <w:rFonts w:hint="default" w:ascii="Times New Roman" w:hAnsi="Times New Roman" w:eastAsia="黑体" w:cs="Times New Roman"/>
          <w:b w:val="0"/>
          <w:color w:val="000000" w:themeColor="text1"/>
          <w:sz w:val="32"/>
          <w:szCs w:val="32"/>
          <w14:textFill>
            <w14:solidFill>
              <w14:schemeClr w14:val="tx1"/>
            </w14:solidFill>
          </w14:textFill>
        </w:rPr>
        <w:t>附件1</w:t>
      </w:r>
      <w:bookmarkEnd w:id="74"/>
    </w:p>
    <w:p w14:paraId="433D2B44">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76" w:name="_Toc1688"/>
    </w:p>
    <w:p w14:paraId="07B25EB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color w:val="000000" w:themeColor="text1"/>
          <w:sz w:val="44"/>
          <w:szCs w:val="44"/>
          <w14:textFill>
            <w14:solidFill>
              <w14:schemeClr w14:val="tx1"/>
            </w14:solidFill>
          </w14:textFill>
        </w:rPr>
        <w:t>粉尘涉爆生产安全事故指挥组织架构图</w:t>
      </w:r>
      <w:bookmarkEnd w:id="76"/>
    </w:p>
    <w:p w14:paraId="52A82AA7">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6262370" cy="3985895"/>
            <wp:effectExtent l="0" t="0" r="5080" b="14605"/>
            <wp:docPr id="388" name="图片 388" descr="生产安全事故应急救援组织机构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descr="生产安全事故应急救援组织机构图_01"/>
                    <pic:cNvPicPr>
                      <a:picLocks noChangeAspect="1"/>
                    </pic:cNvPicPr>
                  </pic:nvPicPr>
                  <pic:blipFill>
                    <a:blip r:embed="rId13"/>
                    <a:srcRect l="10225" t="7915" r="12176" b="18044"/>
                    <a:stretch>
                      <a:fillRect/>
                    </a:stretch>
                  </pic:blipFill>
                  <pic:spPr>
                    <a:xfrm>
                      <a:off x="0" y="0"/>
                      <a:ext cx="6262370" cy="3985895"/>
                    </a:xfrm>
                    <a:prstGeom prst="rect">
                      <a:avLst/>
                    </a:prstGeom>
                  </pic:spPr>
                </pic:pic>
              </a:graphicData>
            </a:graphic>
          </wp:inline>
        </w:drawing>
      </w:r>
    </w:p>
    <w:p w14:paraId="2F4A9B76">
      <w:pPr>
        <w:pStyle w:val="5"/>
        <w:rPr>
          <w:rFonts w:hint="default" w:ascii="Times New Roman" w:hAnsi="Times New Roman" w:cs="Times New Roman"/>
          <w:color w:val="000000" w:themeColor="text1"/>
          <w14:textFill>
            <w14:solidFill>
              <w14:schemeClr w14:val="tx1"/>
            </w14:solidFill>
          </w14:textFill>
        </w:rPr>
      </w:pPr>
    </w:p>
    <w:p w14:paraId="3F33B6AE">
      <w:pPr>
        <w:pStyle w:val="5"/>
        <w:rPr>
          <w:rFonts w:hint="default" w:ascii="Times New Roman" w:hAnsi="Times New Roman" w:eastAsia="仿宋_GB2312" w:cs="Times New Roman"/>
          <w:b/>
          <w:bCs/>
          <w:color w:val="000000" w:themeColor="text1"/>
          <w:sz w:val="28"/>
          <w:szCs w:val="28"/>
          <w14:textFill>
            <w14:solidFill>
              <w14:schemeClr w14:val="tx1"/>
            </w14:solidFill>
          </w14:textFill>
        </w:rPr>
        <w:sectPr>
          <w:footerReference r:id="rId7" w:type="default"/>
          <w:pgSz w:w="11906" w:h="16838"/>
          <w:pgMar w:top="1418" w:right="1418" w:bottom="1418" w:left="1418" w:header="851" w:footer="992" w:gutter="0"/>
          <w:pgNumType w:fmt="numberInDash"/>
          <w:cols w:space="425" w:num="1"/>
          <w:docGrid w:linePitch="312" w:charSpace="0"/>
        </w:sectPr>
      </w:pPr>
    </w:p>
    <w:p w14:paraId="27C2A02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7" w:name="_Toc14140"/>
      <w:r>
        <w:rPr>
          <w:rFonts w:hint="default" w:ascii="Times New Roman" w:hAnsi="Times New Roman" w:eastAsia="黑体" w:cs="Times New Roman"/>
          <w:b w:val="0"/>
          <w:color w:val="000000" w:themeColor="text1"/>
          <w:sz w:val="32"/>
          <w:szCs w:val="32"/>
          <w14:textFill>
            <w14:solidFill>
              <w14:schemeClr w14:val="tx1"/>
            </w14:solidFill>
          </w14:textFill>
        </w:rPr>
        <w:t>附件2</w:t>
      </w:r>
      <w:bookmarkEnd w:id="77"/>
    </w:p>
    <w:p w14:paraId="213C4BEC">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78" w:name="_Toc28279"/>
    </w:p>
    <w:p w14:paraId="65B1C7B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粉尘涉爆生产安全事故应急响应流程示意图</w:t>
      </w:r>
      <w:bookmarkEnd w:id="78"/>
    </w:p>
    <w:p w14:paraId="4287FDD6">
      <w:pPr>
        <w:spacing w:line="240" w:lineRule="auto"/>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5834380" cy="6829425"/>
            <wp:effectExtent l="0" t="0" r="13970" b="9525"/>
            <wp:docPr id="390" name="图片 390" descr="安全事故应急响应程序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descr="安全事故应急响应程序流程图_01"/>
                    <pic:cNvPicPr>
                      <a:picLocks noChangeAspect="1"/>
                    </pic:cNvPicPr>
                  </pic:nvPicPr>
                  <pic:blipFill>
                    <a:blip r:embed="rId14"/>
                    <a:srcRect l="11174" t="12270" r="6304" b="20356"/>
                    <a:stretch>
                      <a:fillRect/>
                    </a:stretch>
                  </pic:blipFill>
                  <pic:spPr>
                    <a:xfrm>
                      <a:off x="0" y="0"/>
                      <a:ext cx="5834380" cy="6830680"/>
                    </a:xfrm>
                    <a:prstGeom prst="rect">
                      <a:avLst/>
                    </a:prstGeom>
                  </pic:spPr>
                </pic:pic>
              </a:graphicData>
            </a:graphic>
          </wp:inline>
        </w:drawing>
      </w:r>
    </w:p>
    <w:p w14:paraId="5F655359">
      <w:pPr>
        <w:pStyle w:val="5"/>
        <w:jc w:val="center"/>
        <w:rPr>
          <w:rFonts w:hint="default" w:ascii="Times New Roman" w:hAnsi="Times New Roman" w:cs="Times New Roman"/>
          <w:color w:val="000000" w:themeColor="text1"/>
          <w14:textFill>
            <w14:solidFill>
              <w14:schemeClr w14:val="tx1"/>
            </w14:solidFill>
          </w14:textFill>
        </w:rPr>
      </w:pPr>
    </w:p>
    <w:p w14:paraId="2A541760">
      <w:pPr>
        <w:pStyle w:val="5"/>
        <w:rPr>
          <w:rFonts w:hint="default" w:ascii="Times New Roman" w:hAnsi="Times New Roman" w:cs="Times New Roman"/>
          <w:color w:val="000000" w:themeColor="text1"/>
          <w14:textFill>
            <w14:solidFill>
              <w14:schemeClr w14:val="tx1"/>
            </w14:solidFill>
          </w14:textFill>
        </w:rPr>
      </w:pPr>
    </w:p>
    <w:p w14:paraId="4F38BE45">
      <w:pPr>
        <w:pStyle w:val="5"/>
        <w:rPr>
          <w:rFonts w:hint="default" w:ascii="Times New Roman" w:hAnsi="Times New Roman" w:cs="Times New Roman"/>
          <w:color w:val="000000" w:themeColor="text1"/>
          <w14:textFill>
            <w14:solidFill>
              <w14:schemeClr w14:val="tx1"/>
            </w14:solidFill>
          </w14:textFill>
        </w:rPr>
      </w:pPr>
    </w:p>
    <w:p w14:paraId="4BED219B">
      <w:pPr>
        <w:pStyle w:val="5"/>
        <w:rPr>
          <w:rFonts w:hint="default" w:ascii="Times New Roman" w:hAnsi="Times New Roman" w:cs="Times New Roman"/>
          <w:color w:val="000000" w:themeColor="text1"/>
          <w14:textFill>
            <w14:solidFill>
              <w14:schemeClr w14:val="tx1"/>
            </w14:solidFill>
          </w14:textFill>
        </w:rPr>
        <w:sectPr>
          <w:footerReference r:id="rId8" w:type="default"/>
          <w:pgSz w:w="11906" w:h="16838"/>
          <w:pgMar w:top="1418" w:right="1418" w:bottom="1418" w:left="1418" w:header="851" w:footer="992" w:gutter="0"/>
          <w:pgNumType w:fmt="numberInDash"/>
          <w:cols w:space="425" w:num="1"/>
          <w:docGrid w:linePitch="312" w:charSpace="0"/>
        </w:sectPr>
      </w:pPr>
    </w:p>
    <w:p w14:paraId="4E09390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9" w:name="_Toc16068"/>
      <w:r>
        <w:rPr>
          <w:rFonts w:hint="default" w:ascii="Times New Roman" w:hAnsi="Times New Roman" w:eastAsia="黑体" w:cs="Times New Roman"/>
          <w:b w:val="0"/>
          <w:color w:val="000000" w:themeColor="text1"/>
          <w:sz w:val="32"/>
          <w:szCs w:val="32"/>
          <w14:textFill>
            <w14:solidFill>
              <w14:schemeClr w14:val="tx1"/>
            </w14:solidFill>
          </w14:textFill>
        </w:rPr>
        <w:t>附件3</w:t>
      </w:r>
      <w:bookmarkEnd w:id="79"/>
    </w:p>
    <w:p w14:paraId="5B1ED3AF">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80" w:name="_Toc14223"/>
    </w:p>
    <w:p w14:paraId="14FA4AE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r>
        <w:rPr>
          <w:rFonts w:hint="default" w:ascii="Times New Roman" w:hAnsi="Times New Roman" w:eastAsia="方正小标宋简体" w:cs="Times New Roman"/>
          <w:b w:val="0"/>
          <w:color w:val="000000" w:themeColor="text1"/>
          <w:sz w:val="44"/>
          <w:szCs w:val="40"/>
          <w14:textFill>
            <w14:solidFill>
              <w14:schemeClr w14:val="tx1"/>
            </w14:solidFill>
          </w14:textFill>
        </w:rPr>
        <w:t>钦州市工贸生产安全专家名单</w:t>
      </w:r>
      <w:bookmarkEnd w:id="75"/>
      <w:bookmarkEnd w:id="80"/>
    </w:p>
    <w:tbl>
      <w:tblPr>
        <w:tblStyle w:val="12"/>
        <w:tblW w:w="14176" w:type="dxa"/>
        <w:tblInd w:w="-147" w:type="dxa"/>
        <w:tblLayout w:type="fixed"/>
        <w:tblCellMar>
          <w:top w:w="0" w:type="dxa"/>
          <w:left w:w="0" w:type="dxa"/>
          <w:bottom w:w="0" w:type="dxa"/>
          <w:right w:w="0" w:type="dxa"/>
        </w:tblCellMar>
      </w:tblPr>
      <w:tblGrid>
        <w:gridCol w:w="732"/>
        <w:gridCol w:w="972"/>
        <w:gridCol w:w="706"/>
        <w:gridCol w:w="709"/>
        <w:gridCol w:w="3119"/>
        <w:gridCol w:w="1559"/>
        <w:gridCol w:w="1843"/>
        <w:gridCol w:w="854"/>
        <w:gridCol w:w="2055"/>
        <w:gridCol w:w="1627"/>
      </w:tblGrid>
      <w:tr w14:paraId="390BCBB1">
        <w:tblPrEx>
          <w:tblCellMar>
            <w:top w:w="0" w:type="dxa"/>
            <w:left w:w="0" w:type="dxa"/>
            <w:bottom w:w="0" w:type="dxa"/>
            <w:right w:w="0" w:type="dxa"/>
          </w:tblCellMar>
        </w:tblPrEx>
        <w:trPr>
          <w:trHeight w:val="420" w:hRule="atLeast"/>
          <w:tblHeader/>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0BD52">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53870">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姓名</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749D6">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性别</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4D57A">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年龄</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DB894">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工作单位</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CD783">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职务/职称</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17867">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毕业院校</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37366">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学历</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A0412">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现从事专业</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B7B08">
            <w:pPr>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联系电话</w:t>
            </w:r>
          </w:p>
        </w:tc>
      </w:tr>
      <w:tr w14:paraId="1C207638">
        <w:tblPrEx>
          <w:tblCellMar>
            <w:top w:w="0" w:type="dxa"/>
            <w:left w:w="0" w:type="dxa"/>
            <w:bottom w:w="0" w:type="dxa"/>
            <w:right w:w="0" w:type="dxa"/>
          </w:tblCellMar>
        </w:tblPrEx>
        <w:trPr>
          <w:trHeight w:val="67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20D9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33F1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曾文元</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59B5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E703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52</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2F31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广西安康注册安全工程师事务所有限公司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AFC5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高级工程师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B5CB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BA93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F99E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化工、</w:t>
            </w:r>
            <w:r>
              <w:rPr>
                <w:rFonts w:hint="eastAsia" w:ascii="Times New Roman" w:hAnsi="Times New Roman" w:eastAsia="仿宋_GB2312" w:cs="Times New Roman"/>
                <w:color w:val="000000" w:themeColor="text1"/>
                <w:kern w:val="0"/>
                <w:sz w:val="22"/>
                <w:szCs w:val="22"/>
                <w:lang w:eastAsia="zh-CN"/>
                <w14:textFill>
                  <w14:solidFill>
                    <w14:schemeClr w14:val="tx1"/>
                  </w14:solidFill>
                </w14:textFill>
              </w:rPr>
              <w:t>冶金</w:t>
            </w:r>
            <w:r>
              <w:rPr>
                <w:rFonts w:hint="default" w:ascii="Times New Roman" w:hAnsi="Times New Roman" w:eastAsia="仿宋_GB2312" w:cs="Times New Roman"/>
                <w:color w:val="000000" w:themeColor="text1"/>
                <w:kern w:val="0"/>
                <w:sz w:val="22"/>
                <w:szCs w:val="22"/>
                <w14:textFill>
                  <w14:solidFill>
                    <w14:schemeClr w14:val="tx1"/>
                  </w14:solidFill>
                </w14:textFill>
              </w:rPr>
              <w:t>工贸</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53B0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13878102838</w:t>
            </w:r>
          </w:p>
        </w:tc>
      </w:tr>
      <w:tr w14:paraId="6BB7D826">
        <w:tblPrEx>
          <w:tblCellMar>
            <w:top w:w="0" w:type="dxa"/>
            <w:left w:w="0" w:type="dxa"/>
            <w:bottom w:w="0" w:type="dxa"/>
            <w:right w:w="0" w:type="dxa"/>
          </w:tblCellMar>
        </w:tblPrEx>
        <w:trPr>
          <w:trHeight w:val="662"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AEF9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3B2F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梁金贤</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C511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 xml:space="preserve"> 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701B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 xml:space="preserve">57  </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3BAC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钦州渔监船检处</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4998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科长/高级验船师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D71B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湛江水产学院</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E511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748A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渔业船舶检验</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9196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13977783810</w:t>
            </w:r>
          </w:p>
        </w:tc>
      </w:tr>
      <w:tr w14:paraId="0210EA2A">
        <w:tblPrEx>
          <w:tblCellMar>
            <w:top w:w="0" w:type="dxa"/>
            <w:left w:w="0" w:type="dxa"/>
            <w:bottom w:w="0" w:type="dxa"/>
            <w:right w:w="0" w:type="dxa"/>
          </w:tblCellMar>
        </w:tblPrEx>
        <w:trPr>
          <w:trHeight w:val="52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6878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60EC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梁传理</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1D8A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15E2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45</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7C46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钦州市直属机关服务中心</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F92F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科长</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6AE0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上海海洋大学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B897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9049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电气安全</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7306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13977739519</w:t>
            </w:r>
          </w:p>
        </w:tc>
      </w:tr>
      <w:tr w14:paraId="1672A090">
        <w:tblPrEx>
          <w:tblCellMar>
            <w:top w:w="0" w:type="dxa"/>
            <w:left w:w="0" w:type="dxa"/>
            <w:bottom w:w="0" w:type="dxa"/>
            <w:right w:w="0" w:type="dxa"/>
          </w:tblCellMar>
        </w:tblPrEx>
        <w:trPr>
          <w:trHeight w:val="65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F7C0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B273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邵鹤鹏</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5E80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2E93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51</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8582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中粮油脂（钦州）有限公司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205E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总监/中级工程师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8458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09CB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B076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食品行业</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AEE9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13367775058</w:t>
            </w:r>
          </w:p>
        </w:tc>
      </w:tr>
      <w:tr w14:paraId="1D3C6C8F">
        <w:tblPrEx>
          <w:tblCellMar>
            <w:top w:w="0" w:type="dxa"/>
            <w:left w:w="0" w:type="dxa"/>
            <w:bottom w:w="0" w:type="dxa"/>
            <w:right w:w="0" w:type="dxa"/>
          </w:tblCellMar>
        </w:tblPrEx>
        <w:trPr>
          <w:trHeight w:val="67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966C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E8D4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李</w:t>
            </w:r>
            <w:r>
              <w:rPr>
                <w:rFonts w:hint="default" w:ascii="Times New Roman" w:hAnsi="Times New Roman" w:eastAsia="仿宋_GB2312" w:cs="Times New Roman"/>
                <w:color w:val="000000" w:themeColor="text1"/>
                <w:kern w:val="0"/>
                <w:sz w:val="22"/>
                <w:szCs w:val="2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2"/>
                <w:szCs w:val="22"/>
                <w14:textFill>
                  <w14:solidFill>
                    <w14:schemeClr w14:val="tx1"/>
                  </w14:solidFill>
                </w14:textFill>
              </w:rPr>
              <w:t>松</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774B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8FD6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49</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CD2F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钦州港经济技术开发区安监局</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31EE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注册安全工程师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14A9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西安冶金建筑学院</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B710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9C56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安全管理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B2F6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13877771986</w:t>
            </w:r>
          </w:p>
        </w:tc>
      </w:tr>
      <w:tr w14:paraId="66794940">
        <w:tblPrEx>
          <w:tblCellMar>
            <w:top w:w="0" w:type="dxa"/>
            <w:left w:w="0" w:type="dxa"/>
            <w:bottom w:w="0" w:type="dxa"/>
            <w:right w:w="0" w:type="dxa"/>
          </w:tblCellMar>
        </w:tblPrEx>
        <w:trPr>
          <w:trHeight w:val="662"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28B6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4DBE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辛华康</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ACAE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ECCC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47</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03C1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钦州天恒石化有限公司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F137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设备工程师/工程师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D0D4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9BB7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5667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设备安全</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F368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13768163456</w:t>
            </w:r>
          </w:p>
        </w:tc>
      </w:tr>
      <w:tr w14:paraId="7C3DE523">
        <w:tblPrEx>
          <w:tblCellMar>
            <w:top w:w="0" w:type="dxa"/>
            <w:left w:w="0" w:type="dxa"/>
            <w:bottom w:w="0" w:type="dxa"/>
            <w:right w:w="0" w:type="dxa"/>
          </w:tblCellMar>
        </w:tblPrEx>
        <w:trPr>
          <w:trHeight w:val="663"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BA88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20E4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戴世伟</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553F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BEED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38</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6883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广西金桂浆纸业有限公司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510F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副课长/注册安全工程师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ADB2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国防科大长沙政治学院</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ECBF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E517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冶金工贸</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F20A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15078915158</w:t>
            </w:r>
          </w:p>
        </w:tc>
      </w:tr>
      <w:tr w14:paraId="4221B63D">
        <w:tblPrEx>
          <w:tblCellMar>
            <w:top w:w="0" w:type="dxa"/>
            <w:left w:w="0" w:type="dxa"/>
            <w:bottom w:w="0" w:type="dxa"/>
            <w:right w:w="0" w:type="dxa"/>
          </w:tblCellMar>
        </w:tblPrEx>
        <w:trPr>
          <w:trHeight w:val="67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5C48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8</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2273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黄载永</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C741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C097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27</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1D1E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广西华谊能源有限公司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6C4A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注册安全工程师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C68E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广西民族大学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8550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93BD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安全管理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86E4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18877778076</w:t>
            </w:r>
          </w:p>
        </w:tc>
      </w:tr>
      <w:tr w14:paraId="00BDF172">
        <w:tblPrEx>
          <w:tblCellMar>
            <w:top w:w="0" w:type="dxa"/>
            <w:left w:w="0" w:type="dxa"/>
            <w:bottom w:w="0" w:type="dxa"/>
            <w:right w:w="0" w:type="dxa"/>
          </w:tblCellMar>
        </w:tblPrEx>
        <w:trPr>
          <w:trHeight w:val="80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E029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9</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C379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姚剑波</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1DE4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43A8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53</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9B14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钦州学院</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AEA8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05FE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电子科技大学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1D93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博士后</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AC81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 xml:space="preserve">监测监控与通信、安全监测 </w:t>
            </w:r>
            <w:r>
              <w:rPr>
                <w:rStyle w:val="14"/>
                <w:rFonts w:hint="default" w:ascii="Times New Roman" w:hAnsi="Times New Roman" w:eastAsia="仿宋_GB2312" w:cs="Times New Roman"/>
                <w:color w:val="000000" w:themeColor="text1"/>
                <w:sz w:val="22"/>
                <w:szCs w:val="22"/>
                <w14:textFill>
                  <w14:solidFill>
                    <w14:schemeClr w14:val="tx1"/>
                  </w14:solidFill>
                </w14:textFill>
              </w:rPr>
              <w:t xml:space="preserve"> 监控与通信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453A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13312309488</w:t>
            </w:r>
          </w:p>
        </w:tc>
      </w:tr>
      <w:tr w14:paraId="2A4ED95C">
        <w:tblPrEx>
          <w:tblCellMar>
            <w:top w:w="0" w:type="dxa"/>
            <w:left w:w="0" w:type="dxa"/>
            <w:bottom w:w="0" w:type="dxa"/>
            <w:right w:w="0" w:type="dxa"/>
          </w:tblCellMar>
        </w:tblPrEx>
        <w:trPr>
          <w:trHeight w:val="768"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BCAA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98F4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黄杏才</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7D8F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4F18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41</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6182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浦北县交通运输局</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A4A5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专业技术人员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9C33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南京交通高等专科学校</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1AC9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AAF0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汽车检测</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2F55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13907773440</w:t>
            </w:r>
          </w:p>
        </w:tc>
      </w:tr>
      <w:tr w14:paraId="4A2765F5">
        <w:tblPrEx>
          <w:tblCellMar>
            <w:top w:w="0" w:type="dxa"/>
            <w:left w:w="0" w:type="dxa"/>
            <w:bottom w:w="0" w:type="dxa"/>
            <w:right w:w="0" w:type="dxa"/>
          </w:tblCellMar>
        </w:tblPrEx>
        <w:trPr>
          <w:trHeight w:val="638"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093E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587F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李</w:t>
            </w:r>
            <w:r>
              <w:rPr>
                <w:rFonts w:hint="default" w:ascii="Times New Roman" w:hAnsi="Times New Roman" w:eastAsia="仿宋_GB2312" w:cs="Times New Roman"/>
                <w:color w:val="000000" w:themeColor="text1"/>
                <w:kern w:val="0"/>
                <w:sz w:val="22"/>
                <w:szCs w:val="2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2"/>
                <w:szCs w:val="22"/>
                <w14:textFill>
                  <w14:solidFill>
                    <w14:schemeClr w14:val="tx1"/>
                  </w14:solidFill>
                </w14:textFill>
              </w:rPr>
              <w:t>冬</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C43C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7F13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41</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F2BD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广西东油沥青有限公司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D0EA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副经理/中级工程师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C883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中国石油大学（华东）</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164D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B071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设备安全</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243B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13977737126</w:t>
            </w:r>
          </w:p>
        </w:tc>
      </w:tr>
      <w:tr w14:paraId="3A5D1CA0">
        <w:tblPrEx>
          <w:tblCellMar>
            <w:top w:w="0" w:type="dxa"/>
            <w:left w:w="0" w:type="dxa"/>
            <w:bottom w:w="0" w:type="dxa"/>
            <w:right w:w="0" w:type="dxa"/>
          </w:tblCellMar>
        </w:tblPrEx>
        <w:trPr>
          <w:trHeight w:val="60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8F8A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B4B6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郑</w:t>
            </w:r>
            <w:r>
              <w:rPr>
                <w:rFonts w:hint="default" w:ascii="Times New Roman" w:hAnsi="Times New Roman" w:eastAsia="仿宋_GB2312" w:cs="Times New Roman"/>
                <w:color w:val="000000" w:themeColor="text1"/>
                <w:kern w:val="0"/>
                <w:sz w:val="22"/>
                <w:szCs w:val="2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2"/>
                <w:szCs w:val="22"/>
                <w14:textFill>
                  <w14:solidFill>
                    <w14:schemeClr w14:val="tx1"/>
                  </w14:solidFill>
                </w14:textFill>
              </w:rPr>
              <w:t>毅</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D60A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FB34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41</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68FE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116B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主任/高级讲师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3993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武汉理工大学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FCEE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FBE2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电气自动化</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F76F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15977008170</w:t>
            </w:r>
          </w:p>
        </w:tc>
      </w:tr>
      <w:tr w14:paraId="6C59BBBF">
        <w:tblPrEx>
          <w:tblCellMar>
            <w:top w:w="0" w:type="dxa"/>
            <w:left w:w="0" w:type="dxa"/>
            <w:bottom w:w="0" w:type="dxa"/>
            <w:right w:w="0" w:type="dxa"/>
          </w:tblCellMar>
        </w:tblPrEx>
        <w:trPr>
          <w:trHeight w:val="7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09E5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A925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吴海春</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6A4E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234C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49</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0073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82E6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副科长/高级讲师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8E1C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68D7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D233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电子技术</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48B9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13737769844</w:t>
            </w:r>
          </w:p>
        </w:tc>
      </w:tr>
      <w:tr w14:paraId="41AF100F">
        <w:tblPrEx>
          <w:tblCellMar>
            <w:top w:w="0" w:type="dxa"/>
            <w:left w:w="0" w:type="dxa"/>
            <w:bottom w:w="0" w:type="dxa"/>
            <w:right w:w="0" w:type="dxa"/>
          </w:tblCellMar>
        </w:tblPrEx>
        <w:trPr>
          <w:trHeight w:val="738"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25A0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C63A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何国明</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379A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0A5F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45</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60FA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BFE2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副科长/高级讲师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FAA5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599F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6560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机械设备</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F07E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15107773696</w:t>
            </w:r>
          </w:p>
        </w:tc>
      </w:tr>
      <w:tr w14:paraId="5AB6D4AB">
        <w:tblPrEx>
          <w:tblCellMar>
            <w:top w:w="0" w:type="dxa"/>
            <w:left w:w="0" w:type="dxa"/>
            <w:bottom w:w="0" w:type="dxa"/>
            <w:right w:w="0" w:type="dxa"/>
          </w:tblCellMar>
        </w:tblPrEx>
        <w:trPr>
          <w:trHeight w:val="72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B3EE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8A4B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王丽丽</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4648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女</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B8810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45</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64E6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BA0A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机电学部副主任/高级讲师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3E27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黑龙江机械制造学校</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7BAF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研究生</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FC41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机械制造</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C00F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18776170001</w:t>
            </w:r>
          </w:p>
        </w:tc>
      </w:tr>
      <w:tr w14:paraId="394B3AE5">
        <w:tblPrEx>
          <w:tblCellMar>
            <w:top w:w="0" w:type="dxa"/>
            <w:left w:w="0" w:type="dxa"/>
            <w:bottom w:w="0" w:type="dxa"/>
            <w:right w:w="0" w:type="dxa"/>
          </w:tblCellMar>
        </w:tblPrEx>
        <w:trPr>
          <w:trHeight w:val="567"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1869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8105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黄芝焕</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5172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6B73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37</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EE89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35DD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教师/高级技师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3FE7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哈尔滨理工大学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64C19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CD72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电类、学及特种作业</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9B9D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13877778600</w:t>
            </w:r>
          </w:p>
        </w:tc>
      </w:tr>
      <w:tr w14:paraId="2FFAD563">
        <w:tblPrEx>
          <w:tblCellMar>
            <w:top w:w="0" w:type="dxa"/>
            <w:left w:w="0" w:type="dxa"/>
            <w:bottom w:w="0" w:type="dxa"/>
            <w:right w:w="0" w:type="dxa"/>
          </w:tblCellMar>
        </w:tblPrEx>
        <w:trPr>
          <w:trHeight w:val="567"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0D7D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C895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蒙晓春</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2CEA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女</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BC9C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32</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38D7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7A4A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副主任/讲师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5B3E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桂林电子科技大学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09EE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研究生</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3669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机械制造</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D0A9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15278768355</w:t>
            </w:r>
          </w:p>
        </w:tc>
      </w:tr>
      <w:tr w14:paraId="4A5255DE">
        <w:tblPrEx>
          <w:tblCellMar>
            <w:top w:w="0" w:type="dxa"/>
            <w:left w:w="0" w:type="dxa"/>
            <w:bottom w:w="0" w:type="dxa"/>
            <w:right w:w="0" w:type="dxa"/>
          </w:tblCellMar>
        </w:tblPrEx>
        <w:trPr>
          <w:trHeight w:val="617"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9BD1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7DA0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蔡雨川</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82C8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064D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47</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931F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86DA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副主任/工程师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4E88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广西师范学院</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0F74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研究生</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21B9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机械制造</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7E53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13387778689</w:t>
            </w:r>
          </w:p>
        </w:tc>
      </w:tr>
      <w:tr w14:paraId="19F0C2C1">
        <w:tblPrEx>
          <w:tblCellMar>
            <w:top w:w="0" w:type="dxa"/>
            <w:left w:w="0" w:type="dxa"/>
            <w:bottom w:w="0" w:type="dxa"/>
            <w:right w:w="0" w:type="dxa"/>
          </w:tblCellMar>
        </w:tblPrEx>
        <w:trPr>
          <w:trHeight w:val="687"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31B0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19</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9175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杨光颢</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A235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DC53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38</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CBED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C303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教师/助理工程师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C762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BC0F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63DC8">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机械制造</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E04F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13807774333</w:t>
            </w:r>
          </w:p>
        </w:tc>
      </w:tr>
      <w:tr w14:paraId="0CBA7DE3">
        <w:tblPrEx>
          <w:tblCellMar>
            <w:top w:w="0" w:type="dxa"/>
            <w:left w:w="0" w:type="dxa"/>
            <w:bottom w:w="0" w:type="dxa"/>
            <w:right w:w="0"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3460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757B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黄直钦</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FB6C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0BF8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32</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8846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0387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教师/讲师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2C7F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广西工学院</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405E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FEF7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机械制造</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A67D6">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18907770907</w:t>
            </w:r>
          </w:p>
        </w:tc>
      </w:tr>
      <w:tr w14:paraId="4153D934">
        <w:tblPrEx>
          <w:tblCellMar>
            <w:top w:w="0" w:type="dxa"/>
            <w:left w:w="0" w:type="dxa"/>
            <w:bottom w:w="0" w:type="dxa"/>
            <w:right w:w="0"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D483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2196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侯春娥</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3051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女</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2F709">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32</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03DD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B5BC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教师/讲师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A90A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 xml:space="preserve"> 广西工学院</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58F1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本科</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BFE2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机电维修</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3787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15578718060</w:t>
            </w:r>
          </w:p>
        </w:tc>
      </w:tr>
      <w:tr w14:paraId="6D9408AB">
        <w:tblPrEx>
          <w:tblCellMar>
            <w:top w:w="0" w:type="dxa"/>
            <w:left w:w="0" w:type="dxa"/>
            <w:bottom w:w="0" w:type="dxa"/>
            <w:right w:w="0" w:type="dxa"/>
          </w:tblCellMar>
        </w:tblPrEx>
        <w:trPr>
          <w:trHeight w:val="46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2864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9F46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严炳贵</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E5BA3">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1E56D">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67</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DF2E0">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广西大学安全生产技术中心</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EAB9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中级工程师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A1C1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广西南宁机械厂职工大学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FEA82">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大专</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817D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冶金工贸</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5632E">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18078116880</w:t>
            </w:r>
          </w:p>
        </w:tc>
      </w:tr>
      <w:tr w14:paraId="2660F27B">
        <w:tblPrEx>
          <w:tblCellMar>
            <w:top w:w="0" w:type="dxa"/>
            <w:left w:w="0" w:type="dxa"/>
            <w:bottom w:w="0" w:type="dxa"/>
            <w:right w:w="0" w:type="dxa"/>
          </w:tblCellMar>
        </w:tblPrEx>
        <w:trPr>
          <w:trHeight w:val="45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F770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D5987">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秦金桃</w:t>
            </w:r>
          </w:p>
        </w:tc>
        <w:tc>
          <w:tcPr>
            <w:tcW w:w="7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8810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男</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E5281">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32</w:t>
            </w:r>
          </w:p>
        </w:tc>
        <w:tc>
          <w:tcPr>
            <w:tcW w:w="31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05C84">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北部湾职业技术学校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7D97A">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汽车学部副主任/讲师</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2C4AC">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桂林电子科技大学</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574BB">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研究生</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E645F">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通信、电子、制冷技术</w:t>
            </w:r>
          </w:p>
        </w:tc>
        <w:tc>
          <w:tcPr>
            <w:tcW w:w="1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4BCB5">
            <w:pPr>
              <w:widowControl/>
              <w:jc w:val="center"/>
              <w:textAlignment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18977744403</w:t>
            </w:r>
          </w:p>
        </w:tc>
      </w:tr>
    </w:tbl>
    <w:p w14:paraId="7522BEBF">
      <w:pPr>
        <w:pStyle w:val="5"/>
        <w:rPr>
          <w:rFonts w:hint="default" w:ascii="Times New Roman" w:hAnsi="Times New Roman" w:cs="Times New Roman"/>
          <w:color w:val="000000" w:themeColor="text1"/>
          <w14:textFill>
            <w14:solidFill>
              <w14:schemeClr w14:val="tx1"/>
            </w14:solidFill>
          </w14:textFill>
        </w:rPr>
        <w:sectPr>
          <w:footerReference r:id="rId9" w:type="default"/>
          <w:pgSz w:w="16838" w:h="11906" w:orient="landscape"/>
          <w:pgMar w:top="1418" w:right="1418" w:bottom="1418" w:left="1418" w:header="851" w:footer="992" w:gutter="0"/>
          <w:pgNumType w:fmt="numberInDash"/>
          <w:cols w:space="425" w:num="1"/>
          <w:docGrid w:linePitch="312" w:charSpace="0"/>
        </w:sectPr>
      </w:pPr>
    </w:p>
    <w:p w14:paraId="5619061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81" w:name="_Toc27913"/>
      <w:bookmarkStart w:id="82" w:name="_Toc3370"/>
      <w:r>
        <w:rPr>
          <w:rFonts w:hint="default" w:ascii="Times New Roman" w:hAnsi="Times New Roman" w:eastAsia="黑体" w:cs="Times New Roman"/>
          <w:b w:val="0"/>
          <w:color w:val="000000" w:themeColor="text1"/>
          <w:sz w:val="32"/>
          <w:szCs w:val="32"/>
          <w14:textFill>
            <w14:solidFill>
              <w14:schemeClr w14:val="tx1"/>
            </w14:solidFill>
          </w14:textFill>
        </w:rPr>
        <w:t>附件4</w:t>
      </w:r>
      <w:bookmarkEnd w:id="81"/>
    </w:p>
    <w:p w14:paraId="4D590570">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color w:val="000000" w:themeColor="text1"/>
          <w:sz w:val="40"/>
          <w:szCs w:val="36"/>
          <w14:textFill>
            <w14:solidFill>
              <w14:schemeClr w14:val="tx1"/>
            </w14:solidFill>
          </w14:textFill>
        </w:rPr>
      </w:pPr>
      <w:bookmarkStart w:id="83" w:name="_Toc5697"/>
    </w:p>
    <w:p w14:paraId="6D941F9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pacing w:val="-11"/>
          <w:sz w:val="44"/>
          <w:szCs w:val="40"/>
          <w14:textFill>
            <w14:solidFill>
              <w14:schemeClr w14:val="tx1"/>
            </w14:solidFill>
          </w14:textFill>
        </w:rPr>
      </w:pPr>
      <w:r>
        <w:rPr>
          <w:rFonts w:hint="default" w:ascii="Times New Roman" w:hAnsi="Times New Roman" w:eastAsia="方正小标宋简体" w:cs="Times New Roman"/>
          <w:b w:val="0"/>
          <w:color w:val="000000" w:themeColor="text1"/>
          <w:spacing w:val="-11"/>
          <w:sz w:val="44"/>
          <w:szCs w:val="40"/>
          <w14:textFill>
            <w14:solidFill>
              <w14:schemeClr w14:val="tx1"/>
            </w14:solidFill>
          </w14:textFill>
        </w:rPr>
        <w:t>粉尘爆炸危害程度分析、事故预防与现场应急措施</w:t>
      </w:r>
      <w:bookmarkEnd w:id="82"/>
      <w:bookmarkEnd w:id="83"/>
    </w:p>
    <w:p w14:paraId="2FCC18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color w:val="000000" w:themeColor="text1"/>
          <w:sz w:val="32"/>
          <w:szCs w:val="32"/>
          <w14:textFill>
            <w14:solidFill>
              <w14:schemeClr w14:val="tx1"/>
            </w14:solidFill>
          </w14:textFill>
        </w:rPr>
      </w:pPr>
      <w:bookmarkStart w:id="84" w:name="_Toc15009"/>
    </w:p>
    <w:p w14:paraId="2F88498E">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一、事故类型和危害程度分析</w:t>
      </w:r>
      <w:bookmarkEnd w:id="84"/>
    </w:p>
    <w:p w14:paraId="20D35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（一）事故类型</w:t>
      </w:r>
    </w:p>
    <w:p w14:paraId="2070D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粉尘爆炸事故可能发生在粉尘作业场所、仓库等区域，由于粉尘作业场所作业时会产生大量的可燃爆粉尘，如果粉尘清扫不及时、通风系统不畅，当粉尘浓度超过爆炸极限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遇到明火即可能发生粉尘爆炸事故。</w:t>
      </w:r>
    </w:p>
    <w:p w14:paraId="43875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（二）危险程度分析</w:t>
      </w:r>
    </w:p>
    <w:p w14:paraId="7F3E3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1.粉尘爆炸是可燃性粉尘在空气中浮游，当一种火源给予一定的能量后发生的爆炸。粉尘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浓度</w:t>
      </w:r>
      <w:r>
        <w:rPr>
          <w:rFonts w:hint="default" w:ascii="Times New Roman" w:hAnsi="Times New Roman" w:eastAsia="仿宋_GB2312" w:cs="Times New Roman"/>
          <w:color w:val="000000" w:themeColor="text1"/>
          <w:sz w:val="32"/>
          <w:szCs w:val="32"/>
          <w14:textFill>
            <w14:solidFill>
              <w14:schemeClr w14:val="tx1"/>
            </w14:solidFill>
          </w14:textFill>
        </w:rPr>
        <w:t>超过爆炸极限，遇到明火即可能发生爆炸事故。</w:t>
      </w:r>
    </w:p>
    <w:p w14:paraId="66E31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2.粉尘爆炸有产生二次爆炸的可能性。由于粉尘的初始爆炸气浪会将沉积粉尘扬起，在新的空间达到爆炸浓度而产生二次爆炸。这种连续爆炸会造成极大的破坏。严重的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危及</w:t>
      </w:r>
      <w:r>
        <w:rPr>
          <w:rFonts w:hint="default" w:ascii="Times New Roman" w:hAnsi="Times New Roman" w:eastAsia="仿宋_GB2312" w:cs="Times New Roman"/>
          <w:color w:val="000000" w:themeColor="text1"/>
          <w:sz w:val="32"/>
          <w:szCs w:val="32"/>
          <w14:textFill>
            <w14:solidFill>
              <w14:schemeClr w14:val="tx1"/>
            </w14:solidFill>
          </w14:textFill>
        </w:rPr>
        <w:t>周边建筑和群众，造成重大伤亡。</w:t>
      </w:r>
    </w:p>
    <w:p w14:paraId="71645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3.粉尘爆炸会产生有毒气体。产生的有毒气体是一氧化碳和爆炸物（如塑料）自身分解的毒性气体。毒气的产生往往造成爆炸过后的众多人畜中毒伤亡，必须充分重视。</w:t>
      </w:r>
    </w:p>
    <w:p w14:paraId="5F28A3FD">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85" w:name="_Toc21863"/>
      <w:r>
        <w:rPr>
          <w:rFonts w:hint="default" w:ascii="Times New Roman" w:hAnsi="Times New Roman" w:eastAsia="黑体" w:cs="Times New Roman"/>
          <w:color w:val="000000" w:themeColor="text1"/>
          <w:sz w:val="32"/>
          <w:szCs w:val="32"/>
          <w14:textFill>
            <w14:solidFill>
              <w14:schemeClr w14:val="tx1"/>
            </w14:solidFill>
          </w14:textFill>
        </w:rPr>
        <w:t>二、事故预防与现场应急措施</w:t>
      </w:r>
      <w:bookmarkEnd w:id="85"/>
    </w:p>
    <w:p w14:paraId="33EDC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（一）事故预防措施</w:t>
      </w:r>
    </w:p>
    <w:p w14:paraId="739F3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1.粉尘作业场所与其他建筑物保持安全距离；</w:t>
      </w:r>
    </w:p>
    <w:p w14:paraId="0B8D8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2.粉尘作业人员进行培训专项考核，能够识别并正确应对粉尘爆炸危险；</w:t>
      </w:r>
    </w:p>
    <w:p w14:paraId="19DCC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3.生产设备，通风管道，采取防静电措施；使用防爆电气设备；有泄爆，阻爆，隔爆装置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4C3B5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4.控制热源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的场所</w:t>
      </w:r>
      <w:r>
        <w:rPr>
          <w:rFonts w:hint="default" w:ascii="Times New Roman" w:hAnsi="Times New Roman" w:eastAsia="仿宋_GB2312" w:cs="Times New Roman"/>
          <w:color w:val="000000" w:themeColor="text1"/>
          <w:sz w:val="32"/>
          <w:szCs w:val="32"/>
          <w14:textFill>
            <w14:solidFill>
              <w14:schemeClr w14:val="tx1"/>
            </w14:solidFill>
          </w14:textFill>
        </w:rPr>
        <w:t>进行通风；</w:t>
      </w:r>
    </w:p>
    <w:p w14:paraId="02837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5.制定粉尘防火防爆管理制度和动火作业管理制度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E397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6.防止摩擦、碰撞产生火花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4FD67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7.所有产尘点均应装设吸尘罩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46A88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8.所有可能积累粉尘的生产车间和贮存室的设备、地面每天至少清扫一次，不应使用压缩空气进行吹扫；每周至少一次对通风系统进行除尘清扫</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1D1EB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9.每月至少组织一次安全生产联合大检查，对发现的事故隐患各部门应及时整改，整改有难度的，应及时上报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1FE59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10.每年组织</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http://cpro.baidu.com/cpro/ui/uijs.php?adclass=0&amp;app_id=0&amp;c=news&amp;cf=1001&amp;ch=0&amp;di=128&amp;fv=0&amp;is_app=0&amp;jk=b3cc417cce050e9e&amp;k=%D3%A6%BC%B1%BE%C8%D4%AE&amp;k0=%D3%A6%BC%B1%BE%C8%D4%AE&amp;kdi0=0&amp;luki=7&amp;mcpm=0&amp;n=10&amp;p=baidu&amp;q=baidusiteerror_cpr&amp;rb=1&amp;rs=1&amp;seller_id=1&amp;sid=9e0e05ce7c41ccb3&amp;ssp2=1&amp;stid=9&amp;t=tpclicked3_hc&amp;td=1698901&amp;tu=u1698901&amp;u=http%3A%2F%2F3y%2Euu456%2Ecom%2Fbp%5F8uq5v6489f4n25r6n29i%5F3%2Ehtml&amp;urlid=0" \t "_blank"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应急救援</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演练。</w:t>
      </w:r>
    </w:p>
    <w:p w14:paraId="02935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（二）现场应急措施</w:t>
      </w:r>
    </w:p>
    <w:p w14:paraId="7E717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现场作业人员发现粉尘火灾爆炸事故的征兆，以及发生粉尘火灾爆炸事故后，应当依事故现场处置方案，立即停机，切断现场所有电源开关，扑救火灾，通知现场及附近人员紧急撤离事故现场，并立即向上级报告。</w:t>
      </w:r>
    </w:p>
    <w:p w14:paraId="1B089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确定爆炸发生位置，迅速切断事故区电源和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控制其他</w:t>
      </w:r>
      <w:r>
        <w:rPr>
          <w:rFonts w:hint="default" w:ascii="Times New Roman" w:hAnsi="Times New Roman" w:eastAsia="仿宋_GB2312" w:cs="Times New Roman"/>
          <w:color w:val="000000" w:themeColor="text1"/>
          <w:sz w:val="32"/>
          <w:szCs w:val="32"/>
          <w14:textFill>
            <w14:solidFill>
              <w14:schemeClr w14:val="tx1"/>
            </w14:solidFill>
          </w14:textFill>
        </w:rPr>
        <w:t>点火源；对现场粉尘、有害气体浓度进行监测，采取有效措施控制它们的浓度；初步确定警戒范围，隔离外围群众、疏散警戒范围内的群众，禁止无关人员进入现场。</w:t>
      </w:r>
    </w:p>
    <w:p w14:paraId="12ECD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扑救粉尘涉爆事故的有效灭火剂是水，尤以雾状水为佳。它既可以熄灭燃烧，又可湿润未燃粉尘，驱散和消除悬浮粉尘，降低空气粉尘浓度，但忌用直流喷射的水和泡沫，也不宜用有冲击力的干粉、二氧化碳、1211灭火剂，防止沉积粉尘因受冲击而悬浮引起二次爆炸。</w:t>
      </w:r>
    </w:p>
    <w:p w14:paraId="189C5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3.金属粉尘（忌水物质）如铝、镁粉等火灾，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应用</w:t>
      </w:r>
      <w:r>
        <w:rPr>
          <w:rFonts w:hint="default" w:ascii="Times New Roman" w:hAnsi="Times New Roman" w:eastAsia="仿宋_GB2312" w:cs="Times New Roman"/>
          <w:color w:val="000000" w:themeColor="text1"/>
          <w:sz w:val="32"/>
          <w:szCs w:val="32"/>
          <w14:textFill>
            <w14:solidFill>
              <w14:schemeClr w14:val="tx1"/>
            </w14:solidFill>
          </w14:textFill>
        </w:rPr>
        <w:t>干沙、石灰等扑救，禁止用水、泡沫等含水性材料扑救，也不宜用有产生冲击力的方式灭火，防止沉积粉尘因受冲击而悬浮引起二次爆炸。</w:t>
      </w:r>
    </w:p>
    <w:p w14:paraId="47F3C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4.在整个抢险和处理过程中，进入事故区救援人员必须佩戴防毒面具，防止一氧化碳等有毒有害气体中毒。</w:t>
      </w:r>
    </w:p>
    <w:p w14:paraId="01BD2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5.当先期处置</w:t>
      </w:r>
      <w:bookmarkStart w:id="89" w:name="_GoBack"/>
      <w:r>
        <w:rPr>
          <w:rFonts w:hint="eastAsia" w:ascii="Times New Roman" w:hAnsi="Times New Roman" w:eastAsia="仿宋_GB2312" w:cs="Times New Roman"/>
          <w:color w:val="000000" w:themeColor="text1"/>
          <w:sz w:val="32"/>
          <w:szCs w:val="32"/>
          <w:lang w:eastAsia="zh-CN"/>
          <w14:textFill>
            <w14:solidFill>
              <w14:schemeClr w14:val="tx1"/>
            </w14:solidFill>
          </w14:textFill>
        </w:rPr>
        <w:t>无法</w:t>
      </w:r>
      <w:bookmarkEnd w:id="89"/>
      <w:r>
        <w:rPr>
          <w:rFonts w:hint="default" w:ascii="Times New Roman" w:hAnsi="Times New Roman" w:eastAsia="仿宋_GB2312" w:cs="Times New Roman"/>
          <w:color w:val="000000" w:themeColor="text1"/>
          <w:sz w:val="32"/>
          <w:szCs w:val="32"/>
          <w14:textFill>
            <w14:solidFill>
              <w14:schemeClr w14:val="tx1"/>
            </w14:solidFill>
          </w14:textFill>
        </w:rPr>
        <w:t>有效控制事故时，应及时调动专家、应急救援队伍及救援装备参与救援。</w:t>
      </w:r>
    </w:p>
    <w:p w14:paraId="130E56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 xml:space="preserve"> </w:t>
      </w:r>
    </w:p>
    <w:p w14:paraId="374786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000000" w:themeColor="text1"/>
          <w:sz w:val="28"/>
          <w:szCs w:val="28"/>
          <w14:textFill>
            <w14:solidFill>
              <w14:schemeClr w14:val="tx1"/>
            </w14:solidFill>
          </w14:textFill>
        </w:rPr>
      </w:pPr>
    </w:p>
    <w:p w14:paraId="16681F9E">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657B16BB">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0BF609B2">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351E33AC">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20C14571">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06DD2D1C">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50544919">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12B57CCF">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5A0A09E3">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5371369C">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6D64C37E">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178D161B">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4241F024">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518271FA">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63336410">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01E6525C">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52B6EF11">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17A67160">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634A2A19">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70398990">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2AE2CEB1">
      <w:pPr>
        <w:pStyle w:val="5"/>
        <w:rPr>
          <w:rFonts w:hint="default" w:ascii="Times New Roman" w:hAnsi="Times New Roman" w:eastAsia="宋体" w:cs="Times New Roman"/>
          <w:color w:val="000000" w:themeColor="text1"/>
          <w:sz w:val="28"/>
          <w:szCs w:val="28"/>
          <w14:textFill>
            <w14:solidFill>
              <w14:schemeClr w14:val="tx1"/>
            </w14:solidFill>
          </w14:textFill>
        </w:rPr>
      </w:pPr>
    </w:p>
    <w:p w14:paraId="5137C730">
      <w:pPr>
        <w:pStyle w:val="5"/>
        <w:rPr>
          <w:rFonts w:hint="default" w:ascii="Times New Roman" w:hAnsi="Times New Roman" w:eastAsia="宋体" w:cs="Times New Roman"/>
          <w:color w:val="000000" w:themeColor="text1"/>
          <w:sz w:val="28"/>
          <w:szCs w:val="28"/>
          <w14:textFill>
            <w14:solidFill>
              <w14:schemeClr w14:val="tx1"/>
            </w14:solidFill>
          </w14:textFill>
        </w:rPr>
        <w:sectPr>
          <w:footerReference r:id="rId10" w:type="default"/>
          <w:pgSz w:w="11906" w:h="16838"/>
          <w:pgMar w:top="1417" w:right="1417" w:bottom="1417" w:left="1417" w:header="851" w:footer="992" w:gutter="0"/>
          <w:pgNumType w:fmt="numberInDash"/>
          <w:cols w:space="425" w:num="1"/>
          <w:docGrid w:linePitch="312" w:charSpace="0"/>
        </w:sectPr>
      </w:pPr>
    </w:p>
    <w:p w14:paraId="0AD1A24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86" w:name="_Toc534"/>
      <w:bookmarkStart w:id="87" w:name="_Toc21317"/>
      <w:r>
        <w:rPr>
          <w:rFonts w:hint="default" w:ascii="Times New Roman" w:hAnsi="Times New Roman" w:eastAsia="黑体" w:cs="Times New Roman"/>
          <w:b w:val="0"/>
          <w:color w:val="000000" w:themeColor="text1"/>
          <w:sz w:val="32"/>
          <w:szCs w:val="32"/>
          <w14:textFill>
            <w14:solidFill>
              <w14:schemeClr w14:val="tx1"/>
            </w14:solidFill>
          </w14:textFill>
        </w:rPr>
        <w:t>附件5</w:t>
      </w:r>
      <w:bookmarkEnd w:id="86"/>
    </w:p>
    <w:p w14:paraId="2F96FCD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40"/>
          <w14:textFill>
            <w14:solidFill>
              <w14:schemeClr w14:val="tx1"/>
            </w14:solidFill>
          </w14:textFill>
        </w:rPr>
      </w:pPr>
      <w:bookmarkStart w:id="88" w:name="_Toc31440"/>
      <w:r>
        <w:rPr>
          <w:rFonts w:hint="default" w:ascii="Times New Roman" w:hAnsi="Times New Roman" w:eastAsia="方正小标宋简体" w:cs="Times New Roman"/>
          <w:b w:val="0"/>
          <w:color w:val="000000" w:themeColor="text1"/>
          <w:sz w:val="44"/>
          <w:szCs w:val="40"/>
          <w14:textFill>
            <w14:solidFill>
              <w14:schemeClr w14:val="tx1"/>
            </w14:solidFill>
          </w14:textFill>
        </w:rPr>
        <w:t>钦州市钦北区粉尘涉爆企业统计表</w:t>
      </w:r>
      <w:bookmarkEnd w:id="87"/>
      <w:bookmarkEnd w:id="88"/>
    </w:p>
    <w:p w14:paraId="79CDB391">
      <w:pPr>
        <w:rPr>
          <w:rFonts w:hint="default" w:ascii="Times New Roman" w:hAnsi="Times New Roman"/>
        </w:rPr>
      </w:pPr>
    </w:p>
    <w:tbl>
      <w:tblPr>
        <w:tblStyle w:val="12"/>
        <w:tblW w:w="14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111"/>
        <w:gridCol w:w="1871"/>
        <w:gridCol w:w="2101"/>
        <w:gridCol w:w="2651"/>
        <w:gridCol w:w="2301"/>
      </w:tblGrid>
      <w:tr w14:paraId="1C13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62D10FE">
            <w:pPr>
              <w:spacing w:line="220" w:lineRule="atLeas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序号</w:t>
            </w:r>
          </w:p>
        </w:tc>
        <w:tc>
          <w:tcPr>
            <w:tcW w:w="4111" w:type="dxa"/>
            <w:tcBorders>
              <w:top w:val="single" w:color="auto" w:sz="4" w:space="0"/>
              <w:left w:val="single" w:color="auto" w:sz="4" w:space="0"/>
              <w:bottom w:val="single" w:color="auto" w:sz="4" w:space="0"/>
              <w:right w:val="single" w:color="auto" w:sz="4" w:space="0"/>
            </w:tcBorders>
            <w:vAlign w:val="center"/>
          </w:tcPr>
          <w:p w14:paraId="0442AAA2">
            <w:pPr>
              <w:spacing w:line="220" w:lineRule="atLeas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企业名称</w:t>
            </w:r>
          </w:p>
        </w:tc>
        <w:tc>
          <w:tcPr>
            <w:tcW w:w="1871" w:type="dxa"/>
            <w:tcBorders>
              <w:top w:val="single" w:color="auto" w:sz="4" w:space="0"/>
              <w:left w:val="single" w:color="auto" w:sz="4" w:space="0"/>
              <w:bottom w:val="single" w:color="auto" w:sz="4" w:space="0"/>
              <w:right w:val="single" w:color="auto" w:sz="4" w:space="0"/>
            </w:tcBorders>
            <w:vAlign w:val="center"/>
          </w:tcPr>
          <w:p w14:paraId="636CA1AA">
            <w:pPr>
              <w:spacing w:line="220" w:lineRule="atLeas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主要负责人</w:t>
            </w:r>
          </w:p>
        </w:tc>
        <w:tc>
          <w:tcPr>
            <w:tcW w:w="2101" w:type="dxa"/>
            <w:tcBorders>
              <w:top w:val="single" w:color="auto" w:sz="4" w:space="0"/>
              <w:left w:val="single" w:color="auto" w:sz="4" w:space="0"/>
              <w:bottom w:val="single" w:color="auto" w:sz="4" w:space="0"/>
              <w:right w:val="single" w:color="auto" w:sz="4" w:space="0"/>
            </w:tcBorders>
            <w:vAlign w:val="center"/>
          </w:tcPr>
          <w:p w14:paraId="34076BB4">
            <w:pPr>
              <w:spacing w:line="220" w:lineRule="atLeas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联系电话</w:t>
            </w:r>
          </w:p>
        </w:tc>
        <w:tc>
          <w:tcPr>
            <w:tcW w:w="2651" w:type="dxa"/>
            <w:tcBorders>
              <w:top w:val="single" w:color="auto" w:sz="4" w:space="0"/>
              <w:left w:val="single" w:color="auto" w:sz="4" w:space="0"/>
              <w:bottom w:val="single" w:color="auto" w:sz="4" w:space="0"/>
              <w:right w:val="single" w:color="auto" w:sz="4" w:space="0"/>
            </w:tcBorders>
            <w:vAlign w:val="center"/>
          </w:tcPr>
          <w:p w14:paraId="5B76F84D">
            <w:pPr>
              <w:spacing w:line="220" w:lineRule="atLeas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粉尘类别/除尘方式</w:t>
            </w:r>
          </w:p>
        </w:tc>
        <w:tc>
          <w:tcPr>
            <w:tcW w:w="2301" w:type="dxa"/>
            <w:tcBorders>
              <w:top w:val="single" w:color="auto" w:sz="4" w:space="0"/>
              <w:left w:val="single" w:color="auto" w:sz="4" w:space="0"/>
              <w:bottom w:val="single" w:color="auto" w:sz="4" w:space="0"/>
              <w:right w:val="single" w:color="auto" w:sz="4" w:space="0"/>
            </w:tcBorders>
            <w:vAlign w:val="center"/>
          </w:tcPr>
          <w:p w14:paraId="72CB66E7">
            <w:pPr>
              <w:spacing w:line="220" w:lineRule="atLeas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备 注</w:t>
            </w:r>
          </w:p>
        </w:tc>
      </w:tr>
      <w:tr w14:paraId="0CDD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747B31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w:t>
            </w:r>
          </w:p>
        </w:tc>
        <w:tc>
          <w:tcPr>
            <w:tcW w:w="4111" w:type="dxa"/>
            <w:tcBorders>
              <w:top w:val="single" w:color="auto" w:sz="4" w:space="0"/>
              <w:left w:val="single" w:color="auto" w:sz="4" w:space="0"/>
              <w:bottom w:val="single" w:color="auto" w:sz="4" w:space="0"/>
              <w:right w:val="single" w:color="auto" w:sz="4" w:space="0"/>
            </w:tcBorders>
            <w:vAlign w:val="center"/>
          </w:tcPr>
          <w:p w14:paraId="5A6368EB">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钦州市漓源粮油饲料有限公司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1B9730A0">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谭爱华</w:t>
            </w:r>
          </w:p>
        </w:tc>
        <w:tc>
          <w:tcPr>
            <w:tcW w:w="2101" w:type="dxa"/>
            <w:tcBorders>
              <w:top w:val="single" w:color="auto" w:sz="4" w:space="0"/>
              <w:left w:val="single" w:color="auto" w:sz="4" w:space="0"/>
              <w:bottom w:val="single" w:color="auto" w:sz="4" w:space="0"/>
              <w:right w:val="single" w:color="auto" w:sz="4" w:space="0"/>
            </w:tcBorders>
            <w:vAlign w:val="center"/>
          </w:tcPr>
          <w:p w14:paraId="0A5B86B6">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0777-5512456</w:t>
            </w:r>
          </w:p>
        </w:tc>
        <w:tc>
          <w:tcPr>
            <w:tcW w:w="2651" w:type="dxa"/>
            <w:tcBorders>
              <w:top w:val="single" w:color="auto" w:sz="4" w:space="0"/>
              <w:left w:val="single" w:color="auto" w:sz="4" w:space="0"/>
              <w:bottom w:val="single" w:color="auto" w:sz="4" w:space="0"/>
              <w:right w:val="single" w:color="auto" w:sz="4" w:space="0"/>
            </w:tcBorders>
            <w:vAlign w:val="center"/>
          </w:tcPr>
          <w:p w14:paraId="3B74A1A2">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淀粉/除尘器、人工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4C091A1A">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皇马工业园一区</w:t>
            </w:r>
          </w:p>
        </w:tc>
      </w:tr>
      <w:tr w14:paraId="5776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2F5937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w:t>
            </w:r>
          </w:p>
        </w:tc>
        <w:tc>
          <w:tcPr>
            <w:tcW w:w="4111" w:type="dxa"/>
            <w:tcBorders>
              <w:top w:val="single" w:color="auto" w:sz="4" w:space="0"/>
              <w:left w:val="single" w:color="auto" w:sz="4" w:space="0"/>
              <w:bottom w:val="single" w:color="auto" w:sz="4" w:space="0"/>
              <w:right w:val="single" w:color="auto" w:sz="4" w:space="0"/>
            </w:tcBorders>
            <w:vAlign w:val="center"/>
          </w:tcPr>
          <w:p w14:paraId="7740A799">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钦州市百香粮油加工厂</w:t>
            </w:r>
          </w:p>
        </w:tc>
        <w:tc>
          <w:tcPr>
            <w:tcW w:w="1871" w:type="dxa"/>
            <w:tcBorders>
              <w:top w:val="single" w:color="auto" w:sz="4" w:space="0"/>
              <w:left w:val="single" w:color="auto" w:sz="4" w:space="0"/>
              <w:bottom w:val="single" w:color="auto" w:sz="4" w:space="0"/>
              <w:right w:val="single" w:color="auto" w:sz="4" w:space="0"/>
            </w:tcBorders>
            <w:vAlign w:val="center"/>
          </w:tcPr>
          <w:p w14:paraId="6A1B5B94">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王建华</w:t>
            </w:r>
          </w:p>
        </w:tc>
        <w:tc>
          <w:tcPr>
            <w:tcW w:w="2101" w:type="dxa"/>
            <w:tcBorders>
              <w:top w:val="single" w:color="auto" w:sz="4" w:space="0"/>
              <w:left w:val="single" w:color="auto" w:sz="4" w:space="0"/>
              <w:bottom w:val="single" w:color="auto" w:sz="4" w:space="0"/>
              <w:right w:val="single" w:color="auto" w:sz="4" w:space="0"/>
            </w:tcBorders>
            <w:vAlign w:val="center"/>
          </w:tcPr>
          <w:p w14:paraId="178913FB">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13367773788</w:t>
            </w:r>
          </w:p>
        </w:tc>
        <w:tc>
          <w:tcPr>
            <w:tcW w:w="2651" w:type="dxa"/>
            <w:tcBorders>
              <w:top w:val="single" w:color="auto" w:sz="4" w:space="0"/>
              <w:left w:val="single" w:color="auto" w:sz="4" w:space="0"/>
              <w:bottom w:val="single" w:color="auto" w:sz="4" w:space="0"/>
              <w:right w:val="single" w:color="auto" w:sz="4" w:space="0"/>
            </w:tcBorders>
            <w:vAlign w:val="center"/>
          </w:tcPr>
          <w:p w14:paraId="21C4257B">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淀粉/除尘器、人工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6C029E22">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皇马工业园一区</w:t>
            </w:r>
          </w:p>
        </w:tc>
      </w:tr>
      <w:tr w14:paraId="6B7B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2848631">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w:t>
            </w:r>
          </w:p>
        </w:tc>
        <w:tc>
          <w:tcPr>
            <w:tcW w:w="4111" w:type="dxa"/>
            <w:tcBorders>
              <w:top w:val="single" w:color="auto" w:sz="4" w:space="0"/>
              <w:left w:val="single" w:color="auto" w:sz="4" w:space="0"/>
              <w:bottom w:val="single" w:color="auto" w:sz="4" w:space="0"/>
              <w:right w:val="single" w:color="auto" w:sz="4" w:space="0"/>
            </w:tcBorders>
            <w:vAlign w:val="center"/>
          </w:tcPr>
          <w:p w14:paraId="5B605BB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广西钦州市桂弘羽毛有限公司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2A3A32E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梁庆敏</w:t>
            </w:r>
          </w:p>
        </w:tc>
        <w:tc>
          <w:tcPr>
            <w:tcW w:w="2101" w:type="dxa"/>
            <w:tcBorders>
              <w:top w:val="single" w:color="auto" w:sz="4" w:space="0"/>
              <w:left w:val="single" w:color="auto" w:sz="4" w:space="0"/>
              <w:bottom w:val="single" w:color="auto" w:sz="4" w:space="0"/>
              <w:right w:val="single" w:color="auto" w:sz="4" w:space="0"/>
            </w:tcBorders>
            <w:vAlign w:val="center"/>
          </w:tcPr>
          <w:p w14:paraId="0A38E12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13558378186</w:t>
            </w:r>
          </w:p>
        </w:tc>
        <w:tc>
          <w:tcPr>
            <w:tcW w:w="2651" w:type="dxa"/>
            <w:tcBorders>
              <w:top w:val="single" w:color="auto" w:sz="4" w:space="0"/>
              <w:left w:val="single" w:color="auto" w:sz="4" w:space="0"/>
              <w:bottom w:val="single" w:color="auto" w:sz="4" w:space="0"/>
              <w:right w:val="single" w:color="auto" w:sz="4" w:space="0"/>
            </w:tcBorders>
            <w:vAlign w:val="center"/>
          </w:tcPr>
          <w:p w14:paraId="617E898E">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纤维/人工</w:t>
            </w:r>
          </w:p>
        </w:tc>
        <w:tc>
          <w:tcPr>
            <w:tcW w:w="2301" w:type="dxa"/>
            <w:tcBorders>
              <w:top w:val="single" w:color="auto" w:sz="4" w:space="0"/>
              <w:left w:val="single" w:color="auto" w:sz="4" w:space="0"/>
              <w:bottom w:val="single" w:color="auto" w:sz="4" w:space="0"/>
              <w:right w:val="single" w:color="auto" w:sz="4" w:space="0"/>
            </w:tcBorders>
            <w:vAlign w:val="center"/>
          </w:tcPr>
          <w:p w14:paraId="03D2D464">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皇马工业园二区</w:t>
            </w:r>
          </w:p>
        </w:tc>
      </w:tr>
      <w:tr w14:paraId="672A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0EC9424A">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4</w:t>
            </w:r>
          </w:p>
        </w:tc>
        <w:tc>
          <w:tcPr>
            <w:tcW w:w="4111" w:type="dxa"/>
            <w:tcBorders>
              <w:top w:val="single" w:color="auto" w:sz="4" w:space="0"/>
              <w:left w:val="single" w:color="auto" w:sz="4" w:space="0"/>
              <w:bottom w:val="single" w:color="auto" w:sz="4" w:space="0"/>
              <w:right w:val="single" w:color="auto" w:sz="4" w:space="0"/>
            </w:tcBorders>
            <w:vAlign w:val="center"/>
          </w:tcPr>
          <w:p w14:paraId="73A9FC51">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钦州市双胞胎饲料有限公司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023FCB2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林之伦</w:t>
            </w:r>
          </w:p>
        </w:tc>
        <w:tc>
          <w:tcPr>
            <w:tcW w:w="2101" w:type="dxa"/>
            <w:tcBorders>
              <w:top w:val="single" w:color="auto" w:sz="4" w:space="0"/>
              <w:left w:val="single" w:color="auto" w:sz="4" w:space="0"/>
              <w:bottom w:val="single" w:color="auto" w:sz="4" w:space="0"/>
              <w:right w:val="single" w:color="auto" w:sz="4" w:space="0"/>
            </w:tcBorders>
            <w:vAlign w:val="center"/>
          </w:tcPr>
          <w:p w14:paraId="27ED8F24">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18170807827</w:t>
            </w:r>
          </w:p>
        </w:tc>
        <w:tc>
          <w:tcPr>
            <w:tcW w:w="2651" w:type="dxa"/>
            <w:tcBorders>
              <w:top w:val="single" w:color="auto" w:sz="4" w:space="0"/>
              <w:left w:val="single" w:color="auto" w:sz="4" w:space="0"/>
              <w:bottom w:val="single" w:color="auto" w:sz="4" w:space="0"/>
              <w:right w:val="single" w:color="auto" w:sz="4" w:space="0"/>
            </w:tcBorders>
            <w:vAlign w:val="center"/>
          </w:tcPr>
          <w:p w14:paraId="68F3A2C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淀粉/除尘器、人工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3BE78BFB">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皇马工业园四区</w:t>
            </w:r>
          </w:p>
        </w:tc>
      </w:tr>
      <w:tr w14:paraId="79B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7FEAD035">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w:t>
            </w:r>
          </w:p>
        </w:tc>
        <w:tc>
          <w:tcPr>
            <w:tcW w:w="4111" w:type="dxa"/>
            <w:tcBorders>
              <w:top w:val="single" w:color="auto" w:sz="4" w:space="0"/>
              <w:left w:val="single" w:color="auto" w:sz="4" w:space="0"/>
              <w:bottom w:val="single" w:color="auto" w:sz="4" w:space="0"/>
              <w:right w:val="single" w:color="auto" w:sz="4" w:space="0"/>
            </w:tcBorders>
            <w:vAlign w:val="center"/>
          </w:tcPr>
          <w:p w14:paraId="5E22DB6E">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广西新天地农牧集团有限公司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66087F36">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梁代简</w:t>
            </w:r>
          </w:p>
        </w:tc>
        <w:tc>
          <w:tcPr>
            <w:tcW w:w="2101" w:type="dxa"/>
            <w:tcBorders>
              <w:top w:val="single" w:color="auto" w:sz="4" w:space="0"/>
              <w:left w:val="single" w:color="auto" w:sz="4" w:space="0"/>
              <w:bottom w:val="single" w:color="auto" w:sz="4" w:space="0"/>
              <w:right w:val="single" w:color="auto" w:sz="4" w:space="0"/>
            </w:tcBorders>
            <w:vAlign w:val="center"/>
          </w:tcPr>
          <w:p w14:paraId="3F0E9686">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13977793916</w:t>
            </w:r>
          </w:p>
        </w:tc>
        <w:tc>
          <w:tcPr>
            <w:tcW w:w="2651" w:type="dxa"/>
            <w:tcBorders>
              <w:top w:val="single" w:color="auto" w:sz="4" w:space="0"/>
              <w:left w:val="single" w:color="auto" w:sz="4" w:space="0"/>
              <w:bottom w:val="single" w:color="auto" w:sz="4" w:space="0"/>
              <w:right w:val="single" w:color="auto" w:sz="4" w:space="0"/>
            </w:tcBorders>
            <w:vAlign w:val="center"/>
          </w:tcPr>
          <w:p w14:paraId="43F45F8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淀粉/除尘器、人工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6FDCE8FC">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皇马工业园四区</w:t>
            </w:r>
          </w:p>
        </w:tc>
      </w:tr>
      <w:tr w14:paraId="6AB0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566FA4C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6</w:t>
            </w:r>
          </w:p>
        </w:tc>
        <w:tc>
          <w:tcPr>
            <w:tcW w:w="4111" w:type="dxa"/>
            <w:tcBorders>
              <w:top w:val="single" w:color="auto" w:sz="4" w:space="0"/>
              <w:left w:val="single" w:color="auto" w:sz="4" w:space="0"/>
              <w:bottom w:val="single" w:color="auto" w:sz="4" w:space="0"/>
              <w:right w:val="single" w:color="auto" w:sz="4" w:space="0"/>
            </w:tcBorders>
            <w:vAlign w:val="center"/>
          </w:tcPr>
          <w:p w14:paraId="34EAA7A1">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广西东昌木业有限公司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6BDE344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徐伟健</w:t>
            </w:r>
          </w:p>
        </w:tc>
        <w:tc>
          <w:tcPr>
            <w:tcW w:w="2101" w:type="dxa"/>
            <w:tcBorders>
              <w:top w:val="single" w:color="auto" w:sz="4" w:space="0"/>
              <w:left w:val="single" w:color="auto" w:sz="4" w:space="0"/>
              <w:bottom w:val="single" w:color="auto" w:sz="4" w:space="0"/>
              <w:right w:val="single" w:color="auto" w:sz="4" w:space="0"/>
            </w:tcBorders>
            <w:vAlign w:val="center"/>
          </w:tcPr>
          <w:p w14:paraId="5F138E5E">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13617778666</w:t>
            </w:r>
          </w:p>
        </w:tc>
        <w:tc>
          <w:tcPr>
            <w:tcW w:w="2651" w:type="dxa"/>
            <w:tcBorders>
              <w:top w:val="single" w:color="auto" w:sz="4" w:space="0"/>
              <w:left w:val="single" w:color="auto" w:sz="4" w:space="0"/>
              <w:bottom w:val="single" w:color="auto" w:sz="4" w:space="0"/>
              <w:right w:val="single" w:color="auto" w:sz="4" w:space="0"/>
            </w:tcBorders>
            <w:vAlign w:val="center"/>
          </w:tcPr>
          <w:p w14:paraId="77B0AA26">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纤维/除尘器、人工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42048E24">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大寺</w:t>
            </w:r>
          </w:p>
        </w:tc>
      </w:tr>
      <w:tr w14:paraId="144D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70E450F6">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7</w:t>
            </w:r>
          </w:p>
        </w:tc>
        <w:tc>
          <w:tcPr>
            <w:tcW w:w="4111" w:type="dxa"/>
            <w:tcBorders>
              <w:top w:val="single" w:color="auto" w:sz="4" w:space="0"/>
              <w:left w:val="single" w:color="auto" w:sz="4" w:space="0"/>
              <w:bottom w:val="single" w:color="auto" w:sz="4" w:space="0"/>
              <w:right w:val="single" w:color="auto" w:sz="4" w:space="0"/>
            </w:tcBorders>
            <w:vAlign w:val="center"/>
          </w:tcPr>
          <w:p w14:paraId="3C3FBC75">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钦州泰盛木业有限公司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7425C29F">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  参</w:t>
            </w:r>
          </w:p>
        </w:tc>
        <w:tc>
          <w:tcPr>
            <w:tcW w:w="2101" w:type="dxa"/>
            <w:tcBorders>
              <w:top w:val="single" w:color="auto" w:sz="4" w:space="0"/>
              <w:left w:val="single" w:color="auto" w:sz="4" w:space="0"/>
              <w:bottom w:val="single" w:color="auto" w:sz="4" w:space="0"/>
              <w:right w:val="single" w:color="auto" w:sz="4" w:space="0"/>
            </w:tcBorders>
            <w:vAlign w:val="center"/>
          </w:tcPr>
          <w:p w14:paraId="0F4C2A54">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13768156333</w:t>
            </w:r>
          </w:p>
        </w:tc>
        <w:tc>
          <w:tcPr>
            <w:tcW w:w="2651" w:type="dxa"/>
            <w:tcBorders>
              <w:top w:val="single" w:color="auto" w:sz="4" w:space="0"/>
              <w:left w:val="single" w:color="auto" w:sz="4" w:space="0"/>
              <w:bottom w:val="single" w:color="auto" w:sz="4" w:space="0"/>
              <w:right w:val="single" w:color="auto" w:sz="4" w:space="0"/>
            </w:tcBorders>
            <w:vAlign w:val="center"/>
          </w:tcPr>
          <w:p w14:paraId="14A014E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纤维/除尘器、人工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52EC589C">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大寺</w:t>
            </w:r>
          </w:p>
        </w:tc>
      </w:tr>
      <w:tr w14:paraId="53AD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F1A8918">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8</w:t>
            </w:r>
          </w:p>
        </w:tc>
        <w:tc>
          <w:tcPr>
            <w:tcW w:w="4111" w:type="dxa"/>
            <w:tcBorders>
              <w:top w:val="single" w:color="auto" w:sz="4" w:space="0"/>
              <w:left w:val="single" w:color="auto" w:sz="4" w:space="0"/>
              <w:bottom w:val="single" w:color="auto" w:sz="4" w:space="0"/>
              <w:right w:val="single" w:color="auto" w:sz="4" w:space="0"/>
            </w:tcBorders>
            <w:vAlign w:val="center"/>
          </w:tcPr>
          <w:p w14:paraId="1DAE79C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广西钦州双峰木业有限公司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31EFFEA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周  峰</w:t>
            </w:r>
          </w:p>
        </w:tc>
        <w:tc>
          <w:tcPr>
            <w:tcW w:w="2101" w:type="dxa"/>
            <w:tcBorders>
              <w:top w:val="single" w:color="auto" w:sz="4" w:space="0"/>
              <w:left w:val="single" w:color="auto" w:sz="4" w:space="0"/>
              <w:bottom w:val="single" w:color="auto" w:sz="4" w:space="0"/>
              <w:right w:val="single" w:color="auto" w:sz="4" w:space="0"/>
            </w:tcBorders>
            <w:vAlign w:val="center"/>
          </w:tcPr>
          <w:p w14:paraId="6F67A144">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18813751409</w:t>
            </w:r>
          </w:p>
        </w:tc>
        <w:tc>
          <w:tcPr>
            <w:tcW w:w="2651" w:type="dxa"/>
            <w:tcBorders>
              <w:top w:val="single" w:color="auto" w:sz="4" w:space="0"/>
              <w:left w:val="single" w:color="auto" w:sz="4" w:space="0"/>
              <w:bottom w:val="single" w:color="auto" w:sz="4" w:space="0"/>
              <w:right w:val="single" w:color="auto" w:sz="4" w:space="0"/>
            </w:tcBorders>
            <w:vAlign w:val="center"/>
          </w:tcPr>
          <w:p w14:paraId="0A6485EB">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纤维/除尘器、人工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680C71CC">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大寺</w:t>
            </w:r>
          </w:p>
        </w:tc>
      </w:tr>
      <w:tr w14:paraId="3A17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ADC4D72">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9</w:t>
            </w:r>
          </w:p>
        </w:tc>
        <w:tc>
          <w:tcPr>
            <w:tcW w:w="4111" w:type="dxa"/>
            <w:tcBorders>
              <w:top w:val="single" w:color="auto" w:sz="4" w:space="0"/>
              <w:left w:val="single" w:color="auto" w:sz="4" w:space="0"/>
              <w:bottom w:val="single" w:color="auto" w:sz="4" w:space="0"/>
              <w:right w:val="single" w:color="auto" w:sz="4" w:space="0"/>
            </w:tcBorders>
            <w:vAlign w:val="center"/>
          </w:tcPr>
          <w:p w14:paraId="30551336">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钦州九联粮油饲料有限公司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7EE4038E">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李秉连</w:t>
            </w:r>
          </w:p>
        </w:tc>
        <w:tc>
          <w:tcPr>
            <w:tcW w:w="2101" w:type="dxa"/>
            <w:tcBorders>
              <w:top w:val="single" w:color="auto" w:sz="4" w:space="0"/>
              <w:left w:val="single" w:color="auto" w:sz="4" w:space="0"/>
              <w:bottom w:val="single" w:color="auto" w:sz="4" w:space="0"/>
              <w:right w:val="single" w:color="auto" w:sz="4" w:space="0"/>
            </w:tcBorders>
            <w:vAlign w:val="center"/>
          </w:tcPr>
          <w:p w14:paraId="3CFF025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18076668129</w:t>
            </w:r>
          </w:p>
        </w:tc>
        <w:tc>
          <w:tcPr>
            <w:tcW w:w="2651" w:type="dxa"/>
            <w:tcBorders>
              <w:top w:val="single" w:color="auto" w:sz="4" w:space="0"/>
              <w:left w:val="single" w:color="auto" w:sz="4" w:space="0"/>
              <w:bottom w:val="single" w:color="auto" w:sz="4" w:space="0"/>
              <w:right w:val="single" w:color="auto" w:sz="4" w:space="0"/>
            </w:tcBorders>
            <w:vAlign w:val="center"/>
          </w:tcPr>
          <w:p w14:paraId="74712351">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淀粉/除尘器、人工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7F9F9818">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皇马工业园三区</w:t>
            </w:r>
          </w:p>
        </w:tc>
      </w:tr>
      <w:tr w14:paraId="1302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076D3A5E">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10</w:t>
            </w:r>
          </w:p>
        </w:tc>
        <w:tc>
          <w:tcPr>
            <w:tcW w:w="4111" w:type="dxa"/>
            <w:tcBorders>
              <w:top w:val="single" w:color="auto" w:sz="4" w:space="0"/>
              <w:left w:val="single" w:color="auto" w:sz="4" w:space="0"/>
              <w:bottom w:val="single" w:color="auto" w:sz="4" w:space="0"/>
              <w:right w:val="single" w:color="auto" w:sz="4" w:space="0"/>
            </w:tcBorders>
            <w:vAlign w:val="center"/>
          </w:tcPr>
          <w:p w14:paraId="5A322EBB">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广西钦州湘大骆驼饲料有限公司</w:t>
            </w:r>
          </w:p>
        </w:tc>
        <w:tc>
          <w:tcPr>
            <w:tcW w:w="1871" w:type="dxa"/>
            <w:tcBorders>
              <w:top w:val="single" w:color="auto" w:sz="4" w:space="0"/>
              <w:left w:val="single" w:color="auto" w:sz="4" w:space="0"/>
              <w:bottom w:val="single" w:color="auto" w:sz="4" w:space="0"/>
              <w:right w:val="single" w:color="auto" w:sz="4" w:space="0"/>
            </w:tcBorders>
            <w:vAlign w:val="center"/>
          </w:tcPr>
          <w:p w14:paraId="5821BE1C">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陈景峰</w:t>
            </w:r>
          </w:p>
        </w:tc>
        <w:tc>
          <w:tcPr>
            <w:tcW w:w="2101" w:type="dxa"/>
            <w:tcBorders>
              <w:top w:val="single" w:color="auto" w:sz="4" w:space="0"/>
              <w:left w:val="single" w:color="auto" w:sz="4" w:space="0"/>
              <w:bottom w:val="single" w:color="auto" w:sz="4" w:space="0"/>
              <w:right w:val="single" w:color="auto" w:sz="4" w:space="0"/>
            </w:tcBorders>
            <w:vAlign w:val="center"/>
          </w:tcPr>
          <w:p w14:paraId="43003377">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18977733958</w:t>
            </w:r>
          </w:p>
        </w:tc>
        <w:tc>
          <w:tcPr>
            <w:tcW w:w="2651" w:type="dxa"/>
            <w:tcBorders>
              <w:top w:val="single" w:color="auto" w:sz="4" w:space="0"/>
              <w:left w:val="single" w:color="auto" w:sz="4" w:space="0"/>
              <w:bottom w:val="single" w:color="auto" w:sz="4" w:space="0"/>
              <w:right w:val="single" w:color="auto" w:sz="4" w:space="0"/>
            </w:tcBorders>
            <w:vAlign w:val="center"/>
          </w:tcPr>
          <w:p w14:paraId="37911C09">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淀粉/除尘器、人工</w:t>
            </w:r>
          </w:p>
        </w:tc>
        <w:tc>
          <w:tcPr>
            <w:tcW w:w="2301" w:type="dxa"/>
            <w:tcBorders>
              <w:top w:val="single" w:color="auto" w:sz="4" w:space="0"/>
              <w:left w:val="single" w:color="auto" w:sz="4" w:space="0"/>
              <w:bottom w:val="single" w:color="auto" w:sz="4" w:space="0"/>
              <w:right w:val="single" w:color="auto" w:sz="4" w:space="0"/>
            </w:tcBorders>
            <w:vAlign w:val="center"/>
          </w:tcPr>
          <w:p w14:paraId="1851E5A3">
            <w:pPr>
              <w:spacing w:line="220" w:lineRule="atLeas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皇马工业园四区</w:t>
            </w:r>
          </w:p>
        </w:tc>
      </w:tr>
    </w:tbl>
    <w:p w14:paraId="2CC3BB0D">
      <w:pPr>
        <w:rPr>
          <w:rFonts w:hint="default" w:ascii="Times New Roman" w:hAnsi="Times New Roman" w:cs="Times New Roman"/>
          <w:color w:val="000000" w:themeColor="text1"/>
          <w14:textFill>
            <w14:solidFill>
              <w14:schemeClr w14:val="tx1"/>
            </w14:solidFill>
          </w14:textFill>
        </w:rPr>
      </w:pPr>
    </w:p>
    <w:p w14:paraId="7E75A559">
      <w:pPr>
        <w:jc w:val="both"/>
        <w:rPr>
          <w:rFonts w:hint="eastAsia" w:ascii="Times New Roman" w:hAnsi="Times New Roman" w:eastAsia="宋体" w:cs="Times New Roman"/>
          <w:color w:val="000000" w:themeColor="text1"/>
          <w:sz w:val="24"/>
          <w:lang w:eastAsia="zh-CN"/>
          <w14:textFill>
            <w14:solidFill>
              <w14:schemeClr w14:val="tx1"/>
            </w14:solidFill>
          </w14:textFill>
        </w:rPr>
        <w:sectPr>
          <w:footerReference r:id="rId11" w:type="default"/>
          <w:pgSz w:w="16838" w:h="11906" w:orient="landscape"/>
          <w:pgMar w:top="1418" w:right="1418" w:bottom="1418" w:left="1418" w:header="851" w:footer="992" w:gutter="0"/>
          <w:pgNumType w:fmt="numberInDash"/>
          <w:cols w:space="425" w:num="1"/>
          <w:docGrid w:linePitch="312" w:charSpace="0"/>
        </w:sectPr>
      </w:pPr>
    </w:p>
    <w:p w14:paraId="1E53D8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80F08">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AC0E1">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2B2AC0E1">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5A94">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6EC1">
    <w:pPr>
      <w:pStyle w:val="8"/>
      <w:jc w:val="center"/>
      <w:rPr>
        <w:rFonts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2435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1642435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4ACC">
    <w:pPr>
      <w:pStyle w:val="8"/>
      <w:jc w:val="center"/>
      <w:rPr>
        <w:rFonts w:ascii="宋体" w:hAns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BBBF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1B6BBBF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C51A">
    <w:pPr>
      <w:pStyle w:val="8"/>
      <w:jc w:val="center"/>
      <w:rPr>
        <w:rFonts w:ascii="宋体" w:hAnsi="宋体" w:eastAsia="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0F64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zgSE0AgAAZQQAAA4AAABkcnMvZTJvRG9jLnhtbK1UzY7TMBC+I/EO&#10;lu80aVes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4EhNAIAAGUEAAAOAAAAAAAAAAEAIAAAAB8BAABkcnMvZTJvRG9jLnhtbFBL&#10;BQYAAAAABgAGAFkBAADFBQAAAAA=&#10;">
              <v:fill on="f" focussize="0,0"/>
              <v:stroke on="f" weight="0.5pt"/>
              <v:imagedata o:title=""/>
              <o:lock v:ext="edit" aspectratio="f"/>
              <v:textbox inset="0mm,0mm,0mm,0mm" style="mso-fit-shape-to-text:t;">
                <w:txbxContent>
                  <w:p w14:paraId="3B40F64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F57B">
    <w:pPr>
      <w:pStyle w:val="8"/>
      <w:jc w:val="center"/>
      <w:rPr>
        <w:rFonts w:ascii="宋体" w:hAnsi="宋体" w:eastAsia="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2E985">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xU1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DFTXzUCAABlBAAADgAAAAAAAAABACAAAAAfAQAAZHJzL2Uyb0RvYy54bWxQ&#10;SwUGAAAAAAYABgBZAQAAxgUAAAAA&#10;">
              <v:fill on="f" focussize="0,0"/>
              <v:stroke on="f" weight="0.5pt"/>
              <v:imagedata o:title=""/>
              <o:lock v:ext="edit" aspectratio="f"/>
              <v:textbox inset="0mm,0mm,0mm,0mm" style="mso-fit-shape-to-text:t;">
                <w:txbxContent>
                  <w:p w14:paraId="43B2E985">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0076">
    <w:pPr>
      <w:pStyle w:val="8"/>
      <w:jc w:val="center"/>
      <w:rPr>
        <w:rFonts w:ascii="宋体" w:hAnsi="宋体" w:eastAsia="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94A9B">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NzcM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jc3DNAIAAGUEAAAOAAAAAAAAAAEAIAAAAB8BAABkcnMvZTJvRG9jLnhtbFBL&#10;BQYAAAAABgAGAFkBAADFBQAAAAA=&#10;">
              <v:fill on="f" focussize="0,0"/>
              <v:stroke on="f" weight="0.5pt"/>
              <v:imagedata o:title=""/>
              <o:lock v:ext="edit" aspectratio="f"/>
              <v:textbox inset="0mm,0mm,0mm,0mm" style="mso-fit-shape-to-text:t;">
                <w:txbxContent>
                  <w:p w14:paraId="60794A9B">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5E44">
    <w:pPr>
      <w:pStyle w:val="8"/>
      <w:jc w:val="center"/>
      <w:rPr>
        <w:rFonts w:ascii="宋体" w:hAnsi="宋体" w:eastAsia="宋体"/>
        <w:sz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9FD4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09qI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LT2ojUCAABlBAAADgAAAAAAAAABACAAAAAfAQAAZHJzL2Uyb0RvYy54bWxQ&#10;SwUGAAAAAAYABgBZAQAAxgUAAAAA&#10;">
              <v:fill on="f" focussize="0,0"/>
              <v:stroke on="f" weight="0.5pt"/>
              <v:imagedata o:title=""/>
              <o:lock v:ext="edit" aspectratio="f"/>
              <v:textbox inset="0mm,0mm,0mm,0mm" style="mso-fit-shape-to-text:t;">
                <w:txbxContent>
                  <w:p w14:paraId="29A9FD4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XXIX</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7F59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1162B"/>
    <w:multiLevelType w:val="multilevel"/>
    <w:tmpl w:val="2E51162B"/>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3D367CA"/>
    <w:multiLevelType w:val="multilevel"/>
    <w:tmpl w:val="63D367CA"/>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B3085"/>
    <w:rsid w:val="5E2B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basedOn w:val="1"/>
    <w:qFormat/>
    <w:uiPriority w:val="0"/>
    <w:rPr>
      <w:rFonts w:ascii="华文琥珀" w:hAnsi="宋体" w:eastAsia="华文琥珀"/>
      <w:sz w:val="24"/>
    </w:rPr>
  </w:style>
  <w:style w:type="paragraph" w:styleId="6">
    <w:name w:val="Body Text Indent"/>
    <w:basedOn w:val="1"/>
    <w:qFormat/>
    <w:uiPriority w:val="0"/>
    <w:pPr>
      <w:ind w:firstLine="720"/>
    </w:pPr>
    <w:rPr>
      <w:sz w:val="30"/>
    </w:r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character" w:customStyle="1" w:styleId="14">
    <w:name w:val="font0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1f0933ef-a2b3-4d89-ac76-4e8cd55e76bd</errorID>
      <errorWord>2015年第</errorWord>
      <group>L1_Word</group>
      <groupName>字词问题</groupName>
      <ability>L2_Typo</ability>
      <abilityName>字词错误</abilityName>
      <candidateList>
        <item>〔2015〕</item>
      </candidateList>
      <explain/>
      <paraID>7F0C182E</paraID>
      <start>34</start>
      <end>40</end>
      <status>unmodified</status>
      <modifiedWord/>
      <trackRevisions>false</trackRevisions>
    </reviewItem>
    <reviewItem>
      <errorID>52a65721-af79-4046-a921-51e3d27384cb</errorID>
      <errorWord>《钦州市粉尘爆炸生产安全事故应急预案》</errorWord>
      <group>L1_Other</group>
      <groupName>其他问题</groupName>
      <ability>L2_Consistency</ability>
      <abilityName>一致性检查</abilityName>
      <candidateList>
        <item>《钦州市粉尘涉爆生产安全事故应急预案》</item>
      </candidateList>
      <explain>实体一致性：在1.6.1中提到与《钦州市粉尘涉爆生产安全事故应急预案》相衔接，而前文出现的《钦州市粉尘爆炸生产安全事故应急预案》与之表述不一致，应统一为《钦州市粉尘涉爆生产安全事故应急预案》</explain>
      <paraID> 49F1130</paraID>
      <start>4</start>
      <end>23</end>
      <status>unmodified</status>
      <modifiedWord/>
      <trackRevisions>false</trackRevisions>
    </reviewItem>
    <reviewItem>
      <errorID>229b5fd1-b433-4a26-8194-5b6cbf9a3fb9</errorID>
      <errorWord>区级的</errorWord>
      <group>L1_Word</group>
      <groupName>字词问题</groupName>
      <ability>L2_Typo</ability>
      <abilityName>字词错误</abilityName>
      <candidateList>
        <item>区级</item>
      </candidateList>
      <explain/>
      <paraID>41CEC316</paraID>
      <start>91</start>
      <end>94</end>
      <status>unmodified</status>
      <modifiedWord/>
      <trackRevisions>false</trackRevisions>
    </reviewItem>
    <reviewItem>
      <errorID>14633947-217c-40c7-88a1-500bc3e2cc38</errorID>
      <errorWord>体现了</errorWord>
      <group>L1_Word</group>
      <groupName>字词问题</groupName>
      <ability>L2_Typo</ability>
      <abilityName>字词错误</abilityName>
      <candidateList>
        <item>具有</item>
      </candidateList>
      <explain/>
      <paraID>41CEC316</paraID>
      <start>120</start>
      <end>123</end>
      <status>unmodified</status>
      <modifiedWord/>
      <trackRevisions>false</trackRevisions>
    </reviewItem>
    <reviewItem>
      <errorID>9c404e4a-2a32-4386-a921-514afc3d6356</errorID>
      <errorWord>所编制的预案</errorWord>
      <group>L1_Grammar</group>
      <groupName>语法问题</groupName>
      <ability>L2_Grammar</ability>
      <abilityName>语法错误</abilityName>
      <candidateList>
        <item>应</item>
      </candidateList>
      <explain/>
      <paraID>181E89C1</paraID>
      <start>43</start>
      <end>49</end>
      <status>unmodified</status>
      <modifiedWord/>
      <trackRevisions>false</trackRevisions>
    </reviewItem>
    <reviewItem>
      <errorID>f97fa254-f477-4327-aeaa-0a8e7796c3d6</errorID>
      <errorWord>指 挥 </errorWord>
      <group>L1_Grammar</group>
      <groupName>语法问题</groupName>
      <ability>L2_Grammar</ability>
      <abilityName>语法错误</abilityName>
      <candidateList>
        <item>指挥</item>
      </candidateList>
      <explain/>
      <paraID>1AF50548</paraID>
      <start>0</start>
      <end>4</end>
      <status>unmodified</status>
      <modifiedWord/>
      <trackRevisions>false</trackRevisions>
    </reviewItem>
    <reviewItem>
      <errorID>665bf80a-21db-4ef6-8a28-330ea4a25650</errorID>
      <errorWord>区</errorWord>
      <group>L1_Word</group>
      <groupName>字词问题</groupName>
      <ability>L2_Typo</ability>
      <abilityName>字词错误</abilityName>
      <candidateList>
        <item> 区</item>
      </candidateList>
      <explain/>
      <paraID>  C15336</paraID>
      <start>3</start>
      <end>4</end>
      <status>unmodified</status>
      <modifiedWord/>
      <trackRevisions>false</trackRevisions>
    </reviewItem>
    <reviewItem>
      <errorID>321f1a54-250b-482f-be1d-02d01307d0cd</errorID>
      <errorWord> </errorWord>
      <group>L1_Punc</group>
      <groupName>标点问题</groupName>
      <ability>L2_Punc</ability>
      <abilityName>标点符号检查</abilityName>
      <candidateList>
        <item/>
      </candidateList>
      <explain>此处空格冗余，建议删除。</explain>
      <paraID>24845743</paraID>
      <start>107</start>
      <end>108</end>
      <status>unmodified</status>
      <modifiedWord/>
      <trackRevisions>false</trackRevisions>
    </reviewItem>
    <reviewItem>
      <errorID>d3c6cf2e-4492-497d-a55b-03d7aa2c3bd6</errorID>
      <errorWord>；</errorWord>
      <group>L1_Punc</group>
      <groupName>标点问题</groupName>
      <ability>L2_Punc</ability>
      <abilityName>标点符号检查</abilityName>
      <candidateList>
        <item>，</item>
      </candidateList>
      <explain/>
      <paraID> 987CF32</paraID>
      <start>71</start>
      <end>72</end>
      <status>unmodified</status>
      <modifiedWord/>
      <trackRevisions>false</trackRevisions>
    </reviewItem>
    <reviewItem>
      <errorID>8f272c02-4089-4429-81d1-9a2cb14cbe3c</errorID>
      <errorWord>；</errorWord>
      <group>L1_Punc</group>
      <groupName>标点问题</groupName>
      <ability>L2_Punc</ability>
      <abilityName>标点符号检查</abilityName>
      <candidateList>
        <item>，</item>
      </candidateList>
      <explain/>
      <paraID>437EAB33</paraID>
      <start>72</start>
      <end>73</end>
      <status>unmodified</status>
      <modifiedWord/>
      <trackRevisions>false</trackRevisions>
    </reviewItem>
    <reviewItem>
      <errorID>c6c73efc-a5c9-4227-a6de-2e02f3f59bd5</errorID>
      <errorWord>；</errorWord>
      <group>L1_Punc</group>
      <groupName>标点问题</groupName>
      <ability>L2_Punc</ability>
      <abilityName>标点符号检查</abilityName>
      <candidateList>
        <item>，</item>
      </candidateList>
      <explain/>
      <paraID>437EAB33</paraID>
      <start>88</start>
      <end>89</end>
      <status>unmodified</status>
      <modifiedWord/>
      <trackRevisions>false</trackRevisions>
    </reviewItem>
    <reviewItem>
      <errorID>979b91d1-d256-4811-8047-c1c9175d73d5</errorID>
      <errorWord>；</errorWord>
      <group>L1_Punc</group>
      <groupName>标点问题</groupName>
      <ability>L2_Punc</ability>
      <abilityName>标点符号检查</abilityName>
      <candidateList>
        <item>，</item>
      </candidateList>
      <explain/>
      <paraID>437EAB33</paraID>
      <start>105</start>
      <end>106</end>
      <status>unmodified</status>
      <modifiedWord/>
      <trackRevisions>false</trackRevisions>
    </reviewItem>
    <reviewItem>
      <errorID>92c9c715-aeee-489e-bcd5-bfed85eb6842</errorID>
      <errorWord>；</errorWord>
      <group>L1_Punc</group>
      <groupName>标点问题</groupName>
      <ability>L2_Punc</ability>
      <abilityName>标点符号检查</abilityName>
      <candidateList>
        <item>，</item>
      </candidateList>
      <explain/>
      <paraID>437EAB33</paraID>
      <start>138</start>
      <end>139</end>
      <status>unmodified</status>
      <modifiedWord/>
      <trackRevisions>false</trackRevisions>
    </reviewItem>
    <reviewItem>
      <errorID>03b7acfd-3396-4591-889d-7787be648c9d</errorID>
      <errorWord>；</errorWord>
      <group>L1_Punc</group>
      <groupName>标点问题</groupName>
      <ability>L2_Punc</ability>
      <abilityName>标点符号检查</abilityName>
      <candidateList>
        <item>，</item>
      </candidateList>
      <explain/>
      <paraID>59F06AA9</paraID>
      <start>90</start>
      <end>91</end>
      <status>unmodified</status>
      <modifiedWord/>
      <trackRevisions>false</trackRevisions>
    </reviewItem>
    <reviewItem>
      <errorID>04547a2f-e460-4bf3-85b0-32e15de09db5</errorID>
      <errorWord>、</errorWord>
      <group>L1_Punc</group>
      <groupName>标点问题</groupName>
      <ability>L2_Punc</ability>
      <abilityName>标点符号检查</abilityName>
      <candidateList>
        <item>，</item>
      </candidateList>
      <explain/>
      <paraID>3E129C99</paraID>
      <start>83</start>
      <end>84</end>
      <status>unmodified</status>
      <modifiedWord/>
      <trackRevisions>false</trackRevisions>
    </reviewItem>
    <reviewItem>
      <errorID>4092c89d-e12b-4132-96e2-57ebf35ec7c2</errorID>
      <errorWord>现场</errorWord>
      <group>L1_Grammar</group>
      <groupName>语法问题</groupName>
      <ability>L2_Grammar</ability>
      <abilityName>语法错误</abilityName>
      <candidateList>
        <item>负责现场</item>
      </candidateList>
      <explain/>
      <paraID>3E129C99</paraID>
      <start>176</start>
      <end>178</end>
      <status>unmodified</status>
      <modifiedWord/>
      <trackRevisions>false</trackRevisions>
    </reviewItem>
    <reviewItem>
      <errorID>5e32c274-703e-45b5-beee-65ca0db59722</errorID>
      <errorWord>；</errorWord>
      <group>L1_Punc</group>
      <groupName>标点问题</groupName>
      <ability>L2_Punc</ability>
      <abilityName>标点符号检查</abilityName>
      <candidateList>
        <item>，</item>
      </candidateList>
      <explain/>
      <paraID>1AF5169D</paraID>
      <start>90</start>
      <end>91</end>
      <status>unmodified</status>
      <modifiedWord/>
      <trackRevisions>false</trackRevisions>
    </reviewItem>
    <reviewItem>
      <errorID>d3e223ef-9d6f-47aa-9a57-eb2c6229b772</errorID>
      <errorWord>；</errorWord>
      <group>L1_Punc</group>
      <groupName>标点问题</groupName>
      <ability>L2_Punc</ability>
      <abilityName>标点符号检查</abilityName>
      <candidateList>
        <item>，</item>
      </candidateList>
      <explain/>
      <paraID>1AF5169D</paraID>
      <start>103</start>
      <end>104</end>
      <status>unmodified</status>
      <modifiedWord/>
      <trackRevisions>false</trackRevisions>
    </reviewItem>
    <reviewItem>
      <errorID>96d1c233-2dd4-4776-aac5-c14772c12864</errorID>
      <errorWord>部门等</errorWord>
      <group>L1_Word</group>
      <groupName>字词问题</groupName>
      <ability>L2_Typo</ability>
      <abilityName>字词错误</abilityName>
      <candidateList>
        <item>部门</item>
      </candidateList>
      <explain/>
      <paraID> B7CCE3D</paraID>
      <start>50</start>
      <end>52</end>
      <status>modified</status>
      <modifiedWord>部门</modifiedWord>
      <trackRevisions>false</trackRevisions>
    </reviewItem>
    <reviewItem>
      <errorID>6e430bc2-a217-45df-917e-552272e58b07</errorID>
      <errorWord>；</errorWord>
      <group>L1_Punc</group>
      <groupName>标点问题</groupName>
      <ability>L2_Punc</ability>
      <abilityName>标点符号检查</abilityName>
      <candidateList>
        <item>，</item>
      </candidateList>
      <explain/>
      <paraID> B7CCE3D</paraID>
      <start>79</start>
      <end>80</end>
      <status>unmodified</status>
      <modifiedWord/>
      <trackRevisions>false</trackRevisions>
    </reviewItem>
    <reviewItem>
      <errorID>be7456b7-cd3b-4518-a302-074f634a9de1</errorID>
      <errorWord>；</errorWord>
      <group>L1_Punc</group>
      <groupName>标点问题</groupName>
      <ability>L2_Punc</ability>
      <abilityName>标点符号检查</abilityName>
      <candidateList>
        <item>，</item>
      </candidateList>
      <explain/>
      <paraID> B7CCE3D</paraID>
      <start>88</start>
      <end>89</end>
      <status>unmodified</status>
      <modifiedWord/>
      <trackRevisions>false</trackRevisions>
    </reviewItem>
    <reviewItem>
      <errorID>9b0d7fd7-9504-4f63-9e81-f2ff3ae49001</errorID>
      <errorWord>；</errorWord>
      <group>L1_Punc</group>
      <groupName>标点问题</groupName>
      <ability>L2_Punc</ability>
      <abilityName>标点符号检查</abilityName>
      <candidateList>
        <item>，</item>
      </candidateList>
      <explain/>
      <paraID> B7CCE3D</paraID>
      <start>97</start>
      <end>98</end>
      <status>unmodified</status>
      <modifiedWord/>
      <trackRevisions>false</trackRevisions>
    </reviewItem>
    <reviewItem>
      <errorID>8f696c9e-d691-4dea-8f11-9cdb09c68a06</errorID>
      <errorWord>；</errorWord>
      <group>L1_Punc</group>
      <groupName>标点问题</groupName>
      <ability>L2_Punc</ability>
      <abilityName>标点符号检查</abilityName>
      <candidateList>
        <item>，</item>
      </candidateList>
      <explain/>
      <paraID> B7CCE3D</paraID>
      <start>111</start>
      <end>112</end>
      <status>unmodified</status>
      <modifiedWord/>
      <trackRevisions>false</trackRevisions>
    </reviewItem>
    <reviewItem>
      <errorID>9d466609-6c42-431c-8247-612dd8c88084</errorID>
      <errorWord>依托于</errorWord>
      <group>L1_Word</group>
      <groupName>字词问题</groupName>
      <ability>L2_Typo</ability>
      <abilityName>字词错误</abilityName>
      <candidateList>
        <item>依托</item>
      </candidateList>
      <explain/>
      <paraID>1312D84A</paraID>
      <start>19</start>
      <end>22</end>
      <status>unmodified</status>
      <modifiedWord/>
      <trackRevisions>false</trackRevisions>
    </reviewItem>
    <reviewItem>
      <errorID>55eb504a-a830-4172-be55-886bfcf28283</errorID>
      <errorWord>以及</errorWord>
      <group>L1_Word</group>
      <groupName>字词问题</groupName>
      <ability>L2_Typo</ability>
      <abilityName>字词错误</abilityName>
      <candidateList>
        <item>，</item>
      </candidateList>
      <explain/>
      <paraID>1312D84A</paraID>
      <start>34</start>
      <end>36</end>
      <status>unmodified</status>
      <modifiedWord/>
      <trackRevisions>false</trackRevisions>
    </reviewItem>
    <reviewItem>
      <errorID>3030f606-a4fc-4f5f-92af-d38a78038e56</errorID>
      <errorWord>；</errorWord>
      <group>L1_Punc</group>
      <groupName>标点问题</groupName>
      <ability>L2_Punc</ability>
      <abilityName>标点符号检查</abilityName>
      <candidateList>
        <item>，</item>
      </candidateList>
      <explain/>
      <paraID>1312D84A</paraID>
      <start>72</start>
      <end>73</end>
      <status>unmodified</status>
      <modifiedWord/>
      <trackRevisions>false</trackRevisions>
    </reviewItem>
    <reviewItem>
      <errorID>2a1e1d1e-9ff1-415e-a35e-f624a008cec7</errorID>
      <errorWord>；</errorWord>
      <group>L1_Punc</group>
      <groupName>标点问题</groupName>
      <ability>L2_Punc</ability>
      <abilityName>标点符号检查</abilityName>
      <candidateList>
        <item>，</item>
      </candidateList>
      <explain/>
      <paraID>1312D84A</paraID>
      <start>103</start>
      <end>104</end>
      <status>unmodified</status>
      <modifiedWord/>
      <trackRevisions>false</trackRevisions>
    </reviewItem>
    <reviewItem>
      <errorID>7d249ddd-01f8-41db-a6fa-28977188cfe8</errorID>
      <errorWord>；</errorWord>
      <group>L1_Punc</group>
      <groupName>标点问题</groupName>
      <ability>L2_Punc</ability>
      <abilityName>标点符号检查</abilityName>
      <candidateList>
        <item>，</item>
      </candidateList>
      <explain/>
      <paraID>1312D84A</paraID>
      <start>114</start>
      <end>115</end>
      <status>unmodified</status>
      <modifiedWord/>
      <trackRevisions>false</trackRevisions>
    </reviewItem>
    <reviewItem>
      <errorID>330f744d-aef0-4607-8a59-ecfc792d23d4</errorID>
      <errorWord>料</errorWord>
      <group>L1_Word</group>
      <groupName>字词问题</groupName>
      <ability>L2_Typo</ability>
      <abilityName>字词错误</abilityName>
      <candidateList>
        <item>料和</item>
      </candidateList>
      <explain/>
      <paraID>5AA76224</paraID>
      <start>115</start>
      <end>116</end>
      <status>unmodified</status>
      <modifiedWord/>
      <trackRevisions>false</trackRevisions>
    </reviewItem>
    <reviewItem>
      <errorID>1ca047a4-e673-4f70-a87c-a14f7657dfd4</errorID>
      <errorWord>；</errorWord>
      <group>L1_Punc</group>
      <groupName>标点问题</groupName>
      <ability>L2_Punc</ability>
      <abilityName>标点符号检查</abilityName>
      <candidateList>
        <item>。</item>
      </candidateList>
      <explain/>
      <paraID>5AA76224</paraID>
      <start>156</start>
      <end>157</end>
      <status>unmodified</status>
      <modifiedWord/>
      <trackRevisions>false</trackRevisions>
    </reviewItem>
    <reviewItem>
      <errorID>a128afc3-bca6-4ef7-9909-6500238de078</errorID>
      <errorWord>向</errorWord>
      <group>L1_Punc</group>
      <groupName>标点问题</groupName>
      <ability>L2_Punc</ability>
      <abilityName>标点符号检查</abilityName>
      <candidateList>
        <item>，向</item>
      </candidateList>
      <explain/>
      <paraID>5AA76224</paraID>
      <start>173</start>
      <end>174</end>
      <status>unmodified</status>
      <modifiedWord/>
      <trackRevisions>false</trackRevisions>
    </reviewItem>
    <reviewItem>
      <errorID>493af2ff-30e3-4043-ba4d-911a21beddf6</errorID>
      <errorWord>后</errorWord>
      <group>L1_Punc</group>
      <groupName>标点问题</groupName>
      <ability>L2_Punc</ability>
      <abilityName>标点符号检查</abilityName>
      <candidateList>
        <item>，后</item>
      </candidateList>
      <explain/>
      <paraID>6413EFA7</paraID>
      <start>76</start>
      <end>77</end>
      <status>unmodified</status>
      <modifiedWord/>
      <trackRevisions>false</trackRevisions>
    </reviewItem>
    <reviewItem>
      <errorID>6ad8774f-2b47-41c7-9a86-8220f9c76ae6</errorID>
      <errorWord>以上</errorWord>
      <group>L1_Word</group>
      <groupName>字词问题</groupName>
      <ability>L2_Typo</ability>
      <abilityName>字词错误</abilityName>
      <candidateList>
        <item>及以上</item>
      </candidateList>
      <explain/>
      <paraID>2B51A56A</paraID>
      <start>83</start>
      <end>85</end>
      <status>unmodified</status>
      <modifiedWord/>
      <trackRevisions>false</trackRevisions>
    </reviewItem>
    <reviewItem>
      <errorID>f0b58af1-d29b-4a59-919c-fad07bed80b8</errorID>
      <errorWord>或</errorWord>
      <group>L1_Punc</group>
      <groupName>标点问题</groupName>
      <ability>L2_Punc</ability>
      <abilityName>标点符号检查</abilityName>
      <candidateList>
        <item>，或</item>
      </candidateList>
      <explain/>
      <paraID>3EAB0066</paraID>
      <start>9</start>
      <end>10</end>
      <status>unmodified</status>
      <modifiedWord/>
      <trackRevisions>false</trackRevisions>
    </reviewItem>
    <reviewItem>
      <errorID>6e2d8f80-3210-4e94-9bbd-4a35d6b58a7c</errorID>
      <errorWord>要</errorWord>
      <group>L1_Punc</group>
      <groupName>标点问题</groupName>
      <ability>L2_Punc</ability>
      <abilityName>标点符号检查</abilityName>
      <candidateList>
        <item>，要</item>
      </candidateList>
      <explain/>
      <paraID>3EAB0066</paraID>
      <start>28</start>
      <end>29</end>
      <status>unmodified</status>
      <modifiedWord/>
      <trackRevisions>false</trackRevisions>
    </reviewItem>
    <reviewItem>
      <errorID>6104ed18-d162-48a4-b502-f7ce5f8944c0</errorID>
      <errorWord>，</errorWord>
      <group>L1_Punc</group>
      <groupName>标点问题</groupName>
      <ability>L2_Punc</ability>
      <abilityName>标点符号检查</abilityName>
      <candidateList>
        <item>。</item>
      </candidateList>
      <explain/>
      <paraID>3EAB0066</paraID>
      <start>33</start>
      <end>34</end>
      <status>unmodified</status>
      <modifiedWord/>
      <trackRevisions>false</trackRevisions>
    </reviewItem>
    <reviewItem>
      <errorID>3db984a0-5299-4cd8-97ea-201f20853565</errorID>
      <errorWord>以上</errorWord>
      <group>L1_Word</group>
      <groupName>字词问题</groupName>
      <ability>L2_Typo</ability>
      <abilityName>字词错误</abilityName>
      <candidateList>
        <item>及以上</item>
      </candidateList>
      <explain/>
      <paraID>3EAB0066</paraID>
      <start>36</start>
      <end>38</end>
      <status>unmodified</status>
      <modifiedWord/>
      <trackRevisions>false</trackRevisions>
    </reviewItem>
    <reviewItem>
      <errorID>4a289636-ae40-43ac-9918-e01f2be91f32</errorID>
      <errorWord>等内容</errorWord>
      <group>L1_Grammar</group>
      <groupName>语法问题</groupName>
      <ability>L2_Grammar</ability>
      <abilityName>语法错误</abilityName>
      <candidateList>
        <item>等</item>
      </candidateList>
      <explain/>
      <paraID>60DEA5BA</paraID>
      <start>117</start>
      <end>120</end>
      <status>unmodified</status>
      <modifiedWord/>
      <trackRevisions>false</trackRevisions>
    </reviewItem>
    <reviewItem>
      <errorID>fc7f133c-715d-4fe0-9c78-7a1b19fac6f5</errorID>
      <errorWord>由</errorWord>
      <group>L1_Punc</group>
      <groupName>标点问题</groupName>
      <ability>L2_Punc</ability>
      <abilityName>标点符号检查</abilityName>
      <candidateList>
        <item>，由</item>
      </candidateList>
      <explain/>
      <paraID>4D4521FB</paraID>
      <start>8</start>
      <end>9</end>
      <status>unmodified</status>
      <modifiedWord/>
      <trackRevisions>false</trackRevisions>
    </reviewItem>
    <reviewItem>
      <errorID>2cb19e59-ad98-4fb8-937e-15ae966ea407</errorID>
      <errorWord>Ⅱ</errorWord>
      <group>L1_Grammar</group>
      <groupName>语法问题</groupName>
      <ability>L2_Grammar</ability>
      <abilityName>语法错误</abilityName>
      <candidateList>
        <item>启动Ⅱ</item>
      </candidateList>
      <explain/>
      <paraID>7A392E81</paraID>
      <start>0</start>
      <end>1</end>
      <status>unmodified</status>
      <modifiedWord/>
      <trackRevisions>false</trackRevisions>
    </reviewItem>
    <reviewItem>
      <errorID>1cbe673a-d2e6-484f-8987-a1588fc341dd</errorID>
      <errorWord>由</errorWord>
      <group>L1_Punc</group>
      <groupName>标点问题</groupName>
      <ability>L2_Punc</ability>
      <abilityName>标点符号检查</abilityName>
      <candidateList>
        <item>，由</item>
      </candidateList>
      <explain/>
      <paraID>7A392E81</paraID>
      <start>6</start>
      <end>7</end>
      <status>unmodified</status>
      <modifiedWord/>
      <trackRevisions>false</trackRevisions>
    </reviewItem>
    <reviewItem>
      <errorID>c0cb4a12-6b00-44eb-984b-ea46d61f72ac</errorID>
      <errorWord>Ⅲ</errorWord>
      <group>L1_Grammar</group>
      <groupName>语法问题</groupName>
      <ability>L2_Grammar</ability>
      <abilityName>语法错误</abilityName>
      <candidateList>
        <item>启动Ⅲ</item>
      </candidateList>
      <explain/>
      <paraID>1AB2F8EE</paraID>
      <start>0</start>
      <end>1</end>
      <status>unmodified</status>
      <modifiedWord/>
      <trackRevisions>false</trackRevisions>
    </reviewItem>
    <reviewItem>
      <errorID>963aee1c-0d45-484f-aa26-c237c332df02</errorID>
      <errorWord>由</errorWord>
      <group>L1_Punc</group>
      <groupName>标点问题</groupName>
      <ability>L2_Punc</ability>
      <abilityName>标点符号检查</abilityName>
      <candidateList>
        <item>，由</item>
      </candidateList>
      <explain/>
      <paraID>1AB2F8EE</paraID>
      <start>6</start>
      <end>7</end>
      <status>unmodified</status>
      <modifiedWord/>
      <trackRevisions>false</trackRevisions>
    </reviewItem>
    <reviewItem>
      <errorID>4b2e1ab7-e633-4790-8fd4-25ebd9011555</errorID>
      <errorWord>Ⅳ</errorWord>
      <group>L1_Grammar</group>
      <groupName>语法问题</groupName>
      <ability>L2_Grammar</ability>
      <abilityName>语法错误</abilityName>
      <candidateList>
        <item>启动Ⅳ</item>
      </candidateList>
      <explain/>
      <paraID>3D541ABC</paraID>
      <start>0</start>
      <end>1</end>
      <status>unmodified</status>
      <modifiedWord/>
      <trackRevisions>false</trackRevisions>
    </reviewItem>
    <reviewItem>
      <errorID>dd302bef-967f-45cb-bb5d-b3749f8f0fe4</errorID>
      <errorWord>由</errorWord>
      <group>L1_Punc</group>
      <groupName>标点问题</groupName>
      <ability>L2_Punc</ability>
      <abilityName>标点符号检查</abilityName>
      <candidateList>
        <item>，由</item>
      </candidateList>
      <explain/>
      <paraID>3D541ABC</paraID>
      <start>6</start>
      <end>7</end>
      <status>unmodified</status>
      <modifiedWord/>
      <trackRevisions>false</trackRevisions>
    </reviewItem>
    <reviewItem>
      <errorID>8c320069-f28d-4ea3-b206-1b885e593f06</errorID>
      <errorWord>和</errorWord>
      <group>L1_Word</group>
      <groupName>字词问题</groupName>
      <ability>L2_Typo</ability>
      <abilityName>字词错误</abilityName>
      <candidateList>
        <item>或</item>
      </candidateList>
      <explain/>
      <paraID>74E95243</paraID>
      <start>10</start>
      <end>11</end>
      <status>modified</status>
      <modifiedWord>或</modifiedWord>
      <trackRevisions>false</trackRevisions>
    </reviewItem>
    <reviewItem>
      <errorID>e2f319fb-d955-45c5-823d-fe137f333dae</errorID>
      <errorWord>安全事故灾难</errorWord>
      <group>L1_Grammar</group>
      <groupName>语法问题</groupName>
      <ability>L2_Grammar</ability>
      <abilityName>语法错误</abilityName>
      <candidateList>
        <item>安全事故</item>
      </candidateList>
      <explain/>
      <paraID>7167AAB3</paraID>
      <start>11</start>
      <end>17</end>
      <status>unmodified</status>
      <modifiedWord/>
      <trackRevisions>false</trackRevisions>
    </reviewItem>
    <reviewItem>
      <errorID>22dadcc9-67b2-4beb-a1bf-f76281cc812d</errorID>
      <errorWord>；</errorWord>
      <group>L1_Punc</group>
      <groupName>标点问题</groupName>
      <ability>L2_Punc</ability>
      <abilityName>标点符号检查</abilityName>
      <candidateList>
        <item>，</item>
      </candidateList>
      <explain/>
      <paraID>387D02C6</paraID>
      <start>40</start>
      <end>41</end>
      <status>unmodified</status>
      <modifiedWord/>
      <trackRevisions>false</trackRevisions>
    </reviewItem>
    <reviewItem>
      <errorID>79c65bf0-803f-40ad-89b6-a341e498d30e</errorID>
      <errorWord>；</errorWord>
      <group>L1_Punc</group>
      <groupName>标点问题</groupName>
      <ability>L2_Punc</ability>
      <abilityName>标点符号检查</abilityName>
      <candidateList>
        <item>，</item>
      </candidateList>
      <explain/>
      <paraID>387D02C6</paraID>
      <start>59</start>
      <end>60</end>
      <status>unmodified</status>
      <modifiedWord/>
      <trackRevisions>false</trackRevisions>
    </reviewItem>
    <reviewItem>
      <errorID>6e386185-2cc8-46c6-bd3a-8c7a3894d4f5</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5CF0D75D</paraID>
      <start>28</start>
      <end>29</end>
      <status>modified</status>
      <modifiedWord>或</modifiedWord>
      <trackRevisions>false</trackRevisions>
    </reviewItem>
    <reviewItem>
      <errorID>a60719d5-0dee-480a-8000-1eae22628709</errorID>
      <errorWord>社会治安工作</errorWord>
      <group>L1_Grammar</group>
      <groupName>语法问题</groupName>
      <ability>L2_Grammar</ability>
      <abilityName>语法错误</abilityName>
      <candidateList>
        <item>社会治安</item>
      </candidateList>
      <explain/>
      <paraID>61A94E48</paraID>
      <start>18</start>
      <end>24</end>
      <status>unmodified</status>
      <modifiedWord/>
      <trackRevisions>false</trackRevisions>
    </reviewItem>
    <reviewItem>
      <errorID>c7136313-152a-4895-8691-3176578cc217</errorID>
      <errorWord>一般涉爆粉尘生产安全事故</errorWord>
      <group>L1_Other</group>
      <groupName>其他问题</groupName>
      <ability>L2_Consistency</ability>
      <abilityName>一致性检查</abilityName>
      <candidateList>
        <item>一般粉尘涉爆生产安全事故</item>
      </candidateList>
      <explain>术语一致性：全文多处使用‘一般粉尘涉爆生产安全事故’，此处‘一般涉爆粉尘生产安全事故’表述与之不一致，应统一为‘一般粉尘涉爆生产安全事故’</explain>
      <paraID>6DACF462</paraID>
      <start>0</start>
      <end>12</end>
      <status>unmodified</status>
      <modifiedWord/>
      <trackRevisions>false</trackRevisions>
    </reviewItem>
    <reviewItem>
      <errorID>d68e7ceb-d2bb-4fec-be4d-6914cedfbaba</errorID>
      <errorWord>救援开展先期</errorWord>
      <group>L1_Word</group>
      <groupName>字词问题</groupName>
      <ability>L2_Typo</ability>
      <abilityName>字词错误</abilityName>
      <candidateList>
        <item>开展先期救援</item>
      </candidateList>
      <explain/>
      <paraID>2DFA92E9</paraID>
      <start>106</start>
      <end>112</end>
      <status>modified</status>
      <modifiedWord>开展先期救援</modifiedWord>
      <trackRevisions>false</trackRevisions>
    </reviewItem>
    <reviewItem>
      <errorID>5a07d62b-887f-4ef1-a513-109fdcb72fd3</errorID>
      <errorWord>有关</errorWord>
      <group>L1_Grammar</group>
      <groupName>语法问题</groupName>
      <ability>L2_Grammar</ability>
      <abilityName>语法错误</abilityName>
      <candidateList>
        <item>确保有关</item>
      </candidateList>
      <explain/>
      <paraID>7281B596</paraID>
      <start>33</start>
      <end>35</end>
      <status>unmodified</status>
      <modifiedWord/>
      <trackRevisions>false</trackRevisions>
    </reviewItem>
    <reviewItem>
      <errorID>0f19090c-ed63-44cf-b8ea-614e7fff3ae8</errorID>
      <errorWord>切实能够</errorWord>
      <group>L1_Word</group>
      <groupName>字词问题</groupName>
      <ability>L2_Typo</ability>
      <abilityName>字词错误</abilityName>
      <candidateList>
        <item>能够切实</item>
      </candidateList>
      <explain/>
      <paraID>7281B596</paraID>
      <start>37</start>
      <end>41</end>
      <status>unmodified</status>
      <modifiedWord/>
      <trackRevisions>false</trackRevisions>
    </reviewItem>
    <reviewItem>
      <errorID>97e903e7-aa29-4935-84a1-6137b048f4e9</errorID>
      <errorWord>有效畅通</errorWord>
      <group>L1_Grammar</group>
      <groupName>语法问题</groupName>
      <ability>L2_Grammar</ability>
      <abilityName>语法错误</abilityName>
      <candidateList>
        <item>有效</item>
      </candidateList>
      <explain/>
      <paraID>7281B596</paraID>
      <start>57</start>
      <end>61</end>
      <status>unmodified</status>
      <modifiedWord/>
      <trackRevisions>false</trackRevisions>
    </reviewItem>
    <reviewItem>
      <errorID>a746f560-f196-4d76-9e49-aec4d450c47e</errorID>
      <errorWord>通讯</errorWord>
      <group>L1_Word</group>
      <groupName>字词问题</groupName>
      <ability>L2_Typo</ability>
      <abilityName>字词错误</abilityName>
      <candidateList>
        <item>通信</item>
      </candidateList>
      <explain/>
      <paraID>341D2D49</paraID>
      <start>38</start>
      <end>40</end>
      <status>unmodified</status>
      <modifiedWord/>
      <trackRevisions>false</trackRevisions>
    </reviewItem>
    <reviewItem>
      <errorID>389337b3-ed9d-48c3-8ceb-d96bfb3aeede</errorID>
      <errorWord>，</errorWord>
      <group>L1_Punc</group>
      <groupName>标点问题</groupName>
      <ability>L2_Punc</ability>
      <abilityName>标点符号检查</abilityName>
      <candidateList>
        <item/>
      </candidateList>
      <explain/>
      <paraID>73A07A5B</paraID>
      <start>11</start>
      <end>12</end>
      <status>unmodified</status>
      <modifiedWord/>
      <trackRevisions>false</trackRevisions>
    </reviewItem>
    <reviewItem>
      <errorID>9c591c5c-86c3-4b17-a866-0e33b137a14e</errorID>
      <errorWord>保障在</errorWord>
      <group>L1_Word</group>
      <groupName>字词问题</groupName>
      <ability>L2_Typo</ability>
      <abilityName>字词错误</abilityName>
      <candidateList>
        <item>保障</item>
      </candidateList>
      <explain/>
      <paraID>73A07A5B</paraID>
      <start>25</start>
      <end>28</end>
      <status>unmodified</status>
      <modifiedWord/>
      <trackRevisions>false</trackRevisions>
    </reviewItem>
    <reviewItem>
      <errorID>bcae4e30-6439-43d4-8229-894051b593f7</errorID>
      <errorWord>供电保障</errorWord>
      <group>L1_Grammar</group>
      <groupName>语法问题</groupName>
      <ability>L2_Grammar</ability>
      <abilityName>语法错误</abilityName>
      <candidateList>
        <item>供电</item>
      </candidateList>
      <explain/>
      <paraID>73A07A5B</paraID>
      <start>38</start>
      <end>42</end>
      <status>unmodified</status>
      <modifiedWord/>
      <trackRevisions>false</trackRevisions>
    </reviewItem>
    <reviewItem>
      <errorID>080dd888-d2a1-4c1b-a2da-bec7f98c8642</errorID>
      <errorWord>，</errorWord>
      <group>L1_Word</group>
      <groupName>字词问题</groupName>
      <ability>L2_Typo</ability>
      <abilityName>字词错误</abilityName>
      <candidateList>
        <item>，以</item>
      </candidateList>
      <explain/>
      <paraID>58B1C491</paraID>
      <start>58</start>
      <end>59</end>
      <status>unmodified</status>
      <modifiedWord/>
      <trackRevisions>false</trackRevisions>
    </reviewItem>
    <reviewItem>
      <errorID>b71a1755-8d8d-4aec-942d-f4c7244c0179</errorID>
      <errorWord>学</errorWord>
      <group>L1_Word</group>
      <groupName>字词问题</groupName>
      <ability>L2_Typo</ability>
      <abilityName>字词错误</abilityName>
      <candidateList>
        <item>电气</item>
      </candidateList>
      <explain/>
      <paraID> 1BCD72D</paraID>
      <start>3</start>
      <end>4</end>
      <status>unmodified</status>
      <modifiedWord/>
      <trackRevisions>false</trackRevisions>
    </reviewItem>
    <reviewItem>
      <errorID>f7f8a97a-0d8a-4060-90f7-8616d31536df</errorID>
      <errorWord>粉尘</errorWord>
      <group>L1_Word</group>
      <groupName>字词问题</groupName>
      <ability>L2_Typo</ability>
      <abilityName>字词错误</abilityName>
      <candidateList>
        <item>当粉尘</item>
      </candidateList>
      <explain/>
      <paraID>7F3E3552</paraID>
      <start>38</start>
      <end>40</end>
      <status>unmodified</status>
      <modifiedWord/>
      <trackRevisions>false</trackRevisions>
    </reviewItem>
    <reviewItem>
      <errorID>b50026c7-787d-4eea-8344-1ba30787afad</errorID>
      <errorWord>的</errorWord>
      <group>L1_Word</group>
      <groupName>字词问题</groupName>
      <ability>L2_Typo</ability>
      <abilityName>字词错误</abilityName>
      <candidateList>
        <item>地</item>
      </candidateList>
      <explain/>
      <paraID>66E310C8</paraID>
      <start>74</start>
      <end>75</end>
      <status>unmodified</status>
      <modifiedWord/>
      <trackRevisions>false</trackRevisions>
    </reviewItem>
    <reviewItem>
      <errorID>c8160ded-ba99-445e-895b-a6a06067c2d4</errorID>
      <errorWord>，</errorWord>
      <group>L1_Punc</group>
      <groupName>标点问题</groupName>
      <ability>L2_Punc</ability>
      <abilityName>标点符号检查</abilityName>
      <candidateList>
        <item>、</item>
      </candidateList>
      <explain/>
      <paraID>19DCCAA3</paraID>
      <start>6</start>
      <end>7</end>
      <status>unmodified</status>
      <modifiedWord/>
      <trackRevisions>false</trackRevisions>
    </reviewItem>
    <reviewItem>
      <errorID>ac89c198-b15c-4c52-abd1-04525bdc0546</errorID>
      <errorWord>，</errorWord>
      <group>L1_Word</group>
      <groupName>字词问题</groupName>
      <ability>L2_Typo</ability>
      <abilityName>字词错误</abilityName>
      <candidateList>
        <item>应</item>
      </candidateList>
      <explain/>
      <paraID>19DCCAA3</paraID>
      <start>11</start>
      <end>12</end>
      <status>unmodified</status>
      <modifiedWord/>
      <trackRevisions>false</trackRevisions>
    </reviewItem>
    <reviewItem>
      <errorID>eaf48231-adec-4c77-a78d-d34c04564fb6</errorID>
      <errorWord>，</errorWord>
      <group>L1_Punc</group>
      <groupName>标点问题</groupName>
      <ability>L2_Punc</ability>
      <abilityName>标点符号检查</abilityName>
      <candidateList>
        <item>、</item>
      </candidateList>
      <explain/>
      <paraID>19DCCAA3</paraID>
      <start>32</start>
      <end>33</end>
      <status>unmodified</status>
      <modifiedWord/>
      <trackRevisions>false</trackRevisions>
    </reviewItem>
    <reviewItem>
      <errorID>692b8473-bcef-4ee8-855a-353742e3d771</errorID>
      <errorWord>，</errorWord>
      <group>L1_Punc</group>
      <groupName>标点问题</groupName>
      <ability>L2_Punc</ability>
      <abilityName>标点符号检查</abilityName>
      <candidateList>
        <item>、</item>
      </candidateList>
      <explain/>
      <paraID>19DCCAA3</paraID>
      <start>35</start>
      <end>36</end>
      <status>unmodified</status>
      <modifiedWord/>
      <trackRevisions>false</trackRevisions>
    </reviewItem>
    <reviewItem>
      <errorID>82da0213-7443-424f-8680-b7ba96af7152</errorID>
      <errorWord>控制</errorWord>
      <group>L1_Word</group>
      <groupName>字词问题</groupName>
      <ability>L2_Typo</ability>
      <abilityName>字词错误</abilityName>
      <candidateList>
        <item>对控制</item>
      </candidateList>
      <explain/>
      <paraID>4C3B5F3D</paraID>
      <start>2</start>
      <end>4</end>
      <status>unmodified</status>
      <modifiedWord/>
      <trackRevisions>false</trackRevisions>
    </reviewItem>
    <reviewItem>
      <errorID>10fd9471-e0ad-404a-8e09-e7fa42af8a69</errorID>
      <errorWord>场所</errorWord>
      <group>L1_Word</group>
      <groupName>字词问题</groupName>
      <ability>L2_Typo</ability>
      <abilityName>字词错误</abilityName>
      <candidateList>
        <item>的场所</item>
      </candidateList>
      <explain/>
      <paraID>4C3B5F3D</paraID>
      <start>6</start>
      <end>9</end>
      <status>modified</status>
      <modifiedWord>的场所</modifiedWord>
      <trackRevisions>false</trackRevisions>
    </reviewItem>
    <reviewItem>
      <errorID>92828234-3a06-42a4-96af-78cfdd8ea608</errorID>
      <errorWord>依</errorWord>
      <group>L1_Word</group>
      <groupName>字词问题</groupName>
      <ability>L2_Typo</ability>
      <abilityName>字词错误</abilityName>
      <candidateList>
        <item>依据</item>
      </candidateList>
      <explain/>
      <paraID>7E717183</paraID>
      <start>38</start>
      <end>39</end>
      <status>unmodified</status>
      <modifiedWord/>
      <trackRevisions>false</trackRevisions>
    </reviewItem>
    <reviewItem>
      <errorID>81f3b8d6-4ae4-4784-8495-41ddf7793650</errorID>
      <errorWord>和</errorWord>
      <group>L1_Word</group>
      <groupName>字词问题</groupName>
      <ability>L2_Typo</ability>
      <abilityName>字词错误</abilityName>
      <candidateList>
        <item>，</item>
      </candidateList>
      <explain/>
      <paraID>1B089DBA</paraID>
      <start>18</start>
      <end>19</end>
      <status>unmodified</status>
      <modifiedWord/>
      <trackRevisions>false</trackRevisions>
    </reviewItem>
    <reviewItem>
      <errorID>f0752ced-f9e1-4cc8-8be2-b0389be01ed1</errorID>
      <errorWord>、</errorWord>
      <group>L1_Punc</group>
      <groupName>标点问题</groupName>
      <ability>L2_Punc</ability>
      <abilityName>标点符号检查</abilityName>
      <candidateList>
        <item>，</item>
      </candidateList>
      <explain/>
      <paraID>1B089DBA</paraID>
      <start>73</start>
      <end>74</end>
      <status>unmodified</status>
      <modifiedWord/>
      <trackRevisions>false</trackRevisions>
    </reviewItem>
    <reviewItem>
      <errorID>b95cc221-04c8-44eb-ab8f-21110f8b0f84</errorID>
      <errorWord>，</errorWord>
      <group>L1_Punc</group>
      <groupName>标点问题</groupName>
      <ability>L2_Punc</ability>
      <abilityName>标点符号检查</abilityName>
      <candidateList>
        <item>。</item>
      </candidateList>
      <explain/>
      <paraID>12ECD3B9</paraID>
      <start>63</start>
      <end>64</end>
      <status>unmodified</status>
      <modifiedWord/>
      <trackRevisions>false</trackRevisions>
    </reviewItem>
    <reviewItem>
      <errorID>9187100b-4e3f-4532-936e-f20f73d4afa9</errorID>
      <errorWord>用</errorWord>
      <group>L1_Word</group>
      <groupName>字词问题</groupName>
      <ability>L2_Typo</ability>
      <abilityName>字词错误</abilityName>
      <candidateList>
        <item>应用</item>
      </candidateList>
      <explain/>
      <paraID>189C5F8C</paraID>
      <start>21</start>
      <end>23</end>
      <status>modified</status>
      <modifiedWord>应用</modifiedWord>
      <trackRevisions>false</trackRevisions>
    </reviewItem>
    <reviewItem>
      <errorID>624ca037-970e-477a-b133-0ce06972818a</errorID>
      <errorWord>有产生</errorWord>
      <group>L1_Grammar</group>
      <groupName>语法问题</groupName>
      <ability>L2_Grammar</ability>
      <abilityName>语法错误</abilityName>
      <candidateList>
        <item>有</item>
      </candidateList>
      <explain/>
      <paraID>189C5F8C</paraID>
      <start>52</start>
      <end>55</end>
      <status>unmodified</status>
      <modifiedWord/>
      <trackRevisions>false</trackRevisions>
    </reviewItem>
    <reviewItem>
      <errorID>5363720c-3a77-4b40-a162-c44c50092e6d</errorID>
      <errorWord>方式灭火</errorWord>
      <group>L1_Word</group>
      <groupName>字词问题</groupName>
      <ability>L2_Typo</ability>
      <abilityName>字词错误</abilityName>
      <candidateList>
        <item>灭火方式</item>
      </candidateList>
      <explain/>
      <paraID>189C5F8C</paraID>
      <start>59</start>
      <end>63</end>
      <status>unmodified</status>
      <modifiedWord/>
      <trackRevisions>false</trackRevisions>
    </reviewItem>
    <reviewItem>
      <errorID>49a4ea0b-e44f-46bb-a870-c56aac93f829</errorID>
      <errorWord>不能</errorWord>
      <group>L1_Word</group>
      <groupName>字词问题</groupName>
      <ability>L2_Typo</ability>
      <abilityName>字词错误</abilityName>
      <candidateList>
        <item>无法</item>
      </candidateList>
      <explain/>
      <paraID> 1BD2352</paraID>
      <start>7</start>
      <end>9</end>
      <status>modified</status>
      <modifiedWord>无法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25746-19a6-40c8-81e1-233966a9ed06}">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2026-04-13T09:42:00Z</dcterms:created>
  <dc:creator>鱼鱼</dc:creator>
  <cp:lastModifiedBy>鱼鱼</cp:lastModifiedBy>
  <dcterms:modified xsi:type="dcterms:W3CDTF">2026-04-13T09:48:08Z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55FC8B47EDC243868343337715815F15_11</vt:lpwstr>
  </property>
  <property fmtid="{D5CDD505-2E9C-101B-9397-08002B2CF9AE}" pid="4" name="KSOTemplateDocerSaveRecord">
    <vt:lpwstr>eyJoZGlkIjoiNGRmOWFlYWQ2MmNkNWI0MDkxZWM1YmU5YjNkMWVkNTQiLCJ1c2VySWQiOiI0NDU5Njc5OTEifQ==</vt:lpwstr>
  </property>
</Properties>
</file>