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0" w:rightChars="-162"/>
        <w:textAlignment w:val="auto"/>
        <w:rPr>
          <w:rFonts w:hint="default" w:ascii="Times New Roman" w:hAnsi="Times New Roman" w:eastAsia="黑体" w:cs="Times New Roman"/>
          <w:color w:val="000000"/>
          <w:spacing w:val="-8"/>
          <w:kern w:val="3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-8"/>
          <w:kern w:val="32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钦北区监测户特色产业项目分类奖补标准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tbl>
      <w:tblPr>
        <w:tblStyle w:val="4"/>
        <w:tblW w:w="152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561"/>
        <w:gridCol w:w="713"/>
        <w:gridCol w:w="1387"/>
        <w:gridCol w:w="1776"/>
        <w:gridCol w:w="4168"/>
        <w:gridCol w:w="1695"/>
        <w:gridCol w:w="30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产业名称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种植年限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单位补助标准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增加30%的单位补助标准</w:t>
            </w:r>
          </w:p>
        </w:tc>
        <w:tc>
          <w:tcPr>
            <w:tcW w:w="4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补助要求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单户奖补单位规模要求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2022年6月30日前单户奖补单位规模要求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优质稻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400元/亩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520元/亩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保持常规种植有效株数85%以上，水肥管理正常，无严重病虫害，水稻抛插后正常生长，验收时成活率达90%。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1亩以上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0.5亩以上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15元/羽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19.5元/羽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平均个体重1公斤以上或饲养日龄1个月以上，验收时成活率达90%。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30羽以上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15羽以上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猪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800元/头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1040元/头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平均个体重50公斤以上或饲养2个月以上，验收时成活率达90%。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牛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4000元/头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5200元/头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平均个体重200公斤以上或饲养6个月以上，验收时成活率达90%上。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1头以上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花生大豆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800元/亩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1040元/亩</w:t>
            </w:r>
          </w:p>
        </w:tc>
        <w:tc>
          <w:tcPr>
            <w:tcW w:w="4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保持常规种植有效株数85%以上，管理正常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少杂草，无严重病虫害，植株生长正常。验收时成活率达90%。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1亩以上（含）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0.5亩以上（含）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textAlignment w:val="auto"/>
      </w:pPr>
      <w:r>
        <w:rPr>
          <w:rFonts w:hint="default" w:ascii="Times New Roman" w:hAnsi="Times New Roman" w:eastAsia="仿宋_GB2312" w:cs="Times New Roman"/>
          <w:color w:val="000000"/>
          <w:spacing w:val="-6"/>
          <w:sz w:val="24"/>
          <w:szCs w:val="24"/>
        </w:rPr>
        <w:t>备注：种植类产业规模按照植株收获面积计算（不得将同一年内实施的项目进行重复申请奖补；种植类项目在同一地块每年种植两季农作物或符合条件的套种、间种，视为两个项目，养殖类项目参照执行）；养殖类产业规模按照存栏数计算（新购买的牛申请验收要求至少饲养2个月以上）；监测户不受扩大规模和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24"/>
          <w:szCs w:val="24"/>
        </w:rPr>
        <w:t>从劣变优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24"/>
          <w:szCs w:val="24"/>
        </w:rPr>
        <w:t>限制，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24"/>
          <w:szCs w:val="24"/>
          <w:lang w:eastAsia="zh-CN"/>
        </w:rPr>
        <w:t>但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24"/>
          <w:szCs w:val="24"/>
        </w:rPr>
        <w:t>必须是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24"/>
          <w:szCs w:val="24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24"/>
          <w:szCs w:val="24"/>
        </w:rPr>
        <w:t>年新发展的产业。从实施方案发布至2022年6月30日，执行疫情防控重点地区政策的奖补标准，脱贫户和监测户在3月31日前、4月1日至6月30日发展并通过验收的产业，对是否是今年新增的产业无要求。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A1070"/>
    <w:rsid w:val="5F5A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2022-05-20T00:42:00Z</dcterms:created>
  <dc:creator>张鹏</dc:creator>
  <cp:lastModifiedBy>张鹏</cp:lastModifiedBy>
  <dcterms:modified xsi:type="dcterms:W3CDTF">2022-05-20T00:43:49Z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