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E81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黑体" w:hAnsi="黑体" w:eastAsia="黑体" w:cs="黑体"/>
          <w:i w:val="0"/>
          <w:iCs w:val="0"/>
          <w:caps w:val="0"/>
          <w:color w:val="333333"/>
          <w:spacing w:val="0"/>
          <w:sz w:val="32"/>
          <w:szCs w:val="32"/>
          <w:shd w:val="clear" w:fill="FFFFFF"/>
          <w:lang w:val="en-US" w:eastAsia="zh-CN"/>
        </w:rPr>
      </w:pPr>
    </w:p>
    <w:p w14:paraId="4D0653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ascii="仿宋_GB2312" w:hAnsi="仿宋_GB2312" w:eastAsia="仿宋_GB2312" w:cs="仿宋_GB2312"/>
          <w:i w:val="0"/>
          <w:iCs w:val="0"/>
          <w:caps w:val="0"/>
          <w:color w:val="333333"/>
          <w:spacing w:val="0"/>
          <w:sz w:val="44"/>
          <w:szCs w:val="44"/>
          <w:shd w:val="clear" w:fill="FFFFFF"/>
        </w:rPr>
      </w:pPr>
      <w:bookmarkStart w:id="0" w:name="_GoBack"/>
      <w:r>
        <w:rPr>
          <w:rFonts w:hint="eastAsia" w:ascii="方正小标宋简体" w:hAnsi="方正小标宋简体" w:eastAsia="方正小标宋简体" w:cs="方正小标宋简体"/>
          <w:i w:val="0"/>
          <w:iCs w:val="0"/>
          <w:color w:val="333333"/>
          <w:spacing w:val="0"/>
          <w:sz w:val="44"/>
          <w:szCs w:val="44"/>
          <w:shd w:val="clear" w:fill="FFFFFF"/>
          <w:lang w:val="en-US" w:eastAsia="zh-CN"/>
        </w:rPr>
        <w:t>平吉镇</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2024年</w:t>
      </w:r>
      <w:r>
        <w:rPr>
          <w:rFonts w:hint="eastAsia" w:ascii="方正小标宋简体" w:hAnsi="方正小标宋简体" w:eastAsia="方正小标宋简体" w:cs="方正小标宋简体"/>
          <w:i w:val="0"/>
          <w:iCs w:val="0"/>
          <w:caps w:val="0"/>
          <w:color w:val="333333"/>
          <w:spacing w:val="0"/>
          <w:sz w:val="44"/>
          <w:szCs w:val="44"/>
          <w:shd w:val="clear" w:fill="FFFFFF"/>
        </w:rPr>
        <w:t>村（居）</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民委员会政务公开事项</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参考</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清单</w:t>
      </w:r>
    </w:p>
    <w:bookmarkEnd w:id="0"/>
    <w:p w14:paraId="725F5C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i w:val="0"/>
          <w:iCs w:val="0"/>
          <w:caps w:val="0"/>
          <w:color w:val="333333"/>
          <w:spacing w:val="0"/>
          <w:sz w:val="44"/>
          <w:szCs w:val="44"/>
          <w:shd w:val="clear" w:fill="FFFFFF"/>
        </w:rPr>
      </w:pPr>
    </w:p>
    <w:tbl>
      <w:tblPr>
        <w:tblStyle w:val="8"/>
        <w:tblW w:w="1423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17"/>
        <w:gridCol w:w="1079"/>
        <w:gridCol w:w="1363"/>
        <w:gridCol w:w="1137"/>
        <w:gridCol w:w="4150"/>
        <w:gridCol w:w="1700"/>
        <w:gridCol w:w="4088"/>
      </w:tblGrid>
      <w:tr w14:paraId="2E90A2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7" w:hRule="atLeast"/>
          <w:tblHeader/>
        </w:trPr>
        <w:tc>
          <w:tcPr>
            <w:tcW w:w="717" w:type="dxa"/>
            <w:vMerge w:val="restart"/>
            <w:tcBorders>
              <w:top w:val="single" w:color="auto" w:sz="8" w:space="0"/>
              <w:left w:val="single" w:color="auto" w:sz="8" w:space="0"/>
              <w:right w:val="single" w:color="auto" w:sz="8" w:space="0"/>
            </w:tcBorders>
            <w:shd w:val="clear" w:color="auto" w:fill="auto"/>
            <w:tcMar>
              <w:top w:w="57" w:type="dxa"/>
              <w:left w:w="57" w:type="dxa"/>
              <w:bottom w:w="57" w:type="dxa"/>
              <w:right w:w="57" w:type="dxa"/>
            </w:tcMar>
            <w:vAlign w:val="center"/>
          </w:tcPr>
          <w:p w14:paraId="7AD08A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sz w:val="24"/>
                <w:szCs w:val="24"/>
              </w:rPr>
              <w:t>序号</w:t>
            </w:r>
          </w:p>
        </w:tc>
        <w:tc>
          <w:tcPr>
            <w:tcW w:w="1079" w:type="dxa"/>
            <w:vMerge w:val="restart"/>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A362D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公开类别</w:t>
            </w:r>
          </w:p>
        </w:tc>
        <w:tc>
          <w:tcPr>
            <w:tcW w:w="2500" w:type="dxa"/>
            <w:gridSpan w:val="2"/>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73EF9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公开事项</w:t>
            </w:r>
          </w:p>
        </w:tc>
        <w:tc>
          <w:tcPr>
            <w:tcW w:w="415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1703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内容要求</w:t>
            </w:r>
          </w:p>
        </w:tc>
        <w:tc>
          <w:tcPr>
            <w:tcW w:w="170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A028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公开时限</w:t>
            </w:r>
          </w:p>
        </w:tc>
        <w:tc>
          <w:tcPr>
            <w:tcW w:w="4088"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7D369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公开渠道和载体</w:t>
            </w:r>
          </w:p>
        </w:tc>
      </w:tr>
      <w:tr w14:paraId="46A356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trPr>
        <w:tc>
          <w:tcPr>
            <w:tcW w:w="717"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3D463F6">
            <w:pPr>
              <w:spacing w:line="560" w:lineRule="exact"/>
              <w:jc w:val="center"/>
              <w:rPr>
                <w:rFonts w:hint="eastAsia" w:ascii="仿宋_GB2312" w:hAnsi="仿宋_GB2312" w:eastAsia="仿宋_GB2312" w:cs="仿宋_GB2312"/>
                <w:kern w:val="2"/>
                <w:sz w:val="24"/>
                <w:szCs w:val="24"/>
                <w:lang w:val="en-US" w:eastAsia="zh-CN" w:bidi="ar-SA"/>
              </w:rPr>
            </w:pPr>
          </w:p>
        </w:tc>
        <w:tc>
          <w:tcPr>
            <w:tcW w:w="1079" w:type="dxa"/>
            <w:vMerge w:val="continue"/>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CA37E60">
            <w:pPr>
              <w:spacing w:line="560" w:lineRule="exact"/>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72C8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一级</w:t>
            </w:r>
          </w:p>
          <w:p w14:paraId="5E0137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7B3E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二级</w:t>
            </w:r>
          </w:p>
          <w:p w14:paraId="4751E6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415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93046A3">
            <w:pPr>
              <w:spacing w:line="560" w:lineRule="exact"/>
              <w:rPr>
                <w:rFonts w:hint="eastAsia" w:ascii="仿宋_GB2312" w:hAnsi="仿宋_GB2312" w:eastAsia="仿宋_GB2312" w:cs="仿宋_GB2312"/>
                <w:sz w:val="24"/>
                <w:szCs w:val="24"/>
              </w:rPr>
            </w:pPr>
          </w:p>
        </w:tc>
        <w:tc>
          <w:tcPr>
            <w:tcW w:w="170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2676AC2">
            <w:pPr>
              <w:spacing w:line="560" w:lineRule="exact"/>
              <w:jc w:val="center"/>
              <w:rPr>
                <w:rFonts w:hint="eastAsia" w:ascii="仿宋_GB2312" w:hAnsi="仿宋_GB2312" w:eastAsia="仿宋_GB2312" w:cs="仿宋_GB2312"/>
                <w:sz w:val="24"/>
                <w:szCs w:val="24"/>
              </w:rPr>
            </w:pPr>
          </w:p>
        </w:tc>
        <w:tc>
          <w:tcPr>
            <w:tcW w:w="4088"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8B5BED3">
            <w:pPr>
              <w:spacing w:line="560" w:lineRule="exact"/>
              <w:rPr>
                <w:rFonts w:hint="eastAsia" w:ascii="仿宋_GB2312" w:hAnsi="仿宋_GB2312" w:eastAsia="仿宋_GB2312" w:cs="仿宋_GB2312"/>
                <w:sz w:val="24"/>
                <w:szCs w:val="24"/>
              </w:rPr>
            </w:pPr>
          </w:p>
        </w:tc>
      </w:tr>
      <w:tr w14:paraId="46AD86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20"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840B5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7038B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村（居）情概况</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1729D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村（居）情简介</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58BD3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069F0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）基本情况及特色信息。</w:t>
            </w:r>
          </w:p>
          <w:p w14:paraId="3B658A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5D907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2362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E6CCD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75F31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6C9C05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5AEF6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D0CDD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1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1C572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851D6A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AF23A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干部信息</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8B62E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BA19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发布村（居）委会和村（居）务监督委员会成员、分工、办公地址、联系方式等信息。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FA5B7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95146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0BC273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11EDC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w:t>
            </w:r>
          </w:p>
          <w:p w14:paraId="60E108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5E0FD9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E3314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7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FE961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3</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E370C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14:paraId="1E79F4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A697D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惠农政策</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533A9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722BE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发布各级党委、政府制定的惠农政策，包括卫生、医疗、义务教育、计划生育、保障</w:t>
            </w:r>
            <w:r>
              <w:rPr>
                <w:rFonts w:hint="eastAsia" w:ascii="仿宋_GB2312" w:hAnsi="仿宋_GB2312" w:eastAsia="仿宋_GB2312" w:cs="仿宋_GB2312"/>
                <w:sz w:val="24"/>
                <w:szCs w:val="24"/>
                <w:lang w:val="en-US" w:eastAsia="zh-CN"/>
              </w:rPr>
              <w:t>性</w:t>
            </w:r>
            <w:r>
              <w:rPr>
                <w:rFonts w:hint="eastAsia" w:ascii="仿宋_GB2312" w:hAnsi="仿宋_GB2312" w:eastAsia="仿宋_GB2312" w:cs="仿宋_GB2312"/>
                <w:sz w:val="24"/>
                <w:szCs w:val="24"/>
              </w:rPr>
              <w:t>住房、救灾、社会保险、社会救助等相关惠农政策。</w:t>
            </w:r>
          </w:p>
          <w:p w14:paraId="2168BA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E5FB3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E8297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90D5A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513B3A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17112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78A916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9A2C5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78"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5D3F7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4</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8FA5EE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0C4EF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法律宣传</w:t>
            </w:r>
          </w:p>
          <w:p w14:paraId="53F0AD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90237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D927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lang w:val="en-US" w:eastAsia="zh-CN"/>
              </w:rPr>
              <w:t>公</w:t>
            </w:r>
            <w:r>
              <w:rPr>
                <w:rFonts w:hint="eastAsia" w:ascii="仿宋_GB2312" w:hAnsi="仿宋_GB2312" w:eastAsia="仿宋_GB2312" w:cs="仿宋_GB2312"/>
                <w:sz w:val="24"/>
                <w:szCs w:val="24"/>
              </w:rPr>
              <w:t>布法律知识普及服务，推广法治文化服务等信息。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8F45D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A3406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■公示栏</w:t>
            </w:r>
          </w:p>
          <w:p w14:paraId="4D93AF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084A5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3A9C88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36391E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6E493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5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E1413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5</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0BF1D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22EF9A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1966D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CC9BE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174A6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）干部报酬标准及工资发放情况信息。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CA2BC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E60BD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DEB57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EEC46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16D21C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349BE6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965A6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C4211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6</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5E1B26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A046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w:t>
            </w:r>
          </w:p>
          <w:p w14:paraId="5BDF09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财务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F8E66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EED05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）年度财务计划；村（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）集体经济组织收入和支出；村（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）集体收益分配；村（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）集体债权债务；（村（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）财务公开事项不包含经营性的集体经济组织涉及的商业秘密）</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4D7CD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FED9B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D6C4B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23AC2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0848B8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68F656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0F4AE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6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356FF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7</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44C7C4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66D21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筹资筹劳</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50B37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79DA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“一事一议”筹资酬劳等信息。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727E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E275E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D780B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FDD21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6D23A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37FAE8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EE1A1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94"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AFFFD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8</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0897B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599F3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0849A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C9DE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5E007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37574F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6F2097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1CD21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CF871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9AB9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740A3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0FE42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66AA5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D6D7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8"/>
                <w:szCs w:val="28"/>
              </w:rPr>
            </w:pPr>
          </w:p>
          <w:p w14:paraId="38F5F3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79756B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E89CA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集体资产资源及交易</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BE86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2FF4F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1.村（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）集体各项资产、资金和资源处置</w:t>
            </w:r>
            <w:r>
              <w:rPr>
                <w:rFonts w:hint="eastAsia" w:ascii="仿宋_GB2312" w:hAnsi="仿宋_GB2312" w:eastAsia="仿宋_GB2312" w:cs="仿宋_GB2312"/>
                <w:sz w:val="24"/>
                <w:szCs w:val="24"/>
                <w:lang w:eastAsia="zh-CN"/>
              </w:rPr>
              <w:t>；</w:t>
            </w:r>
          </w:p>
          <w:p w14:paraId="7B6E9E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2.发布集体统一经营管理的林地经营权和林木所有权出让信息，包括：出让的林地经营权和林木所有权的基本情况、出让价格、出让期限等信息</w:t>
            </w:r>
            <w:r>
              <w:rPr>
                <w:rFonts w:hint="eastAsia" w:ascii="仿宋_GB2312" w:hAnsi="仿宋_GB2312" w:eastAsia="仿宋_GB2312" w:cs="仿宋_GB2312"/>
                <w:sz w:val="24"/>
                <w:szCs w:val="24"/>
                <w:lang w:eastAsia="zh-CN"/>
              </w:rPr>
              <w:t>；</w:t>
            </w:r>
          </w:p>
          <w:p w14:paraId="634882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3.农村集体土地经营权流转、农村集体经营性资产出租、农村集体资产股权转让、四荒（荒山、荒沟、荒丘、荒滩）地使用权流转公告及项目成交结果等信息。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CFC42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327EC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BAFF6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AD0A6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01A739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4E1450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1FCB4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3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A96E6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9</w:t>
            </w:r>
          </w:p>
        </w:tc>
        <w:tc>
          <w:tcPr>
            <w:tcW w:w="1079" w:type="dxa"/>
            <w:vMerge w:val="continue"/>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E4EBB0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29AF46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惠农补贴资金</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8701F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B3E07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高龄补贴、临时救助、医疗救助、困难儿童补贴、困难残疾人补贴、低保、五保、特困人员供养补贴、教育补助、优抚补贴、奖扶补贴、特扶补贴、农业支持保护补贴、农机购置补贴、禽畜防控扑杀补助、牲畜无害化处理补贴等各种民生保障资金分配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4DD24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D55F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D50F4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41EC2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162FC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600086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4363D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4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r>
      <w:tr w14:paraId="2EDBF5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85"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B97D4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10</w:t>
            </w:r>
          </w:p>
        </w:tc>
        <w:tc>
          <w:tcPr>
            <w:tcW w:w="1079" w:type="dxa"/>
            <w:vMerge w:val="restar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0F61B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D801C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6D340B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eastAsia="zh-CN"/>
              </w:rPr>
              <w:t>事务</w:t>
            </w:r>
          </w:p>
          <w:p w14:paraId="15CA62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7DE4E4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12C974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3D088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731051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33D1C4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0FD820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71519C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47A1E1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F9A40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82CE7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35D2F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97CB5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66811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036D3E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6D3FC3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453C7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E82CA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739DFC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3E0A2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E87E8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1E7CBC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C95E7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576FAA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2B67C53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0854DE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0AB5D6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424F53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09C7F2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8B1DD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FDC95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2AB3B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888C8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C706B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73FEA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EAC81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F301F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1FDA5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F6A36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5A4E8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0B0556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7BD558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732F8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60088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CAC3D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4B1C0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41534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99D8D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E0D49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D13A5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DC6D0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B44AC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AF9E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83BFE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08DC2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41A490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6E096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四议两公开</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425DD3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6E2DB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2"/>
                <w:szCs w:val="22"/>
              </w:rPr>
              <w:t>发布党支部提议、“两委会”商议、党员大会审议、村（居）民大会或村（居）民代表会议决议内容及实施情况（包括村（居）民自治章程、村（居）规民约；“一事一议”筹资筹劳方案；村（居）集体经济项目的方案等信息）；村（居）民委员会年度工作计划及落实情况、年度工作报告、民主评议方案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56B5B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A63DD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E71DB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C0F7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9B1B4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p>
          <w:p w14:paraId="07D81F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93BB9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5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3E22B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11</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5E3C574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FEE32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住房保障</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9C375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2F8BE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发布宅基地和集体建设用地使用权确权登记、农村危房改造、保障性住房政策及申办等信息。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30C67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57413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1FD2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0F44E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4952E0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6DB8DB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5A3356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p>
        </w:tc>
      </w:tr>
      <w:tr w14:paraId="199AC3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63BC4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12</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57B5DC0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11C7FA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医疗卫生</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32018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p w14:paraId="740D2B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755D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发布突发公共卫生事件、传染病疫情及防控、健康科普、医疗服务、城乡居民</w:t>
            </w:r>
            <w:r>
              <w:rPr>
                <w:rFonts w:hint="eastAsia" w:ascii="仿宋_GB2312" w:hAnsi="仿宋_GB2312" w:eastAsia="仿宋_GB2312" w:cs="仿宋_GB2312"/>
                <w:sz w:val="24"/>
                <w:szCs w:val="24"/>
                <w:lang w:val="en-US" w:eastAsia="zh-CN"/>
              </w:rPr>
              <w:t>基本</w:t>
            </w:r>
            <w:r>
              <w:rPr>
                <w:rFonts w:hint="eastAsia" w:ascii="仿宋_GB2312" w:hAnsi="仿宋_GB2312" w:eastAsia="仿宋_GB2312" w:cs="仿宋_GB2312"/>
                <w:sz w:val="24"/>
                <w:szCs w:val="24"/>
              </w:rPr>
              <w:t>医疗保险参保宣传落实等信息。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88CB3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B88C0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2EEB2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6D4D3B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6B753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B38AF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D98F0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2"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25E27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13</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FF21E9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D8EBD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计划生育</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4AD1D0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6B05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计划生育政策及办理情况</w:t>
            </w:r>
            <w:r>
              <w:rPr>
                <w:rFonts w:hint="eastAsia" w:ascii="仿宋_GB2312" w:hAnsi="仿宋_GB2312" w:eastAsia="仿宋_GB2312" w:cs="仿宋_GB2312"/>
                <w:sz w:val="24"/>
                <w:szCs w:val="24"/>
                <w:lang w:eastAsia="zh-CN"/>
              </w:rPr>
              <w:t>。</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569C6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D909C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EFBDB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818EC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6C2AD4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7F4167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28708E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37" w:hRule="atLeast"/>
        </w:trPr>
        <w:tc>
          <w:tcPr>
            <w:tcW w:w="717" w:type="dxa"/>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6D3353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14</w:t>
            </w:r>
          </w:p>
        </w:tc>
        <w:tc>
          <w:tcPr>
            <w:tcW w:w="1079" w:type="dxa"/>
            <w:vMerge w:val="continue"/>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DFB937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3861DF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养老服务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6A7C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62668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）养老服务机构基本信息、人员设备情况、服务内容、服务方式、收费标准、服务质量管理信息，城乡居民养老保险参保宣传落实等信息。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E1D1E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F6BB4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0D521A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B32EC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3F420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6E43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A580E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86"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35ACF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15</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4D501D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98252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社会救助</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3CC9BC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5959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最低生活保障、特困人员供养、孤儿基本生活保障、重度残疾人护理补贴、困难残疾人生活补贴、城乡医疗救助、大病住院救助、慢性病救助、临时救助及灾后救助办理条件、救助标准、申请材料、办理流程、办理时间、地点、联系方式，救助对象名单等相关信息。（注意保护个人隐私）</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38F2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43138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8D8A2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CC348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271817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27A138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5C0BA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4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8EA53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16</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52CA909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6246F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义务教育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4E151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F3E55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发布统一城乡义务教育“两免一补”政策，“雨露计划”政策及申办结果等信息。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0CF3F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B5084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8F5F5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459D0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641F21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47612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24D944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6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327D87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17</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B611D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4F9378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土地利用</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CED0A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9F722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发布集体土地征用征收及补偿情况，集体土地承包经营权流转情况。</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EDC6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01192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36024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CDE18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18CCB3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DD2A7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B11F1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84"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1E1D6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18</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A7944D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5A382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6ADC80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3B91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集体工程招投标事项</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67BB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75616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6789E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6C9E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4BA6D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FCDB5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87989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02"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95F02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19</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5A417B5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5E253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村庄规划</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3B836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41823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w:t>
            </w:r>
            <w:r>
              <w:rPr>
                <w:rFonts w:hint="eastAsia" w:ascii="仿宋_GB2312" w:hAnsi="仿宋_GB2312" w:eastAsia="仿宋_GB2312" w:cs="仿宋_GB2312"/>
                <w:sz w:val="24"/>
                <w:szCs w:val="24"/>
                <w:lang w:eastAsia="zh-CN"/>
              </w:rPr>
              <w:t>村庄规划征求意见稿、规划文件、</w:t>
            </w:r>
            <w:r>
              <w:rPr>
                <w:rFonts w:hint="eastAsia" w:ascii="仿宋_GB2312" w:hAnsi="仿宋_GB2312" w:eastAsia="仿宋_GB2312" w:cs="仿宋_GB2312"/>
                <w:sz w:val="24"/>
                <w:szCs w:val="24"/>
              </w:rPr>
              <w:t>图件等信息。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C0535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批前公示：规划送审报批前，不少于30日；</w:t>
            </w:r>
          </w:p>
          <w:p w14:paraId="0B773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批后公开：批复信息形成或者变更之日起20个工作日内。</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EBE50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35879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497D0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27037F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4342F3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70653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2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73B9E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20</w:t>
            </w:r>
          </w:p>
        </w:tc>
        <w:tc>
          <w:tcPr>
            <w:tcW w:w="1079"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14F758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C318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乡村振兴</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A1BA2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A35D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发布农村人居环境整治、美丽乡村建设、农村基础设施建设、农业产业发展、农村电子商务、农村公共文化服务、乡村旅游等信息。</w:t>
            </w:r>
          </w:p>
          <w:p w14:paraId="46E37A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831D1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7A5F5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361A9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AFF80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D4DFF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1A30E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bl>
    <w:p w14:paraId="19DC4081">
      <w:pPr>
        <w:spacing w:line="560" w:lineRule="exact"/>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rPr>
        <w:t>注：</w:t>
      </w:r>
      <w:r>
        <w:rPr>
          <w:rFonts w:hint="eastAsia" w:ascii="仿宋_GB2312" w:hAnsi="仿宋_GB2312" w:eastAsia="仿宋_GB2312" w:cs="仿宋_GB2312"/>
          <w:i w:val="0"/>
          <w:iCs w:val="0"/>
          <w:caps w:val="0"/>
          <w:color w:val="333333"/>
          <w:spacing w:val="0"/>
          <w:sz w:val="28"/>
          <w:szCs w:val="28"/>
          <w:shd w:val="clear" w:fill="FFFFFF"/>
          <w:lang w:eastAsia="zh-CN"/>
        </w:rPr>
        <w:t>文件依据：</w:t>
      </w:r>
      <w:r>
        <w:rPr>
          <w:rFonts w:hint="eastAsia" w:ascii="仿宋_GB2312" w:hAnsi="仿宋_GB2312" w:eastAsia="仿宋_GB2312" w:cs="仿宋_GB2312"/>
          <w:i w:val="0"/>
          <w:iCs w:val="0"/>
          <w:caps w:val="0"/>
          <w:color w:val="333333"/>
          <w:spacing w:val="0"/>
          <w:sz w:val="28"/>
          <w:szCs w:val="28"/>
          <w:shd w:val="clear" w:fill="FFFFFF"/>
        </w:rPr>
        <w:t>《村务公开管理规范》（GB/T 40088-2021）</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《广西壮族自治区人民政府办公厅关于全面推进基层政务公开标准化规范化工作的通知》（桂政办发〔2020〕35号）、《</w:t>
      </w:r>
      <w:r>
        <w:rPr>
          <w:rFonts w:hint="eastAsia" w:ascii="仿宋_GB2312" w:hAnsi="仿宋_GB2312" w:eastAsia="仿宋_GB2312" w:cs="仿宋_GB2312"/>
          <w:color w:val="333333"/>
          <w:sz w:val="28"/>
          <w:szCs w:val="28"/>
          <w:shd w:val="clear" w:fill="FFFFFF"/>
          <w:lang w:bidi="ar"/>
        </w:rPr>
        <w:t>广西壮族自治区民政厅关于加强和规范村务公开民主管理工作的意见</w:t>
      </w:r>
      <w:r>
        <w:rPr>
          <w:rFonts w:hint="eastAsia" w:ascii="仿宋_GB2312" w:hAnsi="仿宋_GB2312" w:eastAsia="仿宋_GB2312" w:cs="仿宋_GB2312"/>
          <w:i w:val="0"/>
          <w:iCs w:val="0"/>
          <w:caps w:val="0"/>
          <w:color w:val="333333"/>
          <w:spacing w:val="0"/>
          <w:sz w:val="28"/>
          <w:szCs w:val="28"/>
          <w:shd w:val="clear" w:fill="FFFFFF"/>
          <w:lang w:val="en-US" w:eastAsia="zh-CN"/>
        </w:rPr>
        <w:t>》（桂民规〔2021〕2号)</w:t>
      </w:r>
    </w:p>
    <w:p w14:paraId="03E23363">
      <w:pPr>
        <w:rPr>
          <w:rFonts w:hint="eastAsia"/>
          <w:lang w:val="en-US" w:eastAsia="zh-CN"/>
        </w:rPr>
      </w:pPr>
    </w:p>
    <w:sectPr>
      <w:footerReference r:id="rId3" w:type="default"/>
      <w:pgSz w:w="16838" w:h="11906" w:orient="landscape"/>
      <w:pgMar w:top="1417" w:right="1417" w:bottom="1361" w:left="1417"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04F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jNzM1Y2VkM2U1OWZjMzQ5NWI0ZTZhODAwMzE2N2QifQ=="/>
  </w:docVars>
  <w:rsids>
    <w:rsidRoot w:val="1A6A3EEF"/>
    <w:rsid w:val="029F4353"/>
    <w:rsid w:val="03DB7C09"/>
    <w:rsid w:val="0468779A"/>
    <w:rsid w:val="061B3566"/>
    <w:rsid w:val="07A33537"/>
    <w:rsid w:val="0C296961"/>
    <w:rsid w:val="13E4446E"/>
    <w:rsid w:val="146E353B"/>
    <w:rsid w:val="14EF2B2A"/>
    <w:rsid w:val="17AF2816"/>
    <w:rsid w:val="1A6A3EEF"/>
    <w:rsid w:val="1AB016FA"/>
    <w:rsid w:val="1B23671D"/>
    <w:rsid w:val="1E7B49A1"/>
    <w:rsid w:val="200E30E7"/>
    <w:rsid w:val="20BE5E00"/>
    <w:rsid w:val="21A150F6"/>
    <w:rsid w:val="27B16E5E"/>
    <w:rsid w:val="28363985"/>
    <w:rsid w:val="2856667C"/>
    <w:rsid w:val="28DA0C4D"/>
    <w:rsid w:val="2DDE319E"/>
    <w:rsid w:val="2F0C6CE7"/>
    <w:rsid w:val="34164B74"/>
    <w:rsid w:val="373A3A01"/>
    <w:rsid w:val="376E65CC"/>
    <w:rsid w:val="3C25155C"/>
    <w:rsid w:val="3CB0602D"/>
    <w:rsid w:val="3E6A003B"/>
    <w:rsid w:val="414A48D4"/>
    <w:rsid w:val="42BA36A9"/>
    <w:rsid w:val="42E678F4"/>
    <w:rsid w:val="45F20916"/>
    <w:rsid w:val="46C177D1"/>
    <w:rsid w:val="48C45384"/>
    <w:rsid w:val="48EB595B"/>
    <w:rsid w:val="4B106B52"/>
    <w:rsid w:val="4BEE6D69"/>
    <w:rsid w:val="4C4A4439"/>
    <w:rsid w:val="4FD84C66"/>
    <w:rsid w:val="50E46DAA"/>
    <w:rsid w:val="546D3D70"/>
    <w:rsid w:val="54E820B5"/>
    <w:rsid w:val="55F6522A"/>
    <w:rsid w:val="56E66790"/>
    <w:rsid w:val="572850E4"/>
    <w:rsid w:val="57CD33AE"/>
    <w:rsid w:val="5803534D"/>
    <w:rsid w:val="595A0813"/>
    <w:rsid w:val="59E90A9A"/>
    <w:rsid w:val="5B4E7E86"/>
    <w:rsid w:val="5BA17DBE"/>
    <w:rsid w:val="61243E83"/>
    <w:rsid w:val="61DD04F2"/>
    <w:rsid w:val="62B5683A"/>
    <w:rsid w:val="62E70975"/>
    <w:rsid w:val="63C32BA6"/>
    <w:rsid w:val="66455CA8"/>
    <w:rsid w:val="692E6BB3"/>
    <w:rsid w:val="69747710"/>
    <w:rsid w:val="6A4B1F93"/>
    <w:rsid w:val="6AA052FF"/>
    <w:rsid w:val="6E2F3372"/>
    <w:rsid w:val="6EC50824"/>
    <w:rsid w:val="6F0F013C"/>
    <w:rsid w:val="6F640189"/>
    <w:rsid w:val="73544E31"/>
    <w:rsid w:val="74E066D1"/>
    <w:rsid w:val="763C12B5"/>
    <w:rsid w:val="78343AEF"/>
    <w:rsid w:val="7C326798"/>
    <w:rsid w:val="7CF1480A"/>
    <w:rsid w:val="7DD935F2"/>
    <w:rsid w:val="7E8776DE"/>
    <w:rsid w:val="7EF8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宋体"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3"/>
    <w:qFormat/>
    <w:uiPriority w:val="99"/>
    <w:pPr>
      <w:outlineLvl w:val="0"/>
    </w:pPr>
    <w:rPr>
      <w:rFonts w:ascii="Arial" w:hAnsi="Arial"/>
      <w:b/>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1983</Words>
  <Characters>2021</Characters>
  <Lines>0</Lines>
  <Paragraphs>0</Paragraphs>
  <TotalTime>1</TotalTime>
  <ScaleCrop>false</ScaleCrop>
  <LinksUpToDate>false</LinksUpToDate>
  <CharactersWithSpaces>2154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2021-09-02T10:11:00Z</dcterms:created>
  <dc:creator>希尔</dc:creator>
  <cp:lastModifiedBy>黄广营</cp:lastModifiedBy>
  <cp:lastPrinted>2021-09-10T03:21:00Z</cp:lastPrinted>
  <dcterms:modified xsi:type="dcterms:W3CDTF">2024-10-22T08:39:58Z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FEFA9D0E573E408D98A2440D1836EC44</vt:lpwstr>
  </property>
</Properties>
</file>