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outlineLvl w:val="0"/>
        <w:rPr>
          <w:rFonts w:hint="eastAsia" w:ascii="Times New Roman" w:hAnsi="Times New Roman" w:eastAsia="黑体"/>
          <w:bCs/>
          <w:sz w:val="32"/>
          <w:szCs w:val="32"/>
          <w:lang w:eastAsia="zh-CN"/>
        </w:rPr>
      </w:pPr>
      <w:r>
        <w:rPr>
          <w:rFonts w:ascii="Times New Roman" w:hAnsi="Times New Roman" w:eastAsia="黑体"/>
          <w:bCs/>
          <w:sz w:val="32"/>
          <w:szCs w:val="32"/>
        </w:rPr>
        <w:t>附件</w:t>
      </w:r>
      <w:r>
        <w:rPr>
          <w:rFonts w:hint="eastAsia" w:ascii="Times New Roman" w:hAnsi="Times New Roman" w:eastAsia="黑体"/>
          <w:bCs/>
          <w:sz w:val="32"/>
          <w:szCs w:val="32"/>
          <w:lang w:val="en-US" w:eastAsia="zh-CN"/>
        </w:rPr>
        <w:t>1</w:t>
      </w:r>
    </w:p>
    <w:p>
      <w:pPr>
        <w:pStyle w:val="11"/>
        <w:ind w:firstLine="420"/>
        <w:rPr>
          <w:rFonts w:ascii="Times New Roman" w:hAnsi="Times New Roman"/>
        </w:rPr>
      </w:pPr>
    </w:p>
    <w:p>
      <w:pPr>
        <w:spacing w:line="480" w:lineRule="exact"/>
        <w:jc w:val="center"/>
        <w:outlineLvl w:val="0"/>
        <w:rPr>
          <w:rFonts w:ascii="Times New Roman" w:hAnsi="Times New Roman" w:eastAsia="方正小标宋简体"/>
          <w:bCs/>
          <w:sz w:val="44"/>
          <w:szCs w:val="44"/>
        </w:rPr>
      </w:pPr>
      <w:bookmarkStart w:id="0" w:name="_GoBack"/>
      <w:r>
        <w:rPr>
          <w:rFonts w:hint="eastAsia" w:ascii="Times New Roman" w:hAnsi="Times New Roman" w:eastAsia="方正小标宋简体"/>
          <w:bCs/>
          <w:sz w:val="44"/>
          <w:szCs w:val="44"/>
          <w:lang w:eastAsia="zh-CN"/>
        </w:rPr>
        <w:t>钦北区</w:t>
      </w:r>
      <w:r>
        <w:rPr>
          <w:rFonts w:ascii="Times New Roman" w:hAnsi="Times New Roman" w:eastAsia="方正小标宋简体"/>
          <w:bCs/>
          <w:sz w:val="44"/>
          <w:szCs w:val="44"/>
        </w:rPr>
        <w:t>重大事故隐患专项排查整治</w:t>
      </w:r>
    </w:p>
    <w:p>
      <w:pPr>
        <w:spacing w:line="540" w:lineRule="exact"/>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2023行动进展情况调度表</w:t>
      </w:r>
    </w:p>
    <w:bookmarkEnd w:id="0"/>
    <w:p>
      <w:pPr>
        <w:spacing w:line="540" w:lineRule="exact"/>
        <w:ind w:firstLine="480" w:firstLineChars="200"/>
        <w:rPr>
          <w:rFonts w:ascii="Times New Roman" w:hAnsi="Times New Roman" w:eastAsia="楷体_GB2312"/>
          <w:bCs/>
          <w:sz w:val="24"/>
          <w:szCs w:val="32"/>
        </w:rPr>
      </w:pPr>
      <w:r>
        <w:rPr>
          <w:rFonts w:ascii="Times New Roman" w:hAnsi="Times New Roman" w:eastAsia="楷体_GB2312"/>
          <w:bCs/>
          <w:sz w:val="24"/>
          <w:szCs w:val="32"/>
        </w:rPr>
        <w:t>___________单位                    时间：2023年   月   日</w:t>
      </w:r>
    </w:p>
    <w:tbl>
      <w:tblPr>
        <w:tblStyle w:val="5"/>
        <w:tblW w:w="0" w:type="auto"/>
        <w:jc w:val="center"/>
        <w:tblLayout w:type="fixed"/>
        <w:tblCellMar>
          <w:top w:w="0" w:type="dxa"/>
          <w:left w:w="108" w:type="dxa"/>
          <w:bottom w:w="0" w:type="dxa"/>
          <w:right w:w="108" w:type="dxa"/>
        </w:tblCellMar>
      </w:tblPr>
      <w:tblGrid>
        <w:gridCol w:w="983"/>
        <w:gridCol w:w="480"/>
        <w:gridCol w:w="2767"/>
        <w:gridCol w:w="767"/>
        <w:gridCol w:w="421"/>
        <w:gridCol w:w="2835"/>
        <w:gridCol w:w="773"/>
      </w:tblGrid>
      <w:tr>
        <w:tblPrEx>
          <w:tblCellMar>
            <w:top w:w="0" w:type="dxa"/>
            <w:left w:w="108" w:type="dxa"/>
            <w:bottom w:w="0" w:type="dxa"/>
            <w:right w:w="108" w:type="dxa"/>
          </w:tblCellMar>
        </w:tblPrEx>
        <w:trPr>
          <w:trHeight w:val="481" w:hRule="atLeast"/>
          <w:jc w:val="center"/>
        </w:trPr>
        <w:tc>
          <w:tcPr>
            <w:tcW w:w="983" w:type="dxa"/>
            <w:vMerge w:val="restart"/>
            <w:tcBorders>
              <w:top w:val="single" w:color="000000" w:sz="12" w:space="0"/>
              <w:left w:val="single" w:color="000000" w:sz="12" w:space="0"/>
              <w:right w:val="single" w:color="000000" w:sz="4" w:space="0"/>
            </w:tcBorders>
            <w:noWrap w:val="0"/>
            <w:vAlign w:val="center"/>
          </w:tcPr>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总体</w:t>
            </w:r>
          </w:p>
          <w:p>
            <w:pPr>
              <w:widowControl/>
              <w:spacing w:line="240" w:lineRule="exact"/>
              <w:jc w:val="center"/>
              <w:textAlignment w:val="center"/>
              <w:rPr>
                <w:rFonts w:ascii="Times New Roman" w:hAnsi="Times New Roman" w:eastAsia="黑体"/>
                <w:sz w:val="24"/>
              </w:rPr>
            </w:pPr>
            <w:r>
              <w:rPr>
                <w:rFonts w:ascii="Times New Roman" w:hAnsi="Times New Roman" w:eastAsia="黑体"/>
                <w:kern w:val="0"/>
                <w:sz w:val="24"/>
                <w:lang w:bidi="ar"/>
              </w:rPr>
              <w:t>情况</w:t>
            </w:r>
          </w:p>
        </w:tc>
        <w:tc>
          <w:tcPr>
            <w:tcW w:w="480" w:type="dxa"/>
            <w:tcBorders>
              <w:top w:val="single" w:color="000000" w:sz="12"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1</w:t>
            </w:r>
          </w:p>
        </w:tc>
        <w:tc>
          <w:tcPr>
            <w:tcW w:w="2767" w:type="dxa"/>
            <w:tcBorders>
              <w:top w:val="single" w:color="000000"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企业自查发现的</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重大事故隐患（个）</w:t>
            </w:r>
          </w:p>
        </w:tc>
        <w:tc>
          <w:tcPr>
            <w:tcW w:w="767"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left"/>
              <w:rPr>
                <w:rFonts w:ascii="Times New Roman" w:hAnsi="Times New Roman"/>
                <w:szCs w:val="21"/>
              </w:rPr>
            </w:pPr>
          </w:p>
        </w:tc>
        <w:tc>
          <w:tcPr>
            <w:tcW w:w="421"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2</w:t>
            </w:r>
          </w:p>
        </w:tc>
        <w:tc>
          <w:tcPr>
            <w:tcW w:w="2835"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企业自查发现重大事故隐患中</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已完成整改的（个）</w:t>
            </w:r>
          </w:p>
        </w:tc>
        <w:tc>
          <w:tcPr>
            <w:tcW w:w="773" w:type="dxa"/>
            <w:tcBorders>
              <w:top w:val="single" w:color="000000" w:sz="12" w:space="0"/>
              <w:left w:val="single" w:color="000000" w:sz="4" w:space="0"/>
              <w:bottom w:val="single" w:color="000000" w:sz="4" w:space="0"/>
              <w:right w:val="single" w:color="000000" w:sz="12" w:space="0"/>
            </w:tcBorders>
            <w:noWrap w:val="0"/>
            <w:vAlign w:val="center"/>
          </w:tcPr>
          <w:p>
            <w:pPr>
              <w:widowControl/>
              <w:spacing w:line="240" w:lineRule="exact"/>
              <w:rPr>
                <w:rFonts w:ascii="Times New Roman" w:hAnsi="Times New Roman"/>
                <w:szCs w:val="21"/>
              </w:rPr>
            </w:pPr>
          </w:p>
        </w:tc>
      </w:tr>
      <w:tr>
        <w:tblPrEx>
          <w:tblCellMar>
            <w:top w:w="0" w:type="dxa"/>
            <w:left w:w="108" w:type="dxa"/>
            <w:bottom w:w="0" w:type="dxa"/>
            <w:right w:w="108" w:type="dxa"/>
          </w:tblCellMar>
        </w:tblPrEx>
        <w:trPr>
          <w:trHeight w:val="408" w:hRule="atLeast"/>
          <w:jc w:val="center"/>
        </w:trPr>
        <w:tc>
          <w:tcPr>
            <w:tcW w:w="983" w:type="dxa"/>
            <w:vMerge w:val="continue"/>
            <w:tcBorders>
              <w:left w:val="single" w:color="000000" w:sz="12" w:space="0"/>
              <w:right w:val="single" w:color="000000" w:sz="4" w:space="0"/>
            </w:tcBorders>
            <w:noWrap w:val="0"/>
            <w:vAlign w:val="center"/>
          </w:tcPr>
          <w:p>
            <w:pPr>
              <w:widowControl/>
              <w:spacing w:line="240" w:lineRule="exact"/>
              <w:jc w:val="center"/>
              <w:textAlignment w:val="center"/>
              <w:rPr>
                <w:rFonts w:ascii="Times New Roman" w:hAnsi="Times New Roman" w:eastAsia="黑体"/>
                <w:kern w:val="0"/>
                <w:sz w:val="24"/>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3</w:t>
            </w:r>
          </w:p>
        </w:tc>
        <w:tc>
          <w:tcPr>
            <w:tcW w:w="2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部门检查发现的</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重大事故隐患（个）</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left"/>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4</w:t>
            </w:r>
          </w:p>
        </w:tc>
        <w:tc>
          <w:tcPr>
            <w:tcW w:w="283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部门检查发现重大事故隐患中</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已完成整改的（个）</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983" w:type="dxa"/>
            <w:vMerge w:val="continue"/>
            <w:tcBorders>
              <w:left w:val="single" w:color="000000" w:sz="12" w:space="0"/>
              <w:bottom w:val="single" w:color="000000" w:sz="12" w:space="0"/>
              <w:right w:val="single" w:color="000000" w:sz="4" w:space="0"/>
            </w:tcBorders>
            <w:noWrap w:val="0"/>
            <w:vAlign w:val="center"/>
          </w:tcPr>
          <w:p>
            <w:pPr>
              <w:widowControl/>
              <w:spacing w:line="240" w:lineRule="exact"/>
              <w:jc w:val="center"/>
              <w:textAlignment w:val="center"/>
              <w:rPr>
                <w:rFonts w:ascii="Times New Roman" w:hAnsi="Times New Roman" w:eastAsia="黑体"/>
                <w:kern w:val="0"/>
                <w:sz w:val="24"/>
                <w:lang w:bidi="ar"/>
              </w:rPr>
            </w:pPr>
          </w:p>
        </w:tc>
        <w:tc>
          <w:tcPr>
            <w:tcW w:w="480"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5</w:t>
            </w:r>
          </w:p>
        </w:tc>
        <w:tc>
          <w:tcPr>
            <w:tcW w:w="2767"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政府挂牌督办的</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重大事故隐患（个）</w:t>
            </w:r>
          </w:p>
        </w:tc>
        <w:tc>
          <w:tcPr>
            <w:tcW w:w="767"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left"/>
              <w:rPr>
                <w:rFonts w:ascii="Times New Roman" w:hAnsi="Times New Roman"/>
                <w:szCs w:val="21"/>
              </w:rPr>
            </w:pPr>
          </w:p>
        </w:tc>
        <w:tc>
          <w:tcPr>
            <w:tcW w:w="421"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6</w:t>
            </w:r>
          </w:p>
        </w:tc>
        <w:tc>
          <w:tcPr>
            <w:tcW w:w="2835"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挂牌督办重大事故隐患中</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已完成整改的（个）</w:t>
            </w:r>
          </w:p>
        </w:tc>
        <w:tc>
          <w:tcPr>
            <w:tcW w:w="773" w:type="dxa"/>
            <w:tcBorders>
              <w:top w:val="single" w:color="000000" w:sz="4" w:space="0"/>
              <w:left w:val="single" w:color="000000" w:sz="4" w:space="0"/>
              <w:bottom w:val="single" w:color="000000" w:sz="12" w:space="0"/>
              <w:right w:val="single" w:color="000000" w:sz="12" w:space="0"/>
            </w:tcBorders>
            <w:noWrap w:val="0"/>
            <w:vAlign w:val="center"/>
          </w:tcPr>
          <w:p>
            <w:pPr>
              <w:widowControl/>
              <w:spacing w:line="240" w:lineRule="exact"/>
              <w:rPr>
                <w:rFonts w:ascii="Times New Roman" w:hAnsi="Times New Roman"/>
                <w:szCs w:val="21"/>
              </w:rPr>
            </w:pPr>
          </w:p>
        </w:tc>
      </w:tr>
      <w:tr>
        <w:tblPrEx>
          <w:tblCellMar>
            <w:top w:w="0" w:type="dxa"/>
            <w:left w:w="108" w:type="dxa"/>
            <w:bottom w:w="0" w:type="dxa"/>
            <w:right w:w="108" w:type="dxa"/>
          </w:tblCellMar>
        </w:tblPrEx>
        <w:trPr>
          <w:trHeight w:val="388" w:hRule="atLeast"/>
          <w:jc w:val="center"/>
        </w:trPr>
        <w:tc>
          <w:tcPr>
            <w:tcW w:w="983" w:type="dxa"/>
            <w:vMerge w:val="restart"/>
            <w:tcBorders>
              <w:top w:val="single" w:color="000000" w:sz="12" w:space="0"/>
              <w:left w:val="single" w:color="000000" w:sz="12"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对企业</w:t>
            </w:r>
          </w:p>
          <w:p>
            <w:pPr>
              <w:widowControl/>
              <w:spacing w:line="240" w:lineRule="exact"/>
              <w:jc w:val="center"/>
              <w:textAlignment w:val="center"/>
              <w:rPr>
                <w:rFonts w:ascii="Times New Roman" w:hAnsi="Times New Roman" w:eastAsia="黑体"/>
                <w:sz w:val="24"/>
              </w:rPr>
            </w:pPr>
            <w:r>
              <w:rPr>
                <w:rFonts w:ascii="Times New Roman" w:hAnsi="Times New Roman" w:eastAsia="黑体"/>
                <w:kern w:val="0"/>
                <w:sz w:val="24"/>
                <w:lang w:bidi="ar"/>
              </w:rPr>
              <w:t>自查自改进行抽查检查情况</w:t>
            </w:r>
          </w:p>
        </w:tc>
        <w:tc>
          <w:tcPr>
            <w:tcW w:w="480" w:type="dxa"/>
            <w:tcBorders>
              <w:top w:val="single" w:color="000000" w:sz="12"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1</w:t>
            </w:r>
          </w:p>
        </w:tc>
        <w:tc>
          <w:tcPr>
            <w:tcW w:w="2767" w:type="dxa"/>
            <w:tcBorders>
              <w:top w:val="single" w:color="000000"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部门抽查检查的企业总数（家）</w:t>
            </w:r>
          </w:p>
        </w:tc>
        <w:tc>
          <w:tcPr>
            <w:tcW w:w="767"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12"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2</w:t>
            </w:r>
          </w:p>
        </w:tc>
        <w:tc>
          <w:tcPr>
            <w:tcW w:w="2835" w:type="dxa"/>
            <w:tcBorders>
              <w:top w:val="single" w:color="000000"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企业主要负责人未按要求</w:t>
            </w:r>
          </w:p>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亲自研究排查整治工作（家）</w:t>
            </w:r>
          </w:p>
        </w:tc>
        <w:tc>
          <w:tcPr>
            <w:tcW w:w="773" w:type="dxa"/>
            <w:tcBorders>
              <w:top w:val="single" w:color="000000" w:sz="12"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472" w:hRule="atLeast"/>
          <w:jc w:val="center"/>
        </w:trPr>
        <w:tc>
          <w:tcPr>
            <w:tcW w:w="983" w:type="dxa"/>
            <w:vMerge w:val="continue"/>
            <w:tcBorders>
              <w:top w:val="single" w:color="000000" w:sz="4" w:space="0"/>
              <w:left w:val="single" w:color="000000" w:sz="12"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黑体"/>
                <w:sz w:val="24"/>
              </w:rPr>
            </w:pPr>
          </w:p>
        </w:tc>
        <w:tc>
          <w:tcPr>
            <w:tcW w:w="480"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3</w:t>
            </w:r>
          </w:p>
        </w:tc>
        <w:tc>
          <w:tcPr>
            <w:tcW w:w="2767"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企业主要负责人</w:t>
            </w:r>
          </w:p>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未带队检查（家）</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4</w:t>
            </w:r>
          </w:p>
        </w:tc>
        <w:tc>
          <w:tcPr>
            <w:tcW w:w="2835"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pacing w:val="-11"/>
                <w:kern w:val="0"/>
                <w:szCs w:val="21"/>
                <w:lang w:bidi="ar"/>
              </w:rPr>
            </w:pPr>
            <w:r>
              <w:rPr>
                <w:rFonts w:ascii="Times New Roman" w:hAnsi="Times New Roman"/>
                <w:spacing w:val="-11"/>
                <w:kern w:val="0"/>
                <w:szCs w:val="21"/>
                <w:lang w:bidi="ar"/>
              </w:rPr>
              <w:t>企业未制定</w:t>
            </w:r>
          </w:p>
          <w:p>
            <w:pPr>
              <w:widowControl/>
              <w:spacing w:line="240" w:lineRule="exact"/>
              <w:jc w:val="center"/>
              <w:textAlignment w:val="center"/>
              <w:rPr>
                <w:rFonts w:ascii="Times New Roman" w:hAnsi="Times New Roman"/>
                <w:szCs w:val="21"/>
              </w:rPr>
            </w:pPr>
            <w:r>
              <w:rPr>
                <w:rFonts w:ascii="Times New Roman" w:hAnsi="Times New Roman"/>
                <w:spacing w:val="-11"/>
                <w:kern w:val="0"/>
                <w:szCs w:val="21"/>
                <w:lang w:bidi="ar"/>
              </w:rPr>
              <w:t>分管负责人职责清单（家）</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409" w:hRule="atLeast"/>
          <w:jc w:val="center"/>
        </w:trPr>
        <w:tc>
          <w:tcPr>
            <w:tcW w:w="983" w:type="dxa"/>
            <w:vMerge w:val="continue"/>
            <w:tcBorders>
              <w:top w:val="single" w:color="000000" w:sz="4" w:space="0"/>
              <w:left w:val="single" w:color="000000" w:sz="12"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黑体"/>
                <w:sz w:val="24"/>
              </w:rPr>
            </w:pPr>
          </w:p>
        </w:tc>
        <w:tc>
          <w:tcPr>
            <w:tcW w:w="480"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5</w:t>
            </w:r>
          </w:p>
        </w:tc>
        <w:tc>
          <w:tcPr>
            <w:tcW w:w="2767"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企业未依法建立安全管理机构和配足安全管理人员（家）</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6</w:t>
            </w:r>
          </w:p>
        </w:tc>
        <w:tc>
          <w:tcPr>
            <w:tcW w:w="2835"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pacing w:val="-11"/>
                <w:kern w:val="0"/>
                <w:szCs w:val="21"/>
                <w:lang w:bidi="ar"/>
              </w:rPr>
            </w:pPr>
            <w:r>
              <w:rPr>
                <w:rFonts w:ascii="Times New Roman" w:hAnsi="Times New Roman"/>
                <w:spacing w:val="-11"/>
                <w:kern w:val="0"/>
                <w:szCs w:val="21"/>
                <w:lang w:bidi="ar"/>
              </w:rPr>
              <w:t>电焊等特种作业岗位</w:t>
            </w:r>
          </w:p>
          <w:p>
            <w:pPr>
              <w:widowControl/>
              <w:spacing w:line="240" w:lineRule="exact"/>
              <w:jc w:val="center"/>
              <w:textAlignment w:val="center"/>
              <w:rPr>
                <w:rFonts w:ascii="Times New Roman" w:hAnsi="Times New Roman"/>
                <w:szCs w:val="21"/>
              </w:rPr>
            </w:pPr>
            <w:r>
              <w:rPr>
                <w:rFonts w:ascii="Times New Roman" w:hAnsi="Times New Roman"/>
                <w:spacing w:val="-11"/>
                <w:kern w:val="0"/>
                <w:szCs w:val="21"/>
                <w:lang w:bidi="ar"/>
              </w:rPr>
              <w:t>人员无证上岗作业（家）</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473" w:hRule="atLeast"/>
          <w:jc w:val="center"/>
        </w:trPr>
        <w:tc>
          <w:tcPr>
            <w:tcW w:w="983" w:type="dxa"/>
            <w:vMerge w:val="continue"/>
            <w:tcBorders>
              <w:top w:val="single" w:color="000000" w:sz="4" w:space="0"/>
              <w:left w:val="single" w:color="000000" w:sz="12"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黑体"/>
                <w:sz w:val="24"/>
              </w:rPr>
            </w:pPr>
          </w:p>
        </w:tc>
        <w:tc>
          <w:tcPr>
            <w:tcW w:w="480"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7</w:t>
            </w:r>
          </w:p>
        </w:tc>
        <w:tc>
          <w:tcPr>
            <w:tcW w:w="2767"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外包外租安全管理混乱（家）</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8</w:t>
            </w:r>
          </w:p>
        </w:tc>
        <w:tc>
          <w:tcPr>
            <w:tcW w:w="2835"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未按规定开展应急演练、</w:t>
            </w:r>
          </w:p>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员工不熟悉逃生出口</w:t>
            </w:r>
            <w:r>
              <w:rPr>
                <w:rFonts w:ascii="Times New Roman" w:hAnsi="Times New Roman"/>
                <w:szCs w:val="21"/>
              </w:rPr>
              <w:t>（家）</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344" w:hRule="atLeast"/>
          <w:jc w:val="center"/>
        </w:trPr>
        <w:tc>
          <w:tcPr>
            <w:tcW w:w="983" w:type="dxa"/>
            <w:vMerge w:val="restart"/>
            <w:tcBorders>
              <w:top w:val="single" w:color="000000" w:sz="12" w:space="0"/>
              <w:left w:val="single" w:color="000000" w:sz="12" w:space="0"/>
              <w:right w:val="single" w:color="000000" w:sz="4" w:space="0"/>
            </w:tcBorders>
            <w:noWrap w:val="0"/>
            <w:vAlign w:val="center"/>
          </w:tcPr>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部门</w:t>
            </w:r>
          </w:p>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精准</w:t>
            </w:r>
          </w:p>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严格</w:t>
            </w:r>
          </w:p>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执法</w:t>
            </w:r>
          </w:p>
          <w:p>
            <w:pPr>
              <w:widowControl/>
              <w:spacing w:line="240" w:lineRule="exact"/>
              <w:jc w:val="center"/>
              <w:textAlignment w:val="center"/>
              <w:rPr>
                <w:rFonts w:ascii="Times New Roman" w:hAnsi="Times New Roman" w:eastAsia="黑体"/>
                <w:sz w:val="24"/>
              </w:rPr>
            </w:pPr>
            <w:r>
              <w:rPr>
                <w:rFonts w:ascii="Times New Roman" w:hAnsi="Times New Roman" w:eastAsia="黑体"/>
                <w:kern w:val="0"/>
                <w:sz w:val="24"/>
                <w:lang w:bidi="ar"/>
              </w:rPr>
              <w:t>情况</w:t>
            </w:r>
          </w:p>
        </w:tc>
        <w:tc>
          <w:tcPr>
            <w:tcW w:w="480" w:type="dxa"/>
            <w:tcBorders>
              <w:top w:val="single" w:color="000000" w:sz="12"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1</w:t>
            </w:r>
          </w:p>
        </w:tc>
        <w:tc>
          <w:tcPr>
            <w:tcW w:w="2767" w:type="dxa"/>
            <w:tcBorders>
              <w:top w:val="single" w:color="000000"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帮扶指导重点县（个次）</w:t>
            </w:r>
          </w:p>
        </w:tc>
        <w:tc>
          <w:tcPr>
            <w:tcW w:w="767"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12"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2</w:t>
            </w:r>
          </w:p>
        </w:tc>
        <w:tc>
          <w:tcPr>
            <w:tcW w:w="2835" w:type="dxa"/>
            <w:tcBorders>
              <w:top w:val="single" w:color="000000"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帮扶指导重点企业（家次）</w:t>
            </w:r>
          </w:p>
        </w:tc>
        <w:tc>
          <w:tcPr>
            <w:tcW w:w="773" w:type="dxa"/>
            <w:tcBorders>
              <w:top w:val="single" w:color="000000" w:sz="12"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414" w:hRule="atLeast"/>
          <w:jc w:val="center"/>
        </w:trPr>
        <w:tc>
          <w:tcPr>
            <w:tcW w:w="983" w:type="dxa"/>
            <w:vMerge w:val="continue"/>
            <w:tcBorders>
              <w:left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4"/>
              </w:rPr>
            </w:pPr>
          </w:p>
        </w:tc>
        <w:tc>
          <w:tcPr>
            <w:tcW w:w="480"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3</w:t>
            </w:r>
          </w:p>
        </w:tc>
        <w:tc>
          <w:tcPr>
            <w:tcW w:w="2767"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行政处罚（次，万元）</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4</w:t>
            </w:r>
          </w:p>
        </w:tc>
        <w:tc>
          <w:tcPr>
            <w:tcW w:w="2835"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企业和企业主要负责人</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“一案双罚”（次）</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350" w:hRule="atLeast"/>
          <w:jc w:val="center"/>
        </w:trPr>
        <w:tc>
          <w:tcPr>
            <w:tcW w:w="983" w:type="dxa"/>
            <w:vMerge w:val="continue"/>
            <w:tcBorders>
              <w:left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4"/>
              </w:rPr>
            </w:pPr>
          </w:p>
        </w:tc>
        <w:tc>
          <w:tcPr>
            <w:tcW w:w="480"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5</w:t>
            </w:r>
          </w:p>
        </w:tc>
        <w:tc>
          <w:tcPr>
            <w:tcW w:w="2767"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移送司法机关（人）</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6</w:t>
            </w:r>
          </w:p>
        </w:tc>
        <w:tc>
          <w:tcPr>
            <w:tcW w:w="2835"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责令停产整顿（家）</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4"/>
              </w:rPr>
            </w:pPr>
          </w:p>
        </w:tc>
        <w:tc>
          <w:tcPr>
            <w:tcW w:w="4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7</w:t>
            </w:r>
          </w:p>
        </w:tc>
        <w:tc>
          <w:tcPr>
            <w:tcW w:w="2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曝光、约谈、联合惩戒</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企业（家）</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8</w:t>
            </w:r>
          </w:p>
        </w:tc>
        <w:tc>
          <w:tcPr>
            <w:tcW w:w="283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公布典型执法案例（个），其中危险作业罪案例（个）</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bottom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4"/>
              </w:rPr>
            </w:pPr>
          </w:p>
        </w:tc>
        <w:tc>
          <w:tcPr>
            <w:tcW w:w="480"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9</w:t>
            </w:r>
          </w:p>
        </w:tc>
        <w:tc>
          <w:tcPr>
            <w:tcW w:w="2767"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责任倒查</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追责问责（人）</w:t>
            </w:r>
          </w:p>
        </w:tc>
        <w:tc>
          <w:tcPr>
            <w:tcW w:w="767"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10</w:t>
            </w:r>
          </w:p>
        </w:tc>
        <w:tc>
          <w:tcPr>
            <w:tcW w:w="2835"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约谈通报</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有关地区及部门（次）</w:t>
            </w:r>
          </w:p>
        </w:tc>
        <w:tc>
          <w:tcPr>
            <w:tcW w:w="773" w:type="dxa"/>
            <w:tcBorders>
              <w:top w:val="single" w:color="000000" w:sz="4" w:space="0"/>
              <w:left w:val="single" w:color="000000" w:sz="4" w:space="0"/>
              <w:bottom w:val="single" w:color="000000" w:sz="12"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567" w:hRule="atLeast"/>
          <w:jc w:val="center"/>
        </w:trPr>
        <w:tc>
          <w:tcPr>
            <w:tcW w:w="983" w:type="dxa"/>
            <w:vMerge w:val="restart"/>
            <w:tcBorders>
              <w:top w:val="single" w:color="000000" w:sz="12" w:space="0"/>
              <w:left w:val="single" w:color="000000" w:sz="12" w:space="0"/>
              <w:right w:val="single" w:color="000000" w:sz="4" w:space="0"/>
            </w:tcBorders>
            <w:noWrap w:val="0"/>
            <w:vAlign w:val="center"/>
          </w:tcPr>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党委</w:t>
            </w:r>
          </w:p>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政府</w:t>
            </w:r>
          </w:p>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组织</w:t>
            </w:r>
          </w:p>
          <w:p>
            <w:pPr>
              <w:widowControl/>
              <w:spacing w:line="240" w:lineRule="exact"/>
              <w:jc w:val="center"/>
              <w:textAlignment w:val="center"/>
              <w:rPr>
                <w:rFonts w:ascii="Times New Roman" w:hAnsi="Times New Roman" w:eastAsia="黑体"/>
                <w:kern w:val="0"/>
                <w:sz w:val="24"/>
                <w:lang w:bidi="ar"/>
              </w:rPr>
            </w:pPr>
            <w:r>
              <w:rPr>
                <w:rFonts w:ascii="Times New Roman" w:hAnsi="Times New Roman" w:eastAsia="黑体"/>
                <w:kern w:val="0"/>
                <w:sz w:val="24"/>
                <w:lang w:bidi="ar"/>
              </w:rPr>
              <w:t>领导</w:t>
            </w:r>
          </w:p>
          <w:p>
            <w:pPr>
              <w:widowControl/>
              <w:spacing w:line="240" w:lineRule="exact"/>
              <w:jc w:val="center"/>
              <w:textAlignment w:val="center"/>
              <w:rPr>
                <w:rFonts w:ascii="Times New Roman" w:hAnsi="Times New Roman" w:eastAsia="黑体"/>
                <w:sz w:val="24"/>
              </w:rPr>
            </w:pPr>
            <w:r>
              <w:rPr>
                <w:rFonts w:ascii="Times New Roman" w:hAnsi="Times New Roman" w:eastAsia="黑体"/>
                <w:kern w:val="0"/>
                <w:sz w:val="24"/>
                <w:lang w:bidi="ar"/>
              </w:rPr>
              <w:t>情况</w:t>
            </w:r>
          </w:p>
        </w:tc>
        <w:tc>
          <w:tcPr>
            <w:tcW w:w="480"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1</w:t>
            </w:r>
          </w:p>
        </w:tc>
        <w:tc>
          <w:tcPr>
            <w:tcW w:w="2767"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spacing w:val="-11"/>
                <w:kern w:val="0"/>
                <w:szCs w:val="21"/>
                <w:lang w:bidi="ar"/>
              </w:rPr>
              <w:t>县及党委政府分别组织专题学习安全生产十五条硬措施和自治区二十条细化措施（次）</w:t>
            </w:r>
          </w:p>
        </w:tc>
        <w:tc>
          <w:tcPr>
            <w:tcW w:w="767"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2</w:t>
            </w:r>
          </w:p>
        </w:tc>
        <w:tc>
          <w:tcPr>
            <w:tcW w:w="2835" w:type="dxa"/>
            <w:tcBorders>
              <w:top w:val="single" w:color="000000" w:sz="12"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县及党委政府主要负责同志分别专题研究（次）</w:t>
            </w:r>
          </w:p>
        </w:tc>
        <w:tc>
          <w:tcPr>
            <w:tcW w:w="773" w:type="dxa"/>
            <w:tcBorders>
              <w:top w:val="single" w:color="000000" w:sz="12" w:space="0"/>
              <w:left w:val="single" w:color="000000" w:sz="4" w:space="0"/>
              <w:bottom w:val="single" w:color="000000" w:sz="4" w:space="0"/>
              <w:right w:val="single" w:color="000000" w:sz="12" w:space="0"/>
            </w:tcBorders>
            <w:noWrap w:val="0"/>
            <w:vAlign w:val="center"/>
          </w:tcPr>
          <w:p>
            <w:pPr>
              <w:widowControl/>
              <w:spacing w:line="240" w:lineRule="exact"/>
              <w:jc w:val="center"/>
              <w:textAlignment w:val="center"/>
              <w:rPr>
                <w:rFonts w:ascii="Times New Roman" w:hAnsi="Times New Roman"/>
                <w:kern w:val="0"/>
                <w:szCs w:val="21"/>
                <w:lang w:bidi="ar"/>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6"/>
                <w:szCs w:val="26"/>
              </w:rPr>
            </w:pPr>
          </w:p>
        </w:tc>
        <w:tc>
          <w:tcPr>
            <w:tcW w:w="4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3</w:t>
            </w:r>
          </w:p>
        </w:tc>
        <w:tc>
          <w:tcPr>
            <w:tcW w:w="2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县级政府负责同志分别到现场督导检查（次）</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4</w:t>
            </w:r>
          </w:p>
        </w:tc>
        <w:tc>
          <w:tcPr>
            <w:tcW w:w="283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县级安委会成员单位负责同志分别到企业宣讲（次）</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6"/>
                <w:szCs w:val="26"/>
              </w:rPr>
            </w:pPr>
          </w:p>
        </w:tc>
        <w:tc>
          <w:tcPr>
            <w:tcW w:w="4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5</w:t>
            </w:r>
          </w:p>
        </w:tc>
        <w:tc>
          <w:tcPr>
            <w:tcW w:w="2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举报奖励（万元），其中</w:t>
            </w:r>
          </w:p>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匿名举报查实奖励（万元）</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6</w:t>
            </w:r>
          </w:p>
        </w:tc>
        <w:tc>
          <w:tcPr>
            <w:tcW w:w="283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是否在市、县级主流媒体</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播放安全生产专题栏目</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6"/>
                <w:szCs w:val="26"/>
              </w:rPr>
            </w:pPr>
          </w:p>
        </w:tc>
        <w:tc>
          <w:tcPr>
            <w:tcW w:w="4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lang w:val="en"/>
              </w:rPr>
              <w:t>7</w:t>
            </w:r>
          </w:p>
        </w:tc>
        <w:tc>
          <w:tcPr>
            <w:tcW w:w="2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县（区）级配备专兼职</w:t>
            </w:r>
          </w:p>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技术检查员数量（人）</w:t>
            </w:r>
          </w:p>
        </w:tc>
        <w:tc>
          <w:tcPr>
            <w:tcW w:w="76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szCs w:val="21"/>
                <w:lang w:val="en"/>
              </w:rPr>
            </w:pPr>
            <w:r>
              <w:rPr>
                <w:rFonts w:ascii="Times New Roman" w:hAnsi="Times New Roman"/>
                <w:szCs w:val="21"/>
              </w:rPr>
              <w:t>8</w:t>
            </w:r>
          </w:p>
        </w:tc>
        <w:tc>
          <w:tcPr>
            <w:tcW w:w="283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kern w:val="0"/>
                <w:szCs w:val="21"/>
                <w:lang w:bidi="ar"/>
              </w:rPr>
            </w:pPr>
            <w:r>
              <w:rPr>
                <w:rFonts w:ascii="Times New Roman" w:hAnsi="Times New Roman"/>
                <w:kern w:val="0"/>
                <w:szCs w:val="21"/>
                <w:lang w:bidi="ar"/>
              </w:rPr>
              <w:t>组织开展考核巡查</w:t>
            </w:r>
          </w:p>
          <w:p>
            <w:pPr>
              <w:widowControl/>
              <w:spacing w:line="240" w:lineRule="exact"/>
              <w:jc w:val="center"/>
              <w:textAlignment w:val="center"/>
              <w:rPr>
                <w:rFonts w:ascii="Times New Roman" w:hAnsi="Times New Roman"/>
                <w:szCs w:val="21"/>
              </w:rPr>
            </w:pPr>
            <w:r>
              <w:rPr>
                <w:rFonts w:ascii="Times New Roman" w:hAnsi="Times New Roman"/>
                <w:kern w:val="0"/>
                <w:szCs w:val="21"/>
                <w:lang w:bidi="ar"/>
              </w:rPr>
              <w:t>督导检查（次）</w:t>
            </w:r>
          </w:p>
        </w:tc>
        <w:tc>
          <w:tcPr>
            <w:tcW w:w="773"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exact"/>
              <w:jc w:val="center"/>
              <w:rPr>
                <w:rFonts w:ascii="Times New Roman" w:hAnsi="Times New Roman"/>
                <w:szCs w:val="21"/>
              </w:rPr>
            </w:pPr>
          </w:p>
        </w:tc>
      </w:tr>
      <w:tr>
        <w:tblPrEx>
          <w:tblCellMar>
            <w:top w:w="0" w:type="dxa"/>
            <w:left w:w="108" w:type="dxa"/>
            <w:bottom w:w="0" w:type="dxa"/>
            <w:right w:w="108" w:type="dxa"/>
          </w:tblCellMar>
        </w:tblPrEx>
        <w:trPr>
          <w:trHeight w:val="365" w:hRule="atLeast"/>
          <w:jc w:val="center"/>
        </w:trPr>
        <w:tc>
          <w:tcPr>
            <w:tcW w:w="983" w:type="dxa"/>
            <w:vMerge w:val="continue"/>
            <w:tcBorders>
              <w:left w:val="single" w:color="000000" w:sz="12" w:space="0"/>
              <w:bottom w:val="single" w:color="000000" w:sz="12" w:space="0"/>
              <w:right w:val="single" w:color="000000" w:sz="4" w:space="0"/>
            </w:tcBorders>
            <w:noWrap w:val="0"/>
            <w:vAlign w:val="center"/>
          </w:tcPr>
          <w:p>
            <w:pPr>
              <w:widowControl/>
              <w:spacing w:line="240" w:lineRule="exact"/>
              <w:jc w:val="center"/>
              <w:rPr>
                <w:rFonts w:ascii="Times New Roman" w:hAnsi="Times New Roman" w:eastAsia="黑体"/>
                <w:sz w:val="26"/>
                <w:szCs w:val="26"/>
              </w:rPr>
            </w:pPr>
          </w:p>
        </w:tc>
        <w:tc>
          <w:tcPr>
            <w:tcW w:w="480"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eastAsia="黑体"/>
                <w:bCs/>
                <w:szCs w:val="21"/>
                <w:lang w:val="en"/>
              </w:rPr>
            </w:pPr>
            <w:r>
              <w:rPr>
                <w:rFonts w:ascii="Times New Roman" w:hAnsi="Times New Roman" w:eastAsia="黑体"/>
                <w:bCs/>
                <w:szCs w:val="21"/>
              </w:rPr>
              <w:t>9</w:t>
            </w:r>
          </w:p>
        </w:tc>
        <w:tc>
          <w:tcPr>
            <w:tcW w:w="2767"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bCs/>
                <w:kern w:val="0"/>
                <w:szCs w:val="21"/>
                <w:lang w:bidi="ar"/>
              </w:rPr>
            </w:pPr>
            <w:r>
              <w:rPr>
                <w:rFonts w:ascii="Times New Roman" w:hAnsi="Times New Roman"/>
                <w:bCs/>
                <w:kern w:val="0"/>
                <w:szCs w:val="21"/>
                <w:lang w:bidi="ar"/>
              </w:rPr>
              <w:t>制作安全事故警示教育片（部）</w:t>
            </w:r>
          </w:p>
        </w:tc>
        <w:tc>
          <w:tcPr>
            <w:tcW w:w="767"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rPr>
                <w:rFonts w:ascii="Times New Roman" w:hAnsi="Times New Roman"/>
                <w:b/>
                <w:szCs w:val="21"/>
              </w:rPr>
            </w:pPr>
          </w:p>
        </w:tc>
        <w:tc>
          <w:tcPr>
            <w:tcW w:w="421"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bCs/>
                <w:szCs w:val="21"/>
              </w:rPr>
            </w:pPr>
            <w:r>
              <w:rPr>
                <w:rFonts w:ascii="Times New Roman" w:hAnsi="Times New Roman"/>
                <w:bCs/>
                <w:szCs w:val="21"/>
              </w:rPr>
              <w:t>10</w:t>
            </w:r>
          </w:p>
        </w:tc>
        <w:tc>
          <w:tcPr>
            <w:tcW w:w="2835"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pPr>
              <w:widowControl/>
              <w:spacing w:line="240" w:lineRule="exact"/>
              <w:jc w:val="center"/>
              <w:textAlignment w:val="center"/>
              <w:rPr>
                <w:rFonts w:ascii="Times New Roman" w:hAnsi="Times New Roman"/>
                <w:bCs/>
                <w:kern w:val="0"/>
                <w:szCs w:val="21"/>
                <w:lang w:bidi="ar"/>
              </w:rPr>
            </w:pPr>
            <w:r>
              <w:rPr>
                <w:rFonts w:ascii="Times New Roman" w:hAnsi="Times New Roman"/>
                <w:bCs/>
                <w:kern w:val="0"/>
                <w:szCs w:val="21"/>
                <w:lang w:bidi="ar"/>
              </w:rPr>
              <w:t>播放安全事故警示教育片（次）</w:t>
            </w:r>
          </w:p>
        </w:tc>
        <w:tc>
          <w:tcPr>
            <w:tcW w:w="773" w:type="dxa"/>
            <w:tcBorders>
              <w:top w:val="single" w:color="000000" w:sz="4" w:space="0"/>
              <w:left w:val="single" w:color="000000" w:sz="4" w:space="0"/>
              <w:bottom w:val="single" w:color="000000" w:sz="12" w:space="0"/>
              <w:right w:val="single" w:color="000000" w:sz="12" w:space="0"/>
            </w:tcBorders>
            <w:noWrap w:val="0"/>
            <w:vAlign w:val="center"/>
          </w:tcPr>
          <w:p>
            <w:pPr>
              <w:widowControl/>
              <w:spacing w:line="240" w:lineRule="exact"/>
              <w:jc w:val="center"/>
              <w:rPr>
                <w:rFonts w:ascii="Times New Roman" w:hAnsi="Times New Roman"/>
                <w:szCs w:val="21"/>
              </w:rPr>
            </w:pPr>
          </w:p>
        </w:tc>
      </w:tr>
    </w:tbl>
    <w:p>
      <w:pPr>
        <w:spacing w:line="240" w:lineRule="exact"/>
        <w:ind w:left="840" w:hanging="840" w:hangingChars="400"/>
        <w:contextualSpacing/>
        <w:rPr>
          <w:rFonts w:ascii="Times New Roman" w:hAnsi="Times New Roman" w:eastAsia="仿宋_GB2312"/>
          <w:szCs w:val="21"/>
        </w:rPr>
      </w:pPr>
      <w:r>
        <w:rPr>
          <w:rFonts w:ascii="Times New Roman" w:hAnsi="Times New Roman" w:eastAsia="仿宋_GB2312"/>
          <w:bCs/>
          <w:szCs w:val="21"/>
        </w:rPr>
        <w:t>备注：1.</w:t>
      </w:r>
      <w:r>
        <w:rPr>
          <w:rFonts w:hint="eastAsia" w:ascii="Times New Roman" w:hAnsi="Times New Roman" w:eastAsia="仿宋_GB2312"/>
          <w:bCs/>
          <w:szCs w:val="21"/>
          <w:lang w:eastAsia="zh-CN"/>
        </w:rPr>
        <w:t>各监管所</w:t>
      </w:r>
      <w:r>
        <w:rPr>
          <w:rFonts w:ascii="Times New Roman" w:hAnsi="Times New Roman" w:eastAsia="仿宋_GB2312"/>
          <w:bCs/>
          <w:szCs w:val="21"/>
        </w:rPr>
        <w:t>和相关</w:t>
      </w:r>
      <w:r>
        <w:rPr>
          <w:rFonts w:hint="eastAsia" w:ascii="Times New Roman" w:hAnsi="Times New Roman" w:eastAsia="仿宋_GB2312"/>
          <w:bCs/>
          <w:szCs w:val="21"/>
          <w:lang w:eastAsia="zh-CN"/>
        </w:rPr>
        <w:t>股室</w:t>
      </w:r>
      <w:r>
        <w:rPr>
          <w:rFonts w:ascii="Times New Roman" w:hAnsi="Times New Roman" w:eastAsia="仿宋_GB2312"/>
          <w:bCs/>
          <w:szCs w:val="21"/>
        </w:rPr>
        <w:t>的</w:t>
      </w:r>
      <w:r>
        <w:rPr>
          <w:rFonts w:ascii="Times New Roman" w:hAnsi="Times New Roman" w:eastAsia="仿宋_GB2312"/>
          <w:szCs w:val="21"/>
        </w:rPr>
        <w:t>调度表自</w:t>
      </w:r>
      <w:r>
        <w:rPr>
          <w:rFonts w:hint="eastAsia" w:ascii="Times New Roman" w:hAnsi="Times New Roman" w:eastAsia="仿宋_GB2312"/>
          <w:szCs w:val="21"/>
          <w:lang w:val="en-US" w:eastAsia="zh-CN"/>
        </w:rPr>
        <w:t>5</w:t>
      </w:r>
      <w:r>
        <w:rPr>
          <w:rFonts w:ascii="Times New Roman" w:hAnsi="Times New Roman" w:eastAsia="仿宋_GB2312"/>
          <w:szCs w:val="21"/>
        </w:rPr>
        <w:t>月份开始上报，每月</w:t>
      </w:r>
      <w:r>
        <w:rPr>
          <w:rFonts w:hint="eastAsia" w:ascii="Times New Roman" w:hAnsi="Times New Roman" w:eastAsia="仿宋_GB2312"/>
          <w:szCs w:val="21"/>
          <w:lang w:val="en-US" w:eastAsia="zh-CN"/>
        </w:rPr>
        <w:t>25</w:t>
      </w:r>
      <w:r>
        <w:rPr>
          <w:rFonts w:ascii="Times New Roman" w:hAnsi="Times New Roman" w:eastAsia="仿宋_GB2312"/>
          <w:szCs w:val="21"/>
        </w:rPr>
        <w:t>日前上报截至上月末的</w:t>
      </w:r>
      <w:r>
        <w:rPr>
          <w:rFonts w:ascii="Times New Roman" w:hAnsi="Times New Roman" w:eastAsia="仿宋_GB2312"/>
          <w:bCs/>
          <w:szCs w:val="21"/>
        </w:rPr>
        <w:t>累计</w:t>
      </w:r>
      <w:r>
        <w:rPr>
          <w:rFonts w:ascii="Times New Roman" w:hAnsi="Times New Roman" w:eastAsia="仿宋_GB2312"/>
          <w:szCs w:val="21"/>
        </w:rPr>
        <w:t>情况。</w:t>
      </w:r>
    </w:p>
    <w:p>
      <w:pPr>
        <w:spacing w:line="240" w:lineRule="exact"/>
        <w:ind w:firstLine="630" w:firstLineChars="300"/>
        <w:contextualSpacing/>
        <w:rPr>
          <w:rFonts w:ascii="Times New Roman" w:hAnsi="Times New Roman" w:eastAsia="仿宋_GB2312"/>
          <w:szCs w:val="21"/>
        </w:rPr>
      </w:pPr>
      <w:r>
        <w:rPr>
          <w:rFonts w:hint="eastAsia" w:ascii="Times New Roman" w:hAnsi="Times New Roman" w:eastAsia="仿宋_GB2312"/>
          <w:szCs w:val="21"/>
          <w:lang w:val="en-US" w:eastAsia="zh-CN"/>
        </w:rPr>
        <w:t>2</w:t>
      </w:r>
      <w:r>
        <w:rPr>
          <w:rFonts w:ascii="Times New Roman" w:hAnsi="Times New Roman" w:eastAsia="仿宋_GB2312"/>
          <w:szCs w:val="21"/>
        </w:rPr>
        <w:t>.调度表内容应围绕专项排查整治工作并对照方案具体要求如实填报，特别是对企业自查情</w:t>
      </w:r>
    </w:p>
    <w:p>
      <w:pPr>
        <w:spacing w:line="240" w:lineRule="exact"/>
        <w:ind w:left="420" w:leftChars="200" w:firstLine="357" w:firstLineChars="170"/>
        <w:contextualSpacing/>
        <w:rPr>
          <w:rFonts w:ascii="Times New Roman" w:hAnsi="Times New Roman" w:eastAsia="仿宋_GB2312"/>
          <w:szCs w:val="21"/>
        </w:rPr>
      </w:pPr>
      <w:r>
        <w:rPr>
          <w:rFonts w:ascii="Times New Roman" w:hAnsi="Times New Roman" w:eastAsia="仿宋_GB2312"/>
          <w:szCs w:val="21"/>
        </w:rPr>
        <w:t>况进行抽查检查时，要深挖细查，查出真问题。如：电焊等人员无证上岗作业，既要通过</w:t>
      </w:r>
    </w:p>
    <w:p>
      <w:pPr>
        <w:spacing w:line="240" w:lineRule="exact"/>
        <w:ind w:left="420" w:leftChars="200" w:firstLine="357" w:firstLineChars="170"/>
        <w:contextualSpacing/>
        <w:rPr>
          <w:rFonts w:ascii="Times New Roman" w:hAnsi="Times New Roman" w:eastAsia="仿宋_GB2312"/>
          <w:szCs w:val="21"/>
        </w:rPr>
      </w:pPr>
      <w:r>
        <w:rPr>
          <w:rFonts w:ascii="Times New Roman" w:hAnsi="Times New Roman" w:eastAsia="仿宋_GB2312"/>
          <w:szCs w:val="21"/>
        </w:rPr>
        <w:t>现场检查发现问题，也要通过对企业动火等特种作业存单进行检查核实来发现问题；外包</w:t>
      </w:r>
    </w:p>
    <w:p>
      <w:pPr>
        <w:spacing w:line="240" w:lineRule="exact"/>
        <w:ind w:left="420" w:leftChars="200" w:firstLine="357" w:firstLineChars="170"/>
        <w:contextualSpacing/>
        <w:rPr>
          <w:rFonts w:ascii="Times New Roman" w:hAnsi="Times New Roman" w:eastAsia="仿宋_GB2312"/>
          <w:szCs w:val="21"/>
        </w:rPr>
      </w:pPr>
      <w:r>
        <w:rPr>
          <w:rFonts w:ascii="Times New Roman" w:hAnsi="Times New Roman" w:eastAsia="仿宋_GB2312"/>
          <w:szCs w:val="21"/>
        </w:rPr>
        <w:t>外租管理混乱，是指</w:t>
      </w:r>
      <w:r>
        <w:rPr>
          <w:rFonts w:ascii="Times New Roman" w:hAnsi="Times New Roman" w:eastAsia="仿宋_GB2312"/>
          <w:szCs w:val="21"/>
          <w:lang w:val="en"/>
        </w:rPr>
        <w:t>符合以下情形之一的：</w:t>
      </w:r>
      <w:r>
        <w:rPr>
          <w:rFonts w:ascii="Times New Roman" w:hAnsi="Times New Roman" w:eastAsia="仿宋_GB2312"/>
          <w:szCs w:val="21"/>
        </w:rPr>
        <w:t>承包承租方不具备安全生产条件、未取得相应</w:t>
      </w:r>
    </w:p>
    <w:p>
      <w:pPr>
        <w:spacing w:line="240" w:lineRule="exact"/>
        <w:ind w:left="420" w:leftChars="200" w:firstLine="357" w:firstLineChars="170"/>
        <w:contextualSpacing/>
        <w:rPr>
          <w:rFonts w:ascii="Times New Roman" w:hAnsi="Times New Roman" w:eastAsia="仿宋_GB2312"/>
          <w:szCs w:val="21"/>
        </w:rPr>
      </w:pPr>
      <w:r>
        <w:rPr>
          <w:rFonts w:ascii="Times New Roman" w:hAnsi="Times New Roman" w:eastAsia="仿宋_GB2312"/>
          <w:szCs w:val="21"/>
        </w:rPr>
        <w:t>资质，双方未签订安全生产协议，安全生产管理职责不清，未纳入本企业统一管理等。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sectPr>
          <w:footerReference r:id="rId3" w:type="default"/>
          <w:pgSz w:w="11906" w:h="16838"/>
          <w:pgMar w:top="1134" w:right="1134" w:bottom="1134" w:left="1134" w:header="851" w:footer="992" w:gutter="0"/>
          <w:pgNumType w:fmt="numberInDash"/>
          <w:cols w:space="425" w:num="1"/>
          <w:docGrid w:type="lines" w:linePitch="312" w:charSpace="0"/>
        </w:sectPr>
      </w:pPr>
    </w:p>
    <w:p>
      <w:pPr>
        <w:spacing w:line="480" w:lineRule="exact"/>
        <w:jc w:val="left"/>
        <w:outlineLvl w:val="0"/>
        <w:rPr>
          <w:rFonts w:hint="eastAsia" w:ascii="Times New Roman" w:hAnsi="Times New Roman" w:eastAsia="黑体"/>
          <w:bCs/>
          <w:sz w:val="32"/>
          <w:szCs w:val="32"/>
          <w:lang w:eastAsia="zh-CN"/>
        </w:rPr>
      </w:pPr>
      <w:r>
        <w:rPr>
          <w:rFonts w:ascii="Times New Roman" w:hAnsi="Times New Roman" w:eastAsia="黑体"/>
          <w:bCs/>
          <w:sz w:val="32"/>
          <w:szCs w:val="32"/>
        </w:rPr>
        <w:t>附件</w:t>
      </w:r>
      <w:r>
        <w:rPr>
          <w:rFonts w:hint="eastAsia" w:ascii="Times New Roman" w:hAnsi="Times New Roman" w:eastAsia="黑体"/>
          <w:bCs/>
          <w:sz w:val="32"/>
          <w:szCs w:val="32"/>
          <w:lang w:val="en-US" w:eastAsia="zh-CN"/>
        </w:rPr>
        <w:t>2</w:t>
      </w:r>
    </w:p>
    <w:p>
      <w:pPr>
        <w:pStyle w:val="11"/>
        <w:spacing w:line="240" w:lineRule="exact"/>
        <w:ind w:firstLine="420"/>
        <w:rPr>
          <w:rFonts w:ascii="Times New Roman" w:hAnsi="Times New Roman"/>
        </w:rPr>
      </w:pPr>
    </w:p>
    <w:p>
      <w:pPr>
        <w:spacing w:line="480" w:lineRule="exact"/>
        <w:jc w:val="center"/>
        <w:outlineLvl w:val="0"/>
        <w:rPr>
          <w:rFonts w:ascii="Times New Roman" w:hAnsi="Times New Roman" w:eastAsia="方正小标宋简体"/>
          <w:bCs/>
          <w:sz w:val="44"/>
          <w:szCs w:val="44"/>
        </w:rPr>
      </w:pPr>
      <w:r>
        <w:rPr>
          <w:rFonts w:hint="eastAsia" w:ascii="Times New Roman" w:hAnsi="Times New Roman" w:eastAsia="方正小标宋简体"/>
          <w:bCs/>
          <w:sz w:val="44"/>
          <w:szCs w:val="44"/>
          <w:lang w:eastAsia="zh-CN"/>
        </w:rPr>
        <w:t>钦北区</w:t>
      </w:r>
      <w:r>
        <w:rPr>
          <w:rFonts w:ascii="Times New Roman" w:hAnsi="Times New Roman" w:eastAsia="方正小标宋简体"/>
          <w:bCs/>
          <w:sz w:val="44"/>
          <w:szCs w:val="44"/>
        </w:rPr>
        <w:t>重大事故隐患专项排查整治2023行动</w:t>
      </w:r>
    </w:p>
    <w:p>
      <w:pPr>
        <w:spacing w:line="480" w:lineRule="exact"/>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重大事故隐患清单</w:t>
      </w:r>
    </w:p>
    <w:p>
      <w:pPr>
        <w:pStyle w:val="11"/>
        <w:ind w:firstLine="420"/>
        <w:rPr>
          <w:rFonts w:ascii="Times New Roman" w:hAnsi="Times New Roman"/>
        </w:rPr>
      </w:pPr>
    </w:p>
    <w:p>
      <w:pPr>
        <w:spacing w:line="480" w:lineRule="exact"/>
        <w:jc w:val="left"/>
        <w:outlineLvl w:val="0"/>
        <w:rPr>
          <w:rFonts w:ascii="Times New Roman" w:hAnsi="Times New Roman" w:eastAsia="楷体"/>
          <w:bCs/>
          <w:sz w:val="44"/>
          <w:szCs w:val="44"/>
        </w:rPr>
      </w:pPr>
      <w:r>
        <w:rPr>
          <w:rFonts w:ascii="Times New Roman" w:hAnsi="Times New Roman" w:eastAsia="楷体"/>
          <w:sz w:val="32"/>
          <w:szCs w:val="32"/>
        </w:rPr>
        <w:t>填报单位（盖章） ：             填报时间：                  联系人及电话：</w:t>
      </w:r>
    </w:p>
    <w:tbl>
      <w:tblPr>
        <w:tblStyle w:val="5"/>
        <w:tblW w:w="1516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4"/>
        <w:gridCol w:w="2552"/>
        <w:gridCol w:w="992"/>
        <w:gridCol w:w="2299"/>
        <w:gridCol w:w="1103"/>
        <w:gridCol w:w="992"/>
        <w:gridCol w:w="709"/>
        <w:gridCol w:w="709"/>
        <w:gridCol w:w="850"/>
        <w:gridCol w:w="2127"/>
        <w:gridCol w:w="697"/>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序号</w:t>
            </w:r>
          </w:p>
        </w:tc>
        <w:tc>
          <w:tcPr>
            <w:tcW w:w="1134"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行业领域</w:t>
            </w:r>
          </w:p>
        </w:tc>
        <w:tc>
          <w:tcPr>
            <w:tcW w:w="2552"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重大隐患</w:t>
            </w:r>
          </w:p>
        </w:tc>
        <w:tc>
          <w:tcPr>
            <w:tcW w:w="992"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涉及</w:t>
            </w:r>
          </w:p>
          <w:p>
            <w:pPr>
              <w:jc w:val="center"/>
              <w:rPr>
                <w:rFonts w:ascii="Times New Roman" w:hAnsi="Times New Roman"/>
                <w:b/>
                <w:bCs/>
                <w:color w:val="000000"/>
                <w:sz w:val="22"/>
                <w:szCs w:val="22"/>
              </w:rPr>
            </w:pPr>
            <w:r>
              <w:rPr>
                <w:rFonts w:ascii="Times New Roman" w:hAnsi="Times New Roman"/>
                <w:b/>
                <w:bCs/>
                <w:color w:val="000000"/>
                <w:sz w:val="22"/>
                <w:szCs w:val="22"/>
              </w:rPr>
              <w:t>层面</w:t>
            </w:r>
          </w:p>
        </w:tc>
        <w:tc>
          <w:tcPr>
            <w:tcW w:w="2299"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整改措施</w:t>
            </w:r>
          </w:p>
        </w:tc>
        <w:tc>
          <w:tcPr>
            <w:tcW w:w="1103"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检查日期</w:t>
            </w:r>
          </w:p>
        </w:tc>
        <w:tc>
          <w:tcPr>
            <w:tcW w:w="992"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计划整改时限</w:t>
            </w:r>
          </w:p>
        </w:tc>
        <w:tc>
          <w:tcPr>
            <w:tcW w:w="709"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责任单位</w:t>
            </w:r>
          </w:p>
        </w:tc>
        <w:tc>
          <w:tcPr>
            <w:tcW w:w="709"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整改阶段</w:t>
            </w:r>
          </w:p>
        </w:tc>
        <w:tc>
          <w:tcPr>
            <w:tcW w:w="850"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实际整改完成时间</w:t>
            </w:r>
          </w:p>
        </w:tc>
        <w:tc>
          <w:tcPr>
            <w:tcW w:w="2127"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整改进展</w:t>
            </w:r>
          </w:p>
        </w:tc>
        <w:tc>
          <w:tcPr>
            <w:tcW w:w="697"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整改时间</w:t>
            </w:r>
          </w:p>
        </w:tc>
        <w:tc>
          <w:tcPr>
            <w:tcW w:w="437" w:type="dxa"/>
            <w:noWrap w:val="0"/>
            <w:vAlign w:val="center"/>
          </w:tcPr>
          <w:p>
            <w:pPr>
              <w:jc w:val="center"/>
              <w:rPr>
                <w:rFonts w:ascii="Times New Roman" w:hAnsi="Times New Roman"/>
                <w:b/>
                <w:bCs/>
                <w:color w:val="000000"/>
                <w:sz w:val="22"/>
                <w:szCs w:val="22"/>
              </w:rPr>
            </w:pPr>
            <w:r>
              <w:rPr>
                <w:rFonts w:ascii="Times New Roman" w:hAnsi="Times New Roman"/>
                <w:b/>
                <w:bCs/>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pStyle w:val="9"/>
              <w:rPr>
                <w:rFonts w:hint="default" w:ascii="Times New Roman" w:hAnsi="Times New Roman"/>
              </w:rPr>
            </w:pPr>
          </w:p>
        </w:tc>
        <w:tc>
          <w:tcPr>
            <w:tcW w:w="1134" w:type="dxa"/>
            <w:noWrap w:val="0"/>
            <w:vAlign w:val="top"/>
          </w:tcPr>
          <w:p>
            <w:pPr>
              <w:pStyle w:val="9"/>
              <w:rPr>
                <w:rFonts w:hint="default" w:ascii="Times New Roman" w:hAnsi="Times New Roman"/>
              </w:rPr>
            </w:pPr>
          </w:p>
        </w:tc>
        <w:tc>
          <w:tcPr>
            <w:tcW w:w="2552"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2299" w:type="dxa"/>
            <w:noWrap w:val="0"/>
            <w:vAlign w:val="top"/>
          </w:tcPr>
          <w:p>
            <w:pPr>
              <w:pStyle w:val="9"/>
              <w:rPr>
                <w:rFonts w:hint="default" w:ascii="Times New Roman" w:hAnsi="Times New Roman"/>
              </w:rPr>
            </w:pPr>
          </w:p>
        </w:tc>
        <w:tc>
          <w:tcPr>
            <w:tcW w:w="1103"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850" w:type="dxa"/>
            <w:noWrap w:val="0"/>
            <w:vAlign w:val="top"/>
          </w:tcPr>
          <w:p>
            <w:pPr>
              <w:pStyle w:val="9"/>
              <w:rPr>
                <w:rFonts w:hint="default" w:ascii="Times New Roman" w:hAnsi="Times New Roman"/>
              </w:rPr>
            </w:pPr>
          </w:p>
        </w:tc>
        <w:tc>
          <w:tcPr>
            <w:tcW w:w="2127" w:type="dxa"/>
            <w:noWrap w:val="0"/>
            <w:vAlign w:val="top"/>
          </w:tcPr>
          <w:p>
            <w:pPr>
              <w:pStyle w:val="9"/>
              <w:rPr>
                <w:rFonts w:hint="default" w:ascii="Times New Roman" w:hAnsi="Times New Roman"/>
              </w:rPr>
            </w:pPr>
          </w:p>
        </w:tc>
        <w:tc>
          <w:tcPr>
            <w:tcW w:w="697" w:type="dxa"/>
            <w:noWrap w:val="0"/>
            <w:vAlign w:val="top"/>
          </w:tcPr>
          <w:p>
            <w:pPr>
              <w:pStyle w:val="9"/>
              <w:rPr>
                <w:rFonts w:hint="default" w:ascii="Times New Roman" w:hAnsi="Times New Roman"/>
              </w:rPr>
            </w:pPr>
          </w:p>
        </w:tc>
        <w:tc>
          <w:tcPr>
            <w:tcW w:w="437" w:type="dxa"/>
            <w:noWrap w:val="0"/>
            <w:vAlign w:val="top"/>
          </w:tcPr>
          <w:p>
            <w:pPr>
              <w:pStyle w:val="9"/>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pStyle w:val="9"/>
              <w:rPr>
                <w:rFonts w:hint="default" w:ascii="Times New Roman" w:hAnsi="Times New Roman"/>
              </w:rPr>
            </w:pPr>
          </w:p>
        </w:tc>
        <w:tc>
          <w:tcPr>
            <w:tcW w:w="1134" w:type="dxa"/>
            <w:noWrap w:val="0"/>
            <w:vAlign w:val="top"/>
          </w:tcPr>
          <w:p>
            <w:pPr>
              <w:pStyle w:val="9"/>
              <w:rPr>
                <w:rFonts w:hint="default" w:ascii="Times New Roman" w:hAnsi="Times New Roman"/>
              </w:rPr>
            </w:pPr>
          </w:p>
        </w:tc>
        <w:tc>
          <w:tcPr>
            <w:tcW w:w="2552"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2299" w:type="dxa"/>
            <w:noWrap w:val="0"/>
            <w:vAlign w:val="top"/>
          </w:tcPr>
          <w:p>
            <w:pPr>
              <w:pStyle w:val="9"/>
              <w:rPr>
                <w:rFonts w:hint="default" w:ascii="Times New Roman" w:hAnsi="Times New Roman"/>
              </w:rPr>
            </w:pPr>
          </w:p>
        </w:tc>
        <w:tc>
          <w:tcPr>
            <w:tcW w:w="1103"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850" w:type="dxa"/>
            <w:noWrap w:val="0"/>
            <w:vAlign w:val="top"/>
          </w:tcPr>
          <w:p>
            <w:pPr>
              <w:pStyle w:val="9"/>
              <w:rPr>
                <w:rFonts w:hint="default" w:ascii="Times New Roman" w:hAnsi="Times New Roman"/>
              </w:rPr>
            </w:pPr>
          </w:p>
        </w:tc>
        <w:tc>
          <w:tcPr>
            <w:tcW w:w="2127" w:type="dxa"/>
            <w:noWrap w:val="0"/>
            <w:vAlign w:val="top"/>
          </w:tcPr>
          <w:p>
            <w:pPr>
              <w:pStyle w:val="9"/>
              <w:rPr>
                <w:rFonts w:hint="default" w:ascii="Times New Roman" w:hAnsi="Times New Roman"/>
              </w:rPr>
            </w:pPr>
          </w:p>
        </w:tc>
        <w:tc>
          <w:tcPr>
            <w:tcW w:w="697" w:type="dxa"/>
            <w:noWrap w:val="0"/>
            <w:vAlign w:val="top"/>
          </w:tcPr>
          <w:p>
            <w:pPr>
              <w:pStyle w:val="9"/>
              <w:rPr>
                <w:rFonts w:hint="default" w:ascii="Times New Roman" w:hAnsi="Times New Roman"/>
              </w:rPr>
            </w:pPr>
          </w:p>
        </w:tc>
        <w:tc>
          <w:tcPr>
            <w:tcW w:w="437" w:type="dxa"/>
            <w:noWrap w:val="0"/>
            <w:vAlign w:val="top"/>
          </w:tcPr>
          <w:p>
            <w:pPr>
              <w:pStyle w:val="9"/>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pStyle w:val="9"/>
              <w:rPr>
                <w:rFonts w:hint="default" w:ascii="Times New Roman" w:hAnsi="Times New Roman"/>
              </w:rPr>
            </w:pPr>
          </w:p>
        </w:tc>
        <w:tc>
          <w:tcPr>
            <w:tcW w:w="1134" w:type="dxa"/>
            <w:noWrap w:val="0"/>
            <w:vAlign w:val="top"/>
          </w:tcPr>
          <w:p>
            <w:pPr>
              <w:pStyle w:val="9"/>
              <w:rPr>
                <w:rFonts w:hint="default" w:ascii="Times New Roman" w:hAnsi="Times New Roman"/>
              </w:rPr>
            </w:pPr>
          </w:p>
        </w:tc>
        <w:tc>
          <w:tcPr>
            <w:tcW w:w="2552"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2299" w:type="dxa"/>
            <w:noWrap w:val="0"/>
            <w:vAlign w:val="top"/>
          </w:tcPr>
          <w:p>
            <w:pPr>
              <w:pStyle w:val="9"/>
              <w:rPr>
                <w:rFonts w:hint="default" w:ascii="Times New Roman" w:hAnsi="Times New Roman"/>
              </w:rPr>
            </w:pPr>
          </w:p>
        </w:tc>
        <w:tc>
          <w:tcPr>
            <w:tcW w:w="1103"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850" w:type="dxa"/>
            <w:noWrap w:val="0"/>
            <w:vAlign w:val="top"/>
          </w:tcPr>
          <w:p>
            <w:pPr>
              <w:pStyle w:val="9"/>
              <w:rPr>
                <w:rFonts w:hint="default" w:ascii="Times New Roman" w:hAnsi="Times New Roman"/>
              </w:rPr>
            </w:pPr>
          </w:p>
        </w:tc>
        <w:tc>
          <w:tcPr>
            <w:tcW w:w="2127" w:type="dxa"/>
            <w:noWrap w:val="0"/>
            <w:vAlign w:val="top"/>
          </w:tcPr>
          <w:p>
            <w:pPr>
              <w:pStyle w:val="9"/>
              <w:rPr>
                <w:rFonts w:hint="default" w:ascii="Times New Roman" w:hAnsi="Times New Roman"/>
              </w:rPr>
            </w:pPr>
          </w:p>
        </w:tc>
        <w:tc>
          <w:tcPr>
            <w:tcW w:w="697" w:type="dxa"/>
            <w:noWrap w:val="0"/>
            <w:vAlign w:val="top"/>
          </w:tcPr>
          <w:p>
            <w:pPr>
              <w:pStyle w:val="9"/>
              <w:rPr>
                <w:rFonts w:hint="default" w:ascii="Times New Roman" w:hAnsi="Times New Roman"/>
              </w:rPr>
            </w:pPr>
          </w:p>
        </w:tc>
        <w:tc>
          <w:tcPr>
            <w:tcW w:w="437" w:type="dxa"/>
            <w:noWrap w:val="0"/>
            <w:vAlign w:val="top"/>
          </w:tcPr>
          <w:p>
            <w:pPr>
              <w:pStyle w:val="9"/>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pStyle w:val="9"/>
              <w:rPr>
                <w:rFonts w:hint="default" w:ascii="Times New Roman" w:hAnsi="Times New Roman"/>
              </w:rPr>
            </w:pPr>
          </w:p>
        </w:tc>
        <w:tc>
          <w:tcPr>
            <w:tcW w:w="1134" w:type="dxa"/>
            <w:noWrap w:val="0"/>
            <w:vAlign w:val="top"/>
          </w:tcPr>
          <w:p>
            <w:pPr>
              <w:pStyle w:val="9"/>
              <w:rPr>
                <w:rFonts w:hint="default" w:ascii="Times New Roman" w:hAnsi="Times New Roman"/>
              </w:rPr>
            </w:pPr>
          </w:p>
        </w:tc>
        <w:tc>
          <w:tcPr>
            <w:tcW w:w="2552"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2299" w:type="dxa"/>
            <w:noWrap w:val="0"/>
            <w:vAlign w:val="top"/>
          </w:tcPr>
          <w:p>
            <w:pPr>
              <w:pStyle w:val="9"/>
              <w:rPr>
                <w:rFonts w:hint="default" w:ascii="Times New Roman" w:hAnsi="Times New Roman"/>
              </w:rPr>
            </w:pPr>
          </w:p>
        </w:tc>
        <w:tc>
          <w:tcPr>
            <w:tcW w:w="1103"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850" w:type="dxa"/>
            <w:noWrap w:val="0"/>
            <w:vAlign w:val="top"/>
          </w:tcPr>
          <w:p>
            <w:pPr>
              <w:pStyle w:val="9"/>
              <w:rPr>
                <w:rFonts w:hint="default" w:ascii="Times New Roman" w:hAnsi="Times New Roman"/>
              </w:rPr>
            </w:pPr>
          </w:p>
        </w:tc>
        <w:tc>
          <w:tcPr>
            <w:tcW w:w="2127" w:type="dxa"/>
            <w:noWrap w:val="0"/>
            <w:vAlign w:val="top"/>
          </w:tcPr>
          <w:p>
            <w:pPr>
              <w:pStyle w:val="9"/>
              <w:rPr>
                <w:rFonts w:hint="default" w:ascii="Times New Roman" w:hAnsi="Times New Roman"/>
              </w:rPr>
            </w:pPr>
          </w:p>
        </w:tc>
        <w:tc>
          <w:tcPr>
            <w:tcW w:w="697" w:type="dxa"/>
            <w:noWrap w:val="0"/>
            <w:vAlign w:val="top"/>
          </w:tcPr>
          <w:p>
            <w:pPr>
              <w:pStyle w:val="9"/>
              <w:rPr>
                <w:rFonts w:hint="default" w:ascii="Times New Roman" w:hAnsi="Times New Roman"/>
              </w:rPr>
            </w:pPr>
          </w:p>
        </w:tc>
        <w:tc>
          <w:tcPr>
            <w:tcW w:w="437" w:type="dxa"/>
            <w:noWrap w:val="0"/>
            <w:vAlign w:val="top"/>
          </w:tcPr>
          <w:p>
            <w:pPr>
              <w:pStyle w:val="9"/>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pStyle w:val="9"/>
              <w:rPr>
                <w:rFonts w:hint="default" w:ascii="Times New Roman" w:hAnsi="Times New Roman"/>
              </w:rPr>
            </w:pPr>
          </w:p>
        </w:tc>
        <w:tc>
          <w:tcPr>
            <w:tcW w:w="1134" w:type="dxa"/>
            <w:noWrap w:val="0"/>
            <w:vAlign w:val="top"/>
          </w:tcPr>
          <w:p>
            <w:pPr>
              <w:pStyle w:val="9"/>
              <w:rPr>
                <w:rFonts w:hint="default" w:ascii="Times New Roman" w:hAnsi="Times New Roman"/>
              </w:rPr>
            </w:pPr>
          </w:p>
        </w:tc>
        <w:tc>
          <w:tcPr>
            <w:tcW w:w="2552"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2299" w:type="dxa"/>
            <w:noWrap w:val="0"/>
            <w:vAlign w:val="top"/>
          </w:tcPr>
          <w:p>
            <w:pPr>
              <w:pStyle w:val="9"/>
              <w:rPr>
                <w:rFonts w:hint="default" w:ascii="Times New Roman" w:hAnsi="Times New Roman"/>
              </w:rPr>
            </w:pPr>
          </w:p>
        </w:tc>
        <w:tc>
          <w:tcPr>
            <w:tcW w:w="1103"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850" w:type="dxa"/>
            <w:noWrap w:val="0"/>
            <w:vAlign w:val="top"/>
          </w:tcPr>
          <w:p>
            <w:pPr>
              <w:pStyle w:val="9"/>
              <w:rPr>
                <w:rFonts w:hint="default" w:ascii="Times New Roman" w:hAnsi="Times New Roman"/>
              </w:rPr>
            </w:pPr>
          </w:p>
        </w:tc>
        <w:tc>
          <w:tcPr>
            <w:tcW w:w="2127" w:type="dxa"/>
            <w:noWrap w:val="0"/>
            <w:vAlign w:val="top"/>
          </w:tcPr>
          <w:p>
            <w:pPr>
              <w:pStyle w:val="9"/>
              <w:rPr>
                <w:rFonts w:hint="default" w:ascii="Times New Roman" w:hAnsi="Times New Roman"/>
              </w:rPr>
            </w:pPr>
          </w:p>
        </w:tc>
        <w:tc>
          <w:tcPr>
            <w:tcW w:w="697" w:type="dxa"/>
            <w:noWrap w:val="0"/>
            <w:vAlign w:val="top"/>
          </w:tcPr>
          <w:p>
            <w:pPr>
              <w:pStyle w:val="9"/>
              <w:rPr>
                <w:rFonts w:hint="default" w:ascii="Times New Roman" w:hAnsi="Times New Roman"/>
              </w:rPr>
            </w:pPr>
          </w:p>
        </w:tc>
        <w:tc>
          <w:tcPr>
            <w:tcW w:w="437" w:type="dxa"/>
            <w:noWrap w:val="0"/>
            <w:vAlign w:val="top"/>
          </w:tcPr>
          <w:p>
            <w:pPr>
              <w:pStyle w:val="9"/>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pStyle w:val="9"/>
              <w:rPr>
                <w:rFonts w:hint="default" w:ascii="Times New Roman" w:hAnsi="Times New Roman"/>
              </w:rPr>
            </w:pPr>
          </w:p>
        </w:tc>
        <w:tc>
          <w:tcPr>
            <w:tcW w:w="1134" w:type="dxa"/>
            <w:noWrap w:val="0"/>
            <w:vAlign w:val="top"/>
          </w:tcPr>
          <w:p>
            <w:pPr>
              <w:pStyle w:val="9"/>
              <w:rPr>
                <w:rFonts w:hint="default" w:ascii="Times New Roman" w:hAnsi="Times New Roman"/>
              </w:rPr>
            </w:pPr>
          </w:p>
        </w:tc>
        <w:tc>
          <w:tcPr>
            <w:tcW w:w="2552"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2299" w:type="dxa"/>
            <w:noWrap w:val="0"/>
            <w:vAlign w:val="top"/>
          </w:tcPr>
          <w:p>
            <w:pPr>
              <w:pStyle w:val="9"/>
              <w:rPr>
                <w:rFonts w:hint="default" w:ascii="Times New Roman" w:hAnsi="Times New Roman"/>
              </w:rPr>
            </w:pPr>
          </w:p>
        </w:tc>
        <w:tc>
          <w:tcPr>
            <w:tcW w:w="1103"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850" w:type="dxa"/>
            <w:noWrap w:val="0"/>
            <w:vAlign w:val="top"/>
          </w:tcPr>
          <w:p>
            <w:pPr>
              <w:pStyle w:val="9"/>
              <w:rPr>
                <w:rFonts w:hint="default" w:ascii="Times New Roman" w:hAnsi="Times New Roman"/>
              </w:rPr>
            </w:pPr>
          </w:p>
        </w:tc>
        <w:tc>
          <w:tcPr>
            <w:tcW w:w="2127" w:type="dxa"/>
            <w:noWrap w:val="0"/>
            <w:vAlign w:val="top"/>
          </w:tcPr>
          <w:p>
            <w:pPr>
              <w:pStyle w:val="9"/>
              <w:rPr>
                <w:rFonts w:hint="default" w:ascii="Times New Roman" w:hAnsi="Times New Roman"/>
              </w:rPr>
            </w:pPr>
          </w:p>
        </w:tc>
        <w:tc>
          <w:tcPr>
            <w:tcW w:w="697" w:type="dxa"/>
            <w:noWrap w:val="0"/>
            <w:vAlign w:val="top"/>
          </w:tcPr>
          <w:p>
            <w:pPr>
              <w:pStyle w:val="9"/>
              <w:rPr>
                <w:rFonts w:hint="default" w:ascii="Times New Roman" w:hAnsi="Times New Roman"/>
              </w:rPr>
            </w:pPr>
          </w:p>
        </w:tc>
        <w:tc>
          <w:tcPr>
            <w:tcW w:w="437" w:type="dxa"/>
            <w:noWrap w:val="0"/>
            <w:vAlign w:val="top"/>
          </w:tcPr>
          <w:p>
            <w:pPr>
              <w:pStyle w:val="9"/>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pStyle w:val="9"/>
              <w:rPr>
                <w:rFonts w:hint="default" w:ascii="Times New Roman" w:hAnsi="Times New Roman"/>
              </w:rPr>
            </w:pPr>
          </w:p>
        </w:tc>
        <w:tc>
          <w:tcPr>
            <w:tcW w:w="1134" w:type="dxa"/>
            <w:noWrap w:val="0"/>
            <w:vAlign w:val="top"/>
          </w:tcPr>
          <w:p>
            <w:pPr>
              <w:pStyle w:val="9"/>
              <w:rPr>
                <w:rFonts w:hint="default" w:ascii="Times New Roman" w:hAnsi="Times New Roman"/>
              </w:rPr>
            </w:pPr>
          </w:p>
        </w:tc>
        <w:tc>
          <w:tcPr>
            <w:tcW w:w="2552"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2299" w:type="dxa"/>
            <w:noWrap w:val="0"/>
            <w:vAlign w:val="top"/>
          </w:tcPr>
          <w:p>
            <w:pPr>
              <w:pStyle w:val="9"/>
              <w:rPr>
                <w:rFonts w:hint="default" w:ascii="Times New Roman" w:hAnsi="Times New Roman"/>
              </w:rPr>
            </w:pPr>
          </w:p>
        </w:tc>
        <w:tc>
          <w:tcPr>
            <w:tcW w:w="1103" w:type="dxa"/>
            <w:noWrap w:val="0"/>
            <w:vAlign w:val="top"/>
          </w:tcPr>
          <w:p>
            <w:pPr>
              <w:pStyle w:val="9"/>
              <w:rPr>
                <w:rFonts w:hint="default" w:ascii="Times New Roman" w:hAnsi="Times New Roman"/>
              </w:rPr>
            </w:pPr>
          </w:p>
        </w:tc>
        <w:tc>
          <w:tcPr>
            <w:tcW w:w="992"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709" w:type="dxa"/>
            <w:noWrap w:val="0"/>
            <w:vAlign w:val="top"/>
          </w:tcPr>
          <w:p>
            <w:pPr>
              <w:pStyle w:val="9"/>
              <w:rPr>
                <w:rFonts w:hint="default" w:ascii="Times New Roman" w:hAnsi="Times New Roman"/>
              </w:rPr>
            </w:pPr>
          </w:p>
        </w:tc>
        <w:tc>
          <w:tcPr>
            <w:tcW w:w="850" w:type="dxa"/>
            <w:noWrap w:val="0"/>
            <w:vAlign w:val="top"/>
          </w:tcPr>
          <w:p>
            <w:pPr>
              <w:pStyle w:val="9"/>
              <w:rPr>
                <w:rFonts w:hint="default" w:ascii="Times New Roman" w:hAnsi="Times New Roman"/>
              </w:rPr>
            </w:pPr>
          </w:p>
        </w:tc>
        <w:tc>
          <w:tcPr>
            <w:tcW w:w="2127" w:type="dxa"/>
            <w:noWrap w:val="0"/>
            <w:vAlign w:val="top"/>
          </w:tcPr>
          <w:p>
            <w:pPr>
              <w:pStyle w:val="9"/>
              <w:rPr>
                <w:rFonts w:hint="default" w:ascii="Times New Roman" w:hAnsi="Times New Roman"/>
              </w:rPr>
            </w:pPr>
          </w:p>
        </w:tc>
        <w:tc>
          <w:tcPr>
            <w:tcW w:w="697" w:type="dxa"/>
            <w:noWrap w:val="0"/>
            <w:vAlign w:val="top"/>
          </w:tcPr>
          <w:p>
            <w:pPr>
              <w:pStyle w:val="9"/>
              <w:rPr>
                <w:rFonts w:hint="default" w:ascii="Times New Roman" w:hAnsi="Times New Roman"/>
              </w:rPr>
            </w:pPr>
          </w:p>
        </w:tc>
        <w:tc>
          <w:tcPr>
            <w:tcW w:w="437" w:type="dxa"/>
            <w:noWrap w:val="0"/>
            <w:vAlign w:val="top"/>
          </w:tcPr>
          <w:p>
            <w:pPr>
              <w:pStyle w:val="9"/>
              <w:rPr>
                <w:rFonts w:hint="default" w:ascii="Times New Roman" w:hAnsi="Times New Roman"/>
              </w:rPr>
            </w:pPr>
          </w:p>
        </w:tc>
      </w:tr>
    </w:tbl>
    <w:p>
      <w:pPr>
        <w:spacing w:line="240" w:lineRule="exact"/>
        <w:contextualSpacing/>
        <w:jc w:val="left"/>
        <w:rPr>
          <w:rFonts w:ascii="Times New Roman" w:hAnsi="Times New Roman" w:eastAsia="楷体_GB2312"/>
          <w:sz w:val="24"/>
          <w:szCs w:val="32"/>
        </w:rPr>
      </w:pPr>
    </w:p>
    <w:p>
      <w:pPr>
        <w:spacing w:line="240" w:lineRule="exact"/>
        <w:contextualSpacing/>
        <w:jc w:val="left"/>
        <w:rPr>
          <w:rFonts w:ascii="Times New Roman" w:hAnsi="Times New Roman" w:eastAsia="楷体_GB2312"/>
          <w:sz w:val="24"/>
          <w:szCs w:val="32"/>
        </w:rPr>
      </w:pPr>
      <w:r>
        <w:rPr>
          <w:rFonts w:ascii="Times New Roman" w:hAnsi="Times New Roman" w:eastAsia="楷体_GB2312"/>
          <w:sz w:val="24"/>
          <w:szCs w:val="32"/>
        </w:rPr>
        <w:t>填报说明：1. “涉及层面”，请填写市、区县层面。</w:t>
      </w:r>
    </w:p>
    <w:p>
      <w:pPr>
        <w:spacing w:line="240" w:lineRule="exact"/>
        <w:ind w:firstLine="1200" w:firstLineChars="500"/>
        <w:contextualSpacing/>
        <w:jc w:val="left"/>
        <w:rPr>
          <w:rFonts w:ascii="Times New Roman" w:hAnsi="Times New Roman" w:eastAsia="楷体_GB2312"/>
          <w:sz w:val="24"/>
          <w:szCs w:val="32"/>
        </w:rPr>
      </w:pPr>
      <w:r>
        <w:rPr>
          <w:rFonts w:ascii="Times New Roman" w:hAnsi="Times New Roman" w:eastAsia="楷体_GB2312"/>
          <w:sz w:val="24"/>
          <w:szCs w:val="32"/>
        </w:rPr>
        <w:t>2. “检查时间”填写后，“计划整改完成时间”、“实际整改完成时间”、“整改进展时间”都需要等于或者晚于“检查时间”。</w:t>
      </w:r>
    </w:p>
    <w:p>
      <w:pPr>
        <w:spacing w:line="240" w:lineRule="exact"/>
        <w:ind w:firstLine="1200" w:firstLineChars="500"/>
        <w:contextualSpacing/>
        <w:jc w:val="left"/>
        <w:rPr>
          <w:rFonts w:ascii="Times New Roman" w:hAnsi="Times New Roman" w:eastAsia="楷体_GB2312"/>
          <w:sz w:val="24"/>
          <w:szCs w:val="32"/>
        </w:rPr>
      </w:pPr>
      <w:r>
        <w:rPr>
          <w:rFonts w:ascii="Times New Roman" w:hAnsi="Times New Roman" w:eastAsia="楷体_GB2312"/>
          <w:sz w:val="24"/>
          <w:szCs w:val="32"/>
        </w:rPr>
        <w:t xml:space="preserve">3. “整改进展”可以填写多条。  </w:t>
      </w:r>
    </w:p>
    <w:p>
      <w:pPr>
        <w:pStyle w:val="11"/>
        <w:ind w:left="0" w:leftChars="0" w:firstLine="1200" w:firstLineChars="500"/>
        <w:rPr>
          <w:rFonts w:ascii="Times New Roman" w:hAnsi="Times New Roman"/>
        </w:rPr>
        <w:sectPr>
          <w:pgSz w:w="16838" w:h="11906" w:orient="landscape"/>
          <w:pgMar w:top="1134" w:right="1134" w:bottom="1134" w:left="1134" w:header="851" w:footer="992" w:gutter="0"/>
          <w:pgNumType w:fmt="numberInDash"/>
          <w:cols w:space="425" w:num="1"/>
          <w:docGrid w:type="lines" w:linePitch="312" w:charSpace="0"/>
        </w:sectPr>
      </w:pPr>
      <w:r>
        <w:rPr>
          <w:rFonts w:ascii="Times New Roman" w:hAnsi="Times New Roman" w:eastAsia="楷体_GB2312"/>
          <w:sz w:val="24"/>
          <w:szCs w:val="32"/>
        </w:rPr>
        <w:t>4.</w:t>
      </w:r>
      <w:r>
        <w:rPr>
          <w:rFonts w:hint="eastAsia" w:ascii="Times New Roman" w:hAnsi="Times New Roman" w:eastAsia="楷体_GB2312"/>
          <w:bCs/>
          <w:sz w:val="24"/>
          <w:szCs w:val="32"/>
          <w:lang w:eastAsia="zh-CN"/>
        </w:rPr>
        <w:t>各监管所和相关股室</w:t>
      </w:r>
      <w:r>
        <w:rPr>
          <w:rFonts w:ascii="Times New Roman" w:hAnsi="Times New Roman" w:eastAsia="楷体_GB2312"/>
          <w:bCs/>
          <w:sz w:val="24"/>
          <w:szCs w:val="32"/>
        </w:rPr>
        <w:t>要将</w:t>
      </w:r>
      <w:r>
        <w:rPr>
          <w:rFonts w:ascii="Times New Roman" w:hAnsi="Times New Roman" w:eastAsia="楷体_GB2312"/>
          <w:sz w:val="24"/>
          <w:szCs w:val="32"/>
        </w:rPr>
        <w:t>本表与</w:t>
      </w:r>
      <w:r>
        <w:rPr>
          <w:rFonts w:hint="eastAsia" w:ascii="Times New Roman" w:hAnsi="Times New Roman" w:eastAsia="楷体_GB2312"/>
          <w:sz w:val="24"/>
          <w:szCs w:val="32"/>
          <w:lang w:eastAsia="zh-CN"/>
        </w:rPr>
        <w:t>附件</w:t>
      </w:r>
      <w:r>
        <w:rPr>
          <w:rFonts w:hint="eastAsia" w:ascii="Times New Roman" w:hAnsi="Times New Roman" w:eastAsia="楷体_GB2312"/>
          <w:sz w:val="24"/>
          <w:szCs w:val="32"/>
          <w:lang w:val="en-US" w:eastAsia="zh-CN"/>
        </w:rPr>
        <w:t>1的</w:t>
      </w:r>
      <w:r>
        <w:rPr>
          <w:rFonts w:ascii="Times New Roman" w:hAnsi="Times New Roman" w:eastAsia="楷体_GB2312"/>
          <w:sz w:val="24"/>
          <w:szCs w:val="32"/>
        </w:rPr>
        <w:t>调度表</w:t>
      </w:r>
      <w:r>
        <w:rPr>
          <w:rFonts w:hint="eastAsia" w:ascii="Times New Roman" w:hAnsi="Times New Roman" w:eastAsia="楷体_GB2312"/>
          <w:sz w:val="24"/>
          <w:szCs w:val="32"/>
          <w:lang w:eastAsia="zh-CN"/>
        </w:rPr>
        <w:t>每月</w:t>
      </w:r>
      <w:r>
        <w:rPr>
          <w:rFonts w:hint="eastAsia" w:ascii="Times New Roman" w:hAnsi="Times New Roman" w:eastAsia="楷体_GB2312"/>
          <w:sz w:val="24"/>
          <w:szCs w:val="32"/>
          <w:lang w:val="en-US" w:eastAsia="zh-CN"/>
        </w:rPr>
        <w:t>25日前</w:t>
      </w:r>
      <w:r>
        <w:rPr>
          <w:rFonts w:ascii="Times New Roman" w:hAnsi="Times New Roman" w:eastAsia="楷体_GB2312"/>
          <w:sz w:val="24"/>
          <w:szCs w:val="32"/>
        </w:rPr>
        <w:t xml:space="preserve">一并上报。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ascii="方正小标宋_GBK" w:hAnsi="方正小标宋_GBK" w:eastAsia="方正小标宋_GBK" w:cs="方正小标宋_GBK"/>
          <w:sz w:val="44"/>
          <w:szCs w:val="44"/>
          <w:lang w:eastAsia="zh-CN"/>
        </w:rPr>
        <w:t>消防安全隐患自查表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425"/>
        <w:gridCol w:w="2013"/>
        <w:gridCol w:w="222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restart"/>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检查单位基本情况</w:t>
            </w:r>
          </w:p>
        </w:tc>
        <w:tc>
          <w:tcPr>
            <w:tcW w:w="24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单位名称</w:t>
            </w:r>
          </w:p>
        </w:tc>
        <w:tc>
          <w:tcPr>
            <w:tcW w:w="20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2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所在地址</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4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所在建筑层数</w:t>
            </w:r>
          </w:p>
        </w:tc>
        <w:tc>
          <w:tcPr>
            <w:tcW w:w="20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2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建筑高度(m)</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4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建筑面积(m2)</w:t>
            </w:r>
          </w:p>
        </w:tc>
        <w:tc>
          <w:tcPr>
            <w:tcW w:w="20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2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消防安全管理人（联系人）</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4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联系电话</w:t>
            </w:r>
          </w:p>
        </w:tc>
        <w:tc>
          <w:tcPr>
            <w:tcW w:w="20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2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场所类别</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4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基本情况（经营业态、经营状况等）</w:t>
            </w:r>
          </w:p>
        </w:tc>
        <w:tc>
          <w:tcPr>
            <w:tcW w:w="611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restart"/>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排查</w:t>
            </w:r>
          </w:p>
        </w:tc>
        <w:tc>
          <w:tcPr>
            <w:tcW w:w="6663"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是否符合火源管理</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是否符合电源管理</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易燃可燃保温材料和装饰装修是否符合规定</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安全疏散条件是否符合规定</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防火分隔是否符合规定</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消防设施设备是否符合规定</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是否落实管理责任</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是否具备初期火灾处置条件</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是否符合生产经营租住自建房安全管理</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6663"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彩钢板厂房库房是否符合安全条件</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24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消防控制室值班员</w:t>
            </w:r>
          </w:p>
        </w:tc>
        <w:tc>
          <w:tcPr>
            <w:tcW w:w="20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单人□  双人□ 不涉及□</w:t>
            </w:r>
          </w:p>
        </w:tc>
        <w:tc>
          <w:tcPr>
            <w:tcW w:w="22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是否经培训持证上岗</w:t>
            </w:r>
          </w:p>
        </w:tc>
        <w:tc>
          <w:tcPr>
            <w:tcW w:w="18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现有消防设施、设备</w:t>
            </w:r>
          </w:p>
        </w:tc>
        <w:tc>
          <w:tcPr>
            <w:tcW w:w="8538" w:type="dxa"/>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具体存在的消防安全隐患问题</w:t>
            </w:r>
          </w:p>
        </w:tc>
        <w:tc>
          <w:tcPr>
            <w:tcW w:w="8538" w:type="dxa"/>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隐患整改结果</w:t>
            </w:r>
          </w:p>
        </w:tc>
        <w:tc>
          <w:tcPr>
            <w:tcW w:w="8538" w:type="dxa"/>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检查人员签名：</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检查时间：</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lang w:eastAsia="zh-CN"/>
        </w:rPr>
        <w:t xml:space="preserve">日 </w:t>
      </w:r>
    </w:p>
    <w:p>
      <w:pPr>
        <w:rPr>
          <w:rFonts w:hint="eastAsia"/>
          <w:lang w:eastAsia="zh-CN"/>
        </w:rPr>
      </w:pPr>
    </w:p>
    <w:sectPr>
      <w:pgSz w:w="11906" w:h="16838"/>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30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30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7.25pt;mso-position-horizontal:outside;mso-position-horizontal-relative:margin;z-index:251659264;mso-width-relative:page;mso-height-relative:page;" filled="f" stroked="f" coordsize="21600,21600" o:gfxdata="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8C7ENQAAAAEAQAADwAAAAAAAAABACAAAAAiAAAAZHJzL2Rvd25yZXYu&#10;eG1sUEsBAhQAFAAAAAgAh07iQImK1Z44AgAAYgQAAA4AAAAAAAAAAQAgAAAAIwEAAGRycy9lMm9E&#10;b2MueG1sUEsFBgAAAAAGAAYAWQEAAM0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YjRiOGRjMDM5ZGVmNGE4YmIyOWFlYmY5YTgwNWYifQ=="/>
  </w:docVars>
  <w:rsids>
    <w:rsidRoot w:val="00000000"/>
    <w:rsid w:val="035354CE"/>
    <w:rsid w:val="064B5708"/>
    <w:rsid w:val="0B0A3570"/>
    <w:rsid w:val="106F18A1"/>
    <w:rsid w:val="145A112D"/>
    <w:rsid w:val="19B47424"/>
    <w:rsid w:val="1F922A8C"/>
    <w:rsid w:val="206F27E2"/>
    <w:rsid w:val="2D8A428A"/>
    <w:rsid w:val="31C41FBD"/>
    <w:rsid w:val="330A6415"/>
    <w:rsid w:val="35A53346"/>
    <w:rsid w:val="39997A7D"/>
    <w:rsid w:val="39D96898"/>
    <w:rsid w:val="39D968AA"/>
    <w:rsid w:val="4A036364"/>
    <w:rsid w:val="4C021C5C"/>
    <w:rsid w:val="4E5C764F"/>
    <w:rsid w:val="4F61043A"/>
    <w:rsid w:val="52F65EE9"/>
    <w:rsid w:val="531F2786"/>
    <w:rsid w:val="5480195A"/>
    <w:rsid w:val="54D46E00"/>
    <w:rsid w:val="55BD2CEE"/>
    <w:rsid w:val="566474CB"/>
    <w:rsid w:val="567F6CC5"/>
    <w:rsid w:val="5724289C"/>
    <w:rsid w:val="5AB4035F"/>
    <w:rsid w:val="5B1E422F"/>
    <w:rsid w:val="5E451CBD"/>
    <w:rsid w:val="5E746B20"/>
    <w:rsid w:val="5F30008D"/>
    <w:rsid w:val="5F9E2CC5"/>
    <w:rsid w:val="64E65ACE"/>
    <w:rsid w:val="66163C09"/>
    <w:rsid w:val="6B196F1C"/>
    <w:rsid w:val="6C4A50FD"/>
    <w:rsid w:val="73AB0A57"/>
    <w:rsid w:val="786E30ED"/>
    <w:rsid w:val="7A441856"/>
    <w:rsid w:val="7D025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sz w:val="32"/>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Default"/>
    <w:basedOn w:val="10"/>
    <w:next w:val="1"/>
    <w:qFormat/>
    <w:uiPriority w:val="0"/>
    <w:pPr>
      <w:widowControl w:val="0"/>
      <w:autoSpaceDE w:val="0"/>
      <w:autoSpaceDN w:val="0"/>
      <w:adjustRightInd w:val="0"/>
      <w:spacing w:beforeLines="0" w:afterLines="0"/>
    </w:pPr>
    <w:rPr>
      <w:rFonts w:hint="eastAsia" w:ascii="方正仿宋_GBK" w:hAnsi="方正仿宋_GBK" w:eastAsia="方正仿宋_GBK" w:cs="Times New Roman"/>
      <w:color w:val="000000"/>
      <w:sz w:val="24"/>
    </w:rPr>
  </w:style>
  <w:style w:type="paragraph" w:customStyle="1" w:styleId="10">
    <w:name w:val="纯文本1"/>
    <w:basedOn w:val="1"/>
    <w:qFormat/>
    <w:uiPriority w:val="0"/>
    <w:pPr>
      <w:textAlignment w:val="baseline"/>
    </w:pPr>
    <w:rPr>
      <w:rFonts w:ascii="宋体" w:hAnsi="Courier New" w:eastAsia="宋体" w:cs="Times New Roman"/>
    </w:rPr>
  </w:style>
  <w:style w:type="paragraph" w:customStyle="1" w:styleId="11">
    <w:name w:val="正文-公1"/>
    <w:basedOn w:val="1"/>
    <w:next w:val="1"/>
    <w:qFormat/>
    <w:uiPriority w:val="0"/>
    <w:pPr>
      <w:ind w:firstLine="200" w:firstLineChars="200"/>
      <w:jc w:val="left"/>
    </w:pPr>
    <w:rPr>
      <w:rFonts w:eastAsia="仿宋_GB2312"/>
    </w:rPr>
  </w:style>
  <w:style w:type="paragraph" w:customStyle="1" w:styleId="1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5818</Words>
  <Characters>5990</Characters>
  <Lines>0</Lines>
  <Paragraphs>0</Paragraphs>
  <TotalTime>16</TotalTime>
  <ScaleCrop>false</ScaleCrop>
  <LinksUpToDate>false</LinksUpToDate>
  <CharactersWithSpaces>6219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2023-05-15T00:29:00Z</dcterms:created>
  <dc:creator>Administrator.PC-20230202SYVJ</dc:creator>
  <cp:lastModifiedBy>tingcui</cp:lastModifiedBy>
  <cp:lastPrinted>2023-05-29T00:21:00Z</cp:lastPrinted>
  <dcterms:modified xsi:type="dcterms:W3CDTF">2023-05-30T02:11:36Z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0DA3FCC993C54226AC060EA66A337CF2_13</vt:lpwstr>
  </property>
</Properties>
</file>