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钦北区政协提案办理答复清单</w:t>
      </w:r>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173"/>
        <w:gridCol w:w="1590"/>
        <w:gridCol w:w="3079"/>
        <w:gridCol w:w="3622"/>
      </w:tblGrid>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w:t>
            </w:r>
            <w:r>
              <w:rPr>
                <w:rFonts w:ascii="Times New Roman" w:eastAsia="黑体" w:cs="Times New Roman" w:hAnsi="Times New Roman" w:hint="eastAsia"/>
                <w:kern w:val="0"/>
                <w:sz w:val="32"/>
                <w:szCs w:val="32"/>
                <w:lang w:val="en-US" w:eastAsia="zh-CN"/>
              </w:rPr>
              <w:t>2025013</w:t>
            </w:r>
            <w:r>
              <w:rPr>
                <w:rFonts w:ascii="Times New Roman" w:eastAsia="黑体" w:cs="Times New Roman" w:hAnsi="Times New Roman"/>
                <w:kern w:val="0"/>
                <w:sz w:val="32"/>
                <w:szCs w:val="32"/>
              </w:rPr>
              <w:t>号提案的答复</w:t>
            </w:r>
          </w:p>
        </w:tc>
      </w:tr>
      <w:tr>
        <w:trPr>
          <w:trHeight w:val="192"/>
        </w:trPr>
        <w:tc>
          <w:tcPr>
            <w:tcW w:w="1173"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建议一</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jc w:val="both"/>
              <w:rPr>
                <w:rFonts w:eastAsia="仿宋_GB2312"/>
                <w:kern w:val="0"/>
                <w:sz w:val="24"/>
              </w:rPr>
            </w:pPr>
            <w:r>
              <w:rPr>
                <w:rFonts w:ascii="Times New Roman" w:eastAsia="仿宋_GB2312" w:cs="Times New Roman" w:hAnsi="Times New Roman"/>
                <w:kern w:val="0"/>
                <w:sz w:val="24"/>
                <w:szCs w:val="24"/>
                <w:lang w:val="en-US" w:eastAsia="zh-CN" w:bidi="ar-SA"/>
              </w:rPr>
              <w:t>迁移或合并部分电线杆</w:t>
            </w:r>
          </w:p>
        </w:tc>
      </w:tr>
      <w:tr>
        <w:trPr>
          <w:trHeight w:val="650"/>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0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当年完成事项</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left"/>
              <w:rPr>
                <w:rFonts w:ascii="仿宋_GB2312" w:eastAsia="仿宋_GB2312" w:cs="仿宋_GB2312" w:hint="eastAsia"/>
                <w:color w:val="000000"/>
                <w:sz w:val="24"/>
                <w:lang w:eastAsia="zh-CN"/>
              </w:rPr>
            </w:pPr>
            <w:r>
              <w:rPr>
                <w:rFonts w:ascii="仿宋_GB2312" w:eastAsia="仿宋_GB2312" w:cs="仿宋_GB2312" w:hint="eastAsia"/>
                <w:color w:val="000000"/>
                <w:sz w:val="24"/>
                <w:lang w:eastAsia="zh-CN"/>
              </w:rPr>
              <w:t>1.城区供电局对该路段电杆进行摸排，该段电杆及线路的安装高度及安全距离是符合要求的，是由于电信、移动通信、联通、有线电视网络等弱电设施挂在城区供电局的电杆上造成的混乱现象，对于存在附挂现象的，钦北区协调涉及的产权单位按具体情况来推进整改。</w:t>
            </w:r>
          </w:p>
          <w:p>
            <w:pPr>
              <w:pStyle w:val="15"/>
              <w:keepNext w:val="0"/>
              <w:keepLines w:val="0"/>
              <w:pageBreakBefore w:val="0"/>
              <w:widowControl w:val="0"/>
              <w:ind w:left="0" w:firstLineChars="0" w:firstLine="0"/>
              <w:rPr>
                <w:rFonts w:ascii="仿宋_GB2312" w:eastAsia="仿宋_GB2312" w:cs="仿宋_GB2312" w:hint="eastAsia"/>
                <w:color w:val="000000"/>
                <w:sz w:val="24"/>
              </w:rPr>
            </w:pPr>
            <w:r>
              <w:rPr>
                <w:rFonts w:ascii="仿宋_GB2312" w:eastAsia="仿宋_GB2312" w:cs="仿宋_GB2312" w:hint="eastAsia"/>
                <w:color w:val="000000"/>
                <w:sz w:val="24"/>
              </w:rPr>
              <w:t>2</w:t>
            </w:r>
            <w:r>
              <w:rPr>
                <w:rFonts w:ascii="仿宋_GB2312" w:eastAsia="仿宋_GB2312" w:cs="仿宋_GB2312" w:hAnsi="Times New Roman" w:hint="eastAsia"/>
                <w:color w:val="000000"/>
                <w:kern w:val="2"/>
                <w:sz w:val="24"/>
                <w:szCs w:val="24"/>
                <w:lang w:val="en-US" w:eastAsia="zh-CN" w:bidi="ar-SA"/>
              </w:rPr>
              <w:t>.钦北区协调供电、移动、电信、联通、广电等各管线单位多方沟通共同规划，优化电缆网架结构和通信线路布局，解决线缆乱飞、走线随意等问题。</w:t>
            </w:r>
            <w:bookmarkStart w:id="0" w:name="_GoBack"/>
            <w:bookmarkEnd w:id="0"/>
          </w:p>
        </w:tc>
      </w:tr>
      <w:tr>
        <w:trPr>
          <w:trHeight w:val="1538"/>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center"/>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正在推动工作</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keepNext w:val="0"/>
              <w:keepLines w:val="0"/>
              <w:pageBreakBefore w:val="0"/>
              <w:widowControl w:val="0"/>
              <w:ind w:left="0" w:firstLineChars="0" w:firstLine="0"/>
              <w:rPr>
                <w:rFonts w:ascii="仿宋_GB2312" w:eastAsia="仿宋_GB2312" w:cs="仿宋_GB2312" w:hint="eastAsia"/>
                <w:kern w:val="0"/>
                <w:sz w:val="24"/>
                <w:lang w:eastAsia="zh-CN"/>
              </w:rPr>
            </w:pPr>
            <w:r>
              <w:rPr>
                <w:rFonts w:ascii="仿宋_GB2312" w:eastAsia="仿宋_GB2312" w:cs="仿宋_GB2312" w:hAnsi="Times New Roman" w:hint="eastAsia"/>
                <w:color w:val="000000"/>
                <w:kern w:val="2"/>
                <w:sz w:val="24"/>
                <w:szCs w:val="24"/>
                <w:lang w:val="en-US" w:eastAsia="zh-CN" w:bidi="ar-SA"/>
              </w:rPr>
              <w:t>督促移动公司针对鸿亭街道鱼龙坪村富民路线缆混乱问题进行以下整改，对富民路1号公变1线2支03号、10KV大岭线2号进行两个箱体换箱，并把皮线按要求捆扎。</w:t>
            </w:r>
          </w:p>
        </w:tc>
      </w:tr>
      <w:tr>
        <w:trPr>
          <w:trHeight w:val="471"/>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center"/>
              <w:rPr>
                <w:rFonts w:ascii="Times New Roman" w:eastAsia="仿宋_GB2312" w:cs="Times New Roman" w:hAnsi="Times New Roman"/>
                <w:kern w:val="0"/>
                <w:sz w:val="24"/>
              </w:rPr>
            </w:pPr>
            <w:r>
              <w:rPr>
                <w:rFonts w:ascii="Times New Roman" w:eastAsia="仿宋_GB2312" w:cs="Times New Roman" w:hAnsi="Times New Roman"/>
                <w:kern w:val="0"/>
                <w:sz w:val="24"/>
              </w:rPr>
              <w:t>建议二</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left="0" w:firstLineChars="0" w:firstLine="0"/>
              <w:jc w:val="both"/>
              <w:rPr>
                <w:rFonts w:ascii="Times New Roman" w:eastAsia="仿宋_GB2312" w:cs="Times New Roman" w:hAnsi="Times New Roman"/>
                <w:kern w:val="0"/>
                <w:sz w:val="24"/>
              </w:rPr>
            </w:pPr>
            <w:r>
              <w:rPr>
                <w:rFonts w:ascii="Times New Roman" w:eastAsia="仿宋_GB2312" w:cs="Times New Roman" w:hAnsi="Times New Roman"/>
                <w:kern w:val="0"/>
                <w:sz w:val="24"/>
                <w:szCs w:val="24"/>
                <w:lang w:val="en-US" w:eastAsia="zh-CN" w:bidi="ar-SA"/>
              </w:rPr>
              <w:t>成立协调工作小组</w:t>
            </w:r>
          </w:p>
        </w:tc>
      </w:tr>
      <w:tr>
        <w:trPr>
          <w:trHeight w:val="1661"/>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00" w:lineRule="atLeast"/>
              <w:jc w:val="center"/>
              <w:textAlignment w:val="auto"/>
              <w:rPr>
                <w:rFonts w:ascii="Times New Roman" w:eastAsia="仿宋_GB2312" w:cs="Times New Roman" w:hAnsi="Times New Roman"/>
                <w:kern w:val="0"/>
                <w:sz w:val="24"/>
              </w:rPr>
            </w:pPr>
            <w:r>
              <w:rPr>
                <w:rFonts w:ascii="Times New Roman" w:eastAsia="仿宋_GB2312" w:cs="Times New Roman" w:hAnsi="Times New Roman"/>
                <w:kern w:val="0"/>
                <w:sz w:val="24"/>
                <w:szCs w:val="24"/>
              </w:rPr>
              <w:t>当年完成事项</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5"/>
              <w:snapToGrid w:val="0"/>
              <w:spacing w:line="300" w:lineRule="atLeast"/>
              <w:ind w:left="0" w:firstLineChars="0" w:firstLine="0"/>
              <w:rPr>
                <w:rFonts w:hint="eastAsia"/>
                <w:lang w:val="en-US" w:eastAsia="zh-CN"/>
              </w:rPr>
            </w:pPr>
            <w:r>
              <w:rPr>
                <w:rFonts w:ascii="仿宋_GB2312" w:eastAsia="仿宋_GB2312" w:cs="仿宋_GB2312" w:hAnsi="Times New Roman" w:hint="eastAsia"/>
                <w:sz w:val="24"/>
              </w:rPr>
              <w:t>钦北区联合市通管办、供电、广电部门以及移动、电信、联通、铁塔等运营商组成临时小组，参与沟通协调</w:t>
            </w:r>
            <w:r>
              <w:rPr>
                <w:rFonts w:ascii="仿宋_GB2312" w:eastAsia="仿宋_GB2312" w:cs="仿宋_GB2312" w:hint="eastAsia"/>
                <w:sz w:val="24"/>
                <w:lang w:eastAsia="zh-CN"/>
              </w:rPr>
              <w:t>。</w:t>
            </w:r>
          </w:p>
          <w:p>
            <w:pPr>
              <w:pStyle w:val="16"/>
              <w:tabs>
                <w:tab w:val="center" w:pos="4153"/>
                <w:tab w:val="right" w:pos="8306"/>
              </w:tabs>
              <w:adjustRightInd/>
              <w:snapToGrid w:val="0"/>
              <w:contextualSpacing w:val="0"/>
            </w:pPr>
          </w:p>
        </w:tc>
      </w:tr>
      <w:tr>
        <w:trPr>
          <w:trHeight w:val="1661"/>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00" w:lineRule="atLeas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正在推动工作</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pStyle w:val="16"/>
              <w:tabs>
                <w:tab w:val="center" w:pos="4153"/>
                <w:tab w:val="right" w:pos="8306"/>
              </w:tabs>
              <w:adjustRightInd/>
              <w:snapToGrid w:val="0"/>
              <w:contextualSpacing w:val="0"/>
              <w:rPr>
                <w:rFonts w:ascii="仿宋_GB2312" w:eastAsia="仿宋_GB2312" w:cs="仿宋_GB2312" w:hint="eastAsia"/>
                <w:sz w:val="24"/>
              </w:rPr>
            </w:pPr>
            <w:r>
              <w:rPr>
                <w:rFonts w:ascii="仿宋_GB2312" w:eastAsia="仿宋_GB2312" w:cs="仿宋_GB2312" w:hint="eastAsia"/>
                <w:b w:val="0"/>
                <w:bCs w:val="0"/>
                <w:i w:val="0"/>
                <w:iCs w:val="0"/>
                <w:caps w:val="0"/>
                <w:smallCaps w:val="0"/>
                <w:color w:val="000000"/>
                <w:spacing w:val="0"/>
                <w:sz w:val="24"/>
                <w:shd w:val="clear" w:color="auto" w:fill="FFFFFF"/>
              </w:rPr>
              <w:t>钦北区建议由市通管办牵头，联合广电、供电部门及通信运营商，建立常态化沟通协调机制，明确各方主体责任，避免扯皮推诿。</w:t>
            </w:r>
          </w:p>
        </w:tc>
      </w:tr>
      <w:t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center"/>
              <w:rPr>
                <w:rFonts w:ascii="仿宋_GB2312" w:eastAsia="仿宋_GB2312" w:cs="仿宋_GB2312" w:hAnsi="Times New Roman" w:hint="eastAsia"/>
                <w:kern w:val="0"/>
                <w:sz w:val="24"/>
              </w:rPr>
            </w:pPr>
            <w:r>
              <w:rPr>
                <w:rFonts w:ascii="仿宋_GB2312" w:eastAsia="仿宋_GB2312" w:cs="仿宋_GB2312" w:hAnsi="Times New Roman" w:hint="eastAsia"/>
                <w:kern w:val="0"/>
                <w:sz w:val="24"/>
              </w:rPr>
              <w:t>建议三</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left"/>
              <w:rPr>
                <w:rFonts w:ascii="仿宋_GB2312" w:eastAsia="仿宋_GB2312" w:cs="仿宋_GB2312" w:hAnsi="Times New Roman" w:hint="eastAsia"/>
                <w:kern w:val="0"/>
                <w:sz w:val="24"/>
              </w:rPr>
            </w:pPr>
            <w:r>
              <w:rPr>
                <w:rFonts w:ascii="仿宋_GB2312" w:eastAsia="仿宋_GB2312" w:cs="仿宋_GB2312" w:hAnsi="Times New Roman" w:hint="eastAsia"/>
                <w:kern w:val="0"/>
                <w:sz w:val="24"/>
              </w:rPr>
              <w:t>强化监管</w:t>
            </w:r>
          </w:p>
        </w:tc>
      </w:tr>
      <w:tr>
        <w:trPr>
          <w:trHeight w:val="1888"/>
        </w:trPr>
        <w:tc>
          <w:tcPr>
            <w:tcW w:w="1173" w:type="dxa"/>
            <w:vMerge/>
            <w:tcBorders>
              <w:top w:val="single" w:sz="4" w:space="0" w:color="000000"/>
              <w:left w:val="single" w:sz="4" w:space="0" w:color="000000"/>
              <w:bottom w:val="single" w:sz="4" w:space="0" w:color="000000"/>
              <w:right w:val="single" w:sz="4" w:space="0" w:color="000000"/>
              <w:tl2br w:val="nil"/>
              <w:tr2bl w:val="nil"/>
            </w:tcBorders>
          </w:tcP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0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当年完成</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300" w:lineRule="exact"/>
              <w:jc w:val="center"/>
              <w:textAlignment w:val="auto"/>
              <w:rPr>
                <w:rFonts w:ascii="Times New Roman" w:eastAsia="仿宋_GB2312" w:cs="Times New Roman" w:hAnsi="Times New Roman"/>
                <w:kern w:val="0"/>
                <w:sz w:val="24"/>
                <w:szCs w:val="24"/>
              </w:rPr>
            </w:pPr>
            <w:r>
              <w:rPr>
                <w:rFonts w:ascii="Times New Roman" w:eastAsia="仿宋_GB2312" w:cs="Times New Roman" w:hAnsi="Times New Roman"/>
                <w:kern w:val="0"/>
                <w:sz w:val="24"/>
                <w:szCs w:val="24"/>
              </w:rPr>
              <w:t>事项</w:t>
            </w:r>
          </w:p>
        </w:tc>
        <w:tc>
          <w:tcPr>
            <w:tcW w:w="6701"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left"/>
              <w:rPr>
                <w:rFonts w:ascii="仿宋_GB2312" w:eastAsia="仿宋_GB2312" w:cs="仿宋_GB2312" w:hint="eastAsia"/>
                <w:b w:val="0"/>
                <w:bCs w:val="0"/>
                <w:color w:val="000000"/>
                <w:sz w:val="24"/>
                <w:lang w:eastAsia="zh-CN"/>
              </w:rPr>
            </w:pPr>
            <w:r>
              <w:rPr>
                <w:rFonts w:ascii="仿宋_GB2312" w:eastAsia="仿宋_GB2312" w:cs="仿宋_GB2312" w:hint="eastAsia"/>
                <w:b w:val="0"/>
                <w:bCs w:val="0"/>
                <w:color w:val="000000"/>
                <w:sz w:val="24"/>
              </w:rPr>
              <w:t>1.综合行政执法局加大对城市街道的日常巡查频次，对巡查中发现的违规设置电线杆、未经批准乱拉乱接线缆等行为，依据相关法律法规，依法予以查处，责令限期整改</w:t>
            </w:r>
            <w:r>
              <w:rPr>
                <w:rFonts w:ascii="仿宋_GB2312" w:eastAsia="仿宋_GB2312" w:cs="仿宋_GB2312" w:hint="eastAsia"/>
                <w:b w:val="0"/>
                <w:bCs w:val="0"/>
                <w:color w:val="000000"/>
                <w:sz w:val="24"/>
                <w:lang w:eastAsia="zh-CN"/>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adjustRightInd/>
              <w:snapToGrid w:val="0"/>
              <w:spacing w:line="300" w:lineRule="exact"/>
              <w:jc w:val="left"/>
              <w:rPr>
                <w:rFonts w:ascii="仿宋_GB2312" w:eastAsia="仿宋_GB2312" w:cs="仿宋_GB2312" w:hAnsi="Times New Roman" w:hint="eastAsia"/>
                <w:sz w:val="24"/>
                <w:lang w:eastAsia="zh-CN"/>
              </w:rPr>
            </w:pPr>
            <w:r>
              <w:rPr>
                <w:rFonts w:ascii="仿宋_GB2312" w:eastAsia="仿宋_GB2312" w:cs="仿宋_GB2312" w:hint="eastAsia"/>
                <w:kern w:val="0"/>
                <w:sz w:val="24"/>
              </w:rPr>
              <w:t>2.钦北区督促各大运营商组织专人定期对辖区内通信设施线(杆)开展全面摸排，巡查巡检，详细记录老化、损坏、弃用及不符合安全标准设施的具体位置、数量、类型，建立完善工作台账并及时反馈</w:t>
            </w:r>
            <w:r>
              <w:rPr>
                <w:rFonts w:ascii="仿宋_GB2312" w:eastAsia="仿宋_GB2312" w:cs="仿宋_GB2312" w:hint="eastAsia"/>
                <w:kern w:val="0"/>
                <w:sz w:val="24"/>
                <w:lang w:eastAsia="zh-CN"/>
              </w:rPr>
              <w:t>。</w:t>
            </w:r>
          </w:p>
        </w:tc>
      </w:tr>
      <w:tr>
        <w:trPr>
          <w:trHeight w:val="2205"/>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pStyle w:val="15"/>
              <w:keepNext w:val="0"/>
              <w:keepLines w:val="0"/>
              <w:pageBreakBefore w:val="0"/>
              <w:widowControl w:val="0"/>
              <w:kinsoku/>
              <w:wordWrap/>
              <w:overflowPunct/>
              <w:topLinePunct w:val="0"/>
              <w:autoSpaceDE/>
              <w:autoSpaceDN/>
              <w:bidi w:val="0"/>
              <w:adjustRightInd/>
              <w:spacing w:line="560" w:lineRule="exact"/>
              <w:ind w:left="0" w:firstLineChars="0" w:firstLine="0"/>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补充说明（办理过程及其他需要说明的情况）：无</w:t>
            </w:r>
          </w:p>
          <w:p>
            <w:pPr>
              <w:pStyle w:val="16"/>
              <w:tabs>
                <w:tab w:val="center" w:pos="4153"/>
                <w:tab w:val="right" w:pos="8306"/>
              </w:tabs>
              <w:rPr>
                <w:rFonts w:ascii="Times New Roman" w:eastAsia="仿宋_GB2312" w:cs="Times New Roman" w:hAnsi="Times New Roman"/>
                <w:kern w:val="2"/>
                <w:sz w:val="24"/>
                <w:szCs w:val="32"/>
                <w:lang w:val="en-US" w:eastAsia="zh-CN" w:bidi="ar-SA"/>
              </w:rPr>
            </w:pPr>
          </w:p>
          <w:p>
            <w:pPr>
              <w:pStyle w:val="15"/>
              <w:rPr>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Chars="2000" w:firstLine="4800"/>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　　　　　　　　　　　　　</w:t>
            </w:r>
            <w:r>
              <w:rPr>
                <w:rFonts w:ascii="Times New Roman" w:eastAsia="仿宋_GB2312" w:cs="Times New Roman" w:hAnsi="Times New Roman" w:hint="eastAsia"/>
                <w:kern w:val="2"/>
                <w:sz w:val="24"/>
                <w:szCs w:val="32"/>
                <w:lang w:val="en-US" w:eastAsia="zh-CN" w:bidi="ar-SA"/>
              </w:rPr>
              <w:t xml:space="preserve">         </w:t>
            </w:r>
            <w:r>
              <w:rPr>
                <w:rFonts w:ascii="Times New Roman" w:eastAsia="仿宋_GB2312" w:cs="Times New Roman" w:hAnsi="Times New Roman"/>
                <w:kern w:val="2"/>
                <w:sz w:val="24"/>
                <w:szCs w:val="32"/>
                <w:lang w:val="en-US" w:eastAsia="zh-CN" w:bidi="ar-SA"/>
              </w:rPr>
              <w:t>　　2025年</w:t>
            </w:r>
            <w:r>
              <w:rPr>
                <w:rFonts w:ascii="Times New Roman" w:eastAsia="仿宋_GB2312" w:cs="Times New Roman" w:hAnsi="Times New Roman" w:hint="eastAsia"/>
                <w:kern w:val="2"/>
                <w:sz w:val="24"/>
                <w:szCs w:val="32"/>
                <w:lang w:val="en-US" w:eastAsia="zh-CN" w:bidi="ar-SA"/>
              </w:rPr>
              <w:t>10</w:t>
            </w:r>
            <w:r>
              <w:rPr>
                <w:rFonts w:ascii="Times New Roman" w:eastAsia="仿宋_GB2312" w:cs="Times New Roman" w:hAnsi="Times New Roman"/>
                <w:kern w:val="2"/>
                <w:sz w:val="24"/>
                <w:szCs w:val="32"/>
                <w:lang w:val="en-US" w:eastAsia="zh-CN" w:bidi="ar-SA"/>
              </w:rPr>
              <w:t>月29日</w:t>
            </w:r>
          </w:p>
        </w:tc>
      </w:tr>
      <w:tr>
        <w:trPr>
          <w:trHeight w:val="2132"/>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办理实效评估类别：（B）</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Ａ类：建议（或提案）所提问题已经解决；Ｂ类：建议（或提案）所提问题正在解决或列入计划解决；Ｃ类：建议（或提案）所提问题因条件限制或政策不允许、目前不能解决，继续争取解决。</w:t>
            </w:r>
          </w:p>
        </w:tc>
      </w:tr>
      <w:tr>
        <w:trPr>
          <w:trHeight w:val="281"/>
        </w:trPr>
        <w:tc>
          <w:tcPr>
            <w:tcW w:w="1173"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联系人</w:t>
            </w:r>
          </w:p>
        </w:tc>
        <w:tc>
          <w:tcPr>
            <w:tcW w:w="15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hint="eastAsia"/>
                <w:kern w:val="2"/>
                <w:sz w:val="24"/>
                <w:szCs w:val="32"/>
                <w:lang w:val="en-US" w:eastAsia="zh-CN" w:bidi="ar-SA"/>
              </w:rPr>
              <w:t>刘莹莹</w:t>
            </w:r>
          </w:p>
        </w:tc>
        <w:tc>
          <w:tcPr>
            <w:tcW w:w="307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kern w:val="2"/>
                <w:sz w:val="24"/>
                <w:szCs w:val="32"/>
                <w:lang w:val="en-US" w:eastAsia="zh-CN" w:bidi="ar-SA"/>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ascii="Times New Roman" w:eastAsia="仿宋_GB2312" w:cs="Times New Roman" w:hAnsi="Times New Roman"/>
                <w:kern w:val="2"/>
                <w:sz w:val="24"/>
                <w:szCs w:val="32"/>
                <w:lang w:val="en-US" w:eastAsia="zh-CN" w:bidi="ar-SA"/>
              </w:rPr>
            </w:pPr>
            <w:r>
              <w:rPr>
                <w:rFonts w:ascii="Times New Roman" w:eastAsia="仿宋_GB2312" w:cs="Times New Roman" w:hAnsi="Times New Roman" w:hint="eastAsia"/>
                <w:kern w:val="2"/>
                <w:sz w:val="24"/>
                <w:szCs w:val="32"/>
                <w:lang w:val="en-US" w:eastAsia="zh-CN" w:bidi="ar-SA"/>
              </w:rPr>
              <w:t>3686959</w:t>
            </w:r>
          </w:p>
        </w:tc>
      </w:tr>
    </w:tbl>
    <w:p>
      <w:pPr>
        <w:rPr>
          <w:rFonts w:ascii="Times New Roman" w:eastAsia="宋体" w:cs="Times New Roman" w:hAnsi="Times New Roman"/>
          <w:kern w:val="2"/>
          <w:sz w:val="21"/>
          <w:szCs w:val="24"/>
          <w:lang w:val="en-US" w:eastAsia="zh-CN" w:bidi="ar-SA"/>
        </w:rPr>
      </w:pPr>
    </w:p>
    <w:sectPr>
      <w:pgSz w:w="11907" w:h="16840"/>
      <w:pgMar w:top="1797" w:right="1418" w:bottom="1440"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CC"/>
    <w:family w:val="roman"/>
    <w:pitch w:val="variable"/>
    <w:sig w:usb0="E0002AFF" w:usb1="C0007841" w:usb2="00000009" w:usb3="00000000" w:csb0="400001FF" w:csb1="FFFF0000"/>
  </w:font>
  <w:font w:name="方正小标宋_GBK">
    <w:altName w:val="微软雅黑"/>
    <w:panose1 w:val="02000000000000000000"/>
    <w:charset w:val="86"/>
    <w:family w:val="script"/>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宋体">
    <w:panose1 w:val="02010600030101010101"/>
    <w:charset w:val="50"/>
    <w:family w:val="auto"/>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Calibri">
    <w:panose1 w:val="020F0502020204030204"/>
    <w:charset w:val="00"/>
    <w:family w:val="swiss"/>
    <w:pitch w:val="variable"/>
    <w:sig w:usb0="E00002FF" w:usb1="4000ACFF" w:usb2="00000001" w:usb3="00000000" w:csb0="2000019F" w:csb1="00000000"/>
  </w:font>
  <w:font w:name="楷体_GB2312">
    <w:altName w:val="楷体"/>
    <w:panose1 w:val="02010609030101010101"/>
    <w:charset w:val="86"/>
    <w:family w:val="auto"/>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2"/>
  <w:displayBackgroundShape/>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noLineBreaksAfter w:lang="zh-CN" w:val="$([{£¥·‘“〈《「『【〔〖〝﹙﹛﹝＄（．［｛￡￥"/>
  <w:noLineBreaksBefore w:lang="zh-CN" w:val="!%),.:;&gt;?]}¢¨°·ˇˉ―‖’”…‰′″›℃∶、。〃〉》」』】〕〗〞︶︺︾﹀﹄﹚﹜﹞！＂％＇），．：；？］｀｜｝～￠"/>
  <w:compat>
    <w:spaceForUL/>
    <w:balanceSingleByteDoubleByteWidth/>
    <w:ulTrailSpace/>
    <w:doNotExpandShiftReturn/>
    <w:adjustLineHeightInTable/>
    <w:doNotUseIndentAsNumberingTabStop/>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next w:val="0"/>
    <w:pPr>
      <w:keepNext w:val="0"/>
      <w:keepLines w:val="0"/>
      <w:topLinePunct/>
      <w:spacing w:beforeAutospacing="0" w:afterAutospacing="0" w:line="560" w:lineRule="exact"/>
      <w:ind w:firstLineChars="200" w:firstLine="200"/>
      <w:outlineLvl w:val="2"/>
    </w:pPr>
    <w:rPr>
      <w:rFonts w:ascii="Times New Roman" w:eastAsia="楷体_GB2312" w:cs="Arial" w:hAnsi="Times New Roman"/>
      <w:sz w:val="32"/>
      <w:szCs w:val="20"/>
      <w:lang w:val="en-US" w:eastAsia="zh-CN" w:bidi="ar-SA"/>
    </w:rPr>
  </w:style>
  <w:style w:type="character" w:default="1" w:styleId="10">
    <w:name w:val="Default Paragraph Font"/>
  </w:style>
  <w:style w:type="paragraph" w:styleId="15">
    <w:name w:val="Normal Indent"/>
    <w:basedOn w:val="0"/>
    <w:next w:val="16"/>
    <w:pPr>
      <w:ind w:firstLineChars="200" w:firstLine="200"/>
    </w:pPr>
    <w:rPr>
      <w:rFonts w:ascii="Times New Roman" w:eastAsia="宋体" w:cs="Times New Roman" w:hAnsi="Times New Roman"/>
    </w:rPr>
  </w:style>
  <w:style w:type="paragraph" w:styleId="16">
    <w:name w:val="footer"/>
    <w:basedOn w:val="0"/>
    <w:next w:val="15"/>
    <w:pPr>
      <w:tabs>
        <w:tab w:val="center" w:pos="4153"/>
        <w:tab w:val="right" w:pos="8306"/>
      </w:tabs>
      <w:snapToGrid w:val="0"/>
      <w:jc w:val="left"/>
    </w:pPr>
    <w:rPr>
      <w:sz w:val="18"/>
    </w:rPr>
  </w:style>
  <w:style w:type="paragraph" w:styleId="17">
    <w:name w:val="Body Text"/>
    <w:basedOn w:val="0"/>
    <w:next w:val="18"/>
    <w:rPr>
      <w:rFonts w:ascii="仿宋" w:eastAsia="仿宋" w:cs="仿宋" w:hAnsi="仿宋"/>
      <w:sz w:val="35"/>
      <w:szCs w:val="35"/>
      <w:lang w:val="en-US" w:bidi="ar-SA"/>
    </w:rPr>
  </w:style>
  <w:style w:type="paragraph" w:styleId="18">
    <w:name w:val="Title"/>
    <w:basedOn w:val="0"/>
    <w:next w:val="0"/>
    <w:pPr>
      <w:pBdr>
        <w:bottom w:val="single" w:sz="12" w:space="1" w:color="auto"/>
      </w:pBdr>
      <w:spacing w:before="240" w:after="100"/>
      <w:jc w:val="center"/>
      <w:textAlignment w:val="baseline"/>
      <w:outlineLvl w:val="0"/>
    </w:pPr>
    <w:rPr>
      <w:rFonts w:ascii="Arial" w:eastAsia="黑体" w:hAnsi="Arial"/>
      <w:color w:val="FF0000"/>
      <w:kern w:val="0"/>
      <w:sz w:val="48"/>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30</TotalTime>
  <Application>Yozo_Office27021597764231179</Application>
  <Pages>2</Pages>
  <Words>0</Words>
  <Characters>658</Characters>
  <Lines>0</Lines>
  <Paragraphs>3</Paragraphs>
  <CharactersWithSpaces>878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cp:lastPrinted>2025-10-29T02:15:00Z</cp:lastPrinted>
  <dcterms:created xsi:type="dcterms:W3CDTF">2021-05-11T07:28:00Z</dcterms:created>
  <dcterms:modified xsi:type="dcterms:W3CDTF">2025-11-03T00:54:56Z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2052-12.1.0.23125</vt:lpwstr>
  </property>
  <property fmtid="{D5CDD505-2E9C-101B-9397-08002B2CF9AE}" pid="3" name="KSOTemplateDocerSaveRecord">
    <vt:lpwstr>eyJoZGlkIjoiOGU5MTE4ZDE5Y2RjMWIwNjZmODgyNGNiOTkyNjFhODEiLCJ1c2VySWQiOiI2OTEyMTQ4NjMifQ==</vt:lpwstr>
  </property>
  <property fmtid="{D5CDD505-2E9C-101B-9397-08002B2CF9AE}" pid="4" name="ICV">
    <vt:lpwstr>4777C8265D074454AD72013478DA1795_12</vt:lpwstr>
  </property>
</Properties>
</file>