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方正小标宋_GBK" w:cs="Times New Roman" w:hAnsi="Times New Roman"/>
          <w:sz w:val="44"/>
          <w:szCs w:val="44"/>
        </w:rPr>
      </w:pPr>
      <w:bookmarkStart w:id="0" w:name="_GoBack"/>
      <w:bookmarkEnd w:id="0"/>
      <w:r>
        <w:rPr>
          <w:rFonts w:ascii="Times New Roman" w:eastAsia="方正小标宋_GBK" w:cs="Times New Roman" w:hAnsi="Times New Roman"/>
          <w:sz w:val="44"/>
          <w:szCs w:val="44"/>
        </w:rPr>
        <w:t>钦北区政协提案办理答复清单</w:t>
      </w:r>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173"/>
        <w:gridCol w:w="1590"/>
        <w:gridCol w:w="3079"/>
        <w:gridCol w:w="3622"/>
      </w:tblGrid>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w:t>
            </w:r>
            <w:r>
              <w:rPr>
                <w:rFonts w:ascii="Times New Roman" w:eastAsia="黑体" w:cs="Times New Roman" w:hAnsi="Times New Roman" w:hint="eastAsia"/>
                <w:kern w:val="0"/>
                <w:sz w:val="32"/>
                <w:szCs w:val="32"/>
              </w:rPr>
              <w:t>2025092</w:t>
            </w:r>
            <w:r>
              <w:rPr>
                <w:rFonts w:ascii="Times New Roman" w:eastAsia="黑体" w:cs="Times New Roman" w:hAnsi="Times New Roman"/>
                <w:kern w:val="0"/>
                <w:sz w:val="32"/>
                <w:szCs w:val="32"/>
              </w:rPr>
              <w:t>号提案的答复</w:t>
            </w:r>
          </w:p>
        </w:tc>
      </w:tr>
      <w:tr>
        <w:trPr>
          <w:trHeight w:val="192"/>
        </w:trPr>
        <w:tc>
          <w:tcPr>
            <w:tcW w:w="1173"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建议一</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jc w:val="both"/>
              <w:rPr>
                <w:rFonts w:ascii="Times New Roman" w:eastAsia="仿宋_GB2312" w:cs="Times New Roman" w:hAnsi="Times New Roman"/>
                <w:sz w:val="24"/>
                <w:szCs w:val="24"/>
              </w:rPr>
            </w:pPr>
            <w:r>
              <w:rPr>
                <w:rFonts w:ascii="Times New Roman" w:eastAsia="仿宋_GB2312" w:cs="Times New Roman" w:hAnsi="Times New Roman"/>
                <w:sz w:val="24"/>
                <w:szCs w:val="24"/>
              </w:rPr>
              <w:t>统筹整合惠企政策。</w:t>
            </w:r>
          </w:p>
        </w:tc>
      </w:tr>
      <w:tr>
        <w:trPr>
          <w:trHeight w:val="1538"/>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正在推动工作</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rPr>
                <w:rFonts w:ascii="Times New Roman" w:eastAsia="仿宋_GB2312" w:cs="Times New Roman" w:hAnsi="Times New Roman"/>
                <w:sz w:val="24"/>
                <w:szCs w:val="24"/>
              </w:rPr>
            </w:pPr>
            <w:r>
              <w:rPr>
                <w:rFonts w:ascii="Times New Roman" w:eastAsia="仿宋_GB2312" w:cs="Times New Roman" w:hAnsi="Times New Roman"/>
                <w:sz w:val="24"/>
                <w:szCs w:val="24"/>
              </w:rPr>
              <w:t>钦北区建立园区综合服务平台，在企业服务中心设立“一站式”服务平台和皇马工业园区零工市场，汇集了园区企业办证、招工、咨询等日常需求。整合政策发布、申报、兑现等功能，实现“政策找企业”精准匹配。</w:t>
            </w:r>
          </w:p>
        </w:tc>
      </w:tr>
      <w:tr>
        <w:trPr>
          <w:trHeight w:val="100"/>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建议二</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jc w:val="both"/>
              <w:rPr>
                <w:rFonts w:ascii="Times New Roman" w:eastAsia="仿宋_GB2312" w:cs="Times New Roman" w:hAnsi="Times New Roman"/>
                <w:sz w:val="24"/>
                <w:szCs w:val="24"/>
              </w:rPr>
            </w:pPr>
            <w:r>
              <w:rPr>
                <w:rFonts w:ascii="Times New Roman" w:eastAsia="仿宋_GB2312" w:cs="Times New Roman" w:hAnsi="Times New Roman"/>
                <w:sz w:val="24"/>
                <w:szCs w:val="24"/>
              </w:rPr>
              <w:t>建立线上政策宣传信息网站。</w:t>
            </w:r>
          </w:p>
        </w:tc>
      </w:tr>
      <w:tr>
        <w:trPr>
          <w:trHeight w:val="1661"/>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不能采纳</w:t>
            </w:r>
            <w:r>
              <w:rPr>
                <w:rFonts w:ascii="Times New Roman" w:eastAsia="仿宋_GB2312" w:cs="Times New Roman" w:hAnsi="Times New Roman"/>
                <w:kern w:val="0"/>
                <w:sz w:val="24"/>
                <w:szCs w:val="24"/>
                <w:lang w:eastAsia="zh-CN"/>
              </w:rPr>
              <w:t>事项及</w:t>
            </w:r>
            <w:r>
              <w:rPr>
                <w:rFonts w:ascii="Times New Roman" w:eastAsia="仿宋_GB2312" w:cs="Times New Roman" w:hAnsi="Times New Roman"/>
                <w:kern w:val="0"/>
                <w:sz w:val="24"/>
                <w:szCs w:val="24"/>
              </w:rPr>
              <w:t>原因</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rPr>
                <w:rFonts w:ascii="Times New Roman" w:eastAsia="仿宋_GB2312" w:cs="Times New Roman" w:hAnsi="Times New Roman"/>
                <w:sz w:val="24"/>
                <w:szCs w:val="24"/>
                <w:lang w:eastAsia="zh-CN"/>
              </w:rPr>
            </w:pPr>
            <w:r>
              <w:rPr>
                <w:rFonts w:ascii="Times New Roman" w:eastAsia="仿宋_GB2312" w:cs="Times New Roman" w:hAnsi="Times New Roman"/>
                <w:sz w:val="24"/>
                <w:szCs w:val="24"/>
                <w:lang w:val="en-US" w:eastAsia="zh-CN"/>
              </w:rPr>
              <w:t>目前，已有“钦北区人民政府信息公开平台”，并设有“政策文件”栏目。由于我区财力有限，可继续使用现有的平台，暂时不考虑“搭建可持续、维护、更新惠企政策的权威的线上信息网站”。</w:t>
            </w:r>
            <w:r>
              <w:rPr>
                <w:rFonts w:eastAsia="仿宋_GB2312" w:cs="Times New Roman" w:hint="eastAsia"/>
                <w:sz w:val="24"/>
                <w:szCs w:val="24"/>
                <w:lang w:val="en-US" w:eastAsia="zh-CN"/>
              </w:rPr>
              <w:t>可引导关注区人民政府信息公开平台的政策外，也可引导关注市、自治区行业主管部门官方网站政策。</w:t>
            </w:r>
          </w:p>
        </w:tc>
      </w:tr>
      <w:t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建议三</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进一步强化企业服务保障。</w:t>
            </w:r>
          </w:p>
        </w:tc>
      </w:tr>
      <w:tr>
        <w:trPr>
          <w:trHeight w:val="2354"/>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当年完成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事项</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tcPr>
          <w:p>
            <w:pPr>
              <w:pStyle w:val="15"/>
              <w:ind w:left="0" w:firstLineChars="0" w:firstLine="0"/>
              <w:rPr>
                <w:rFonts w:ascii="Times New Roman" w:eastAsia="仿宋_GB2312" w:cs="Times New Roman" w:hAnsi="Times New Roman"/>
                <w:sz w:val="24"/>
                <w:szCs w:val="24"/>
              </w:rPr>
            </w:pPr>
          </w:p>
          <w:p>
            <w:pPr>
              <w:pStyle w:val="15"/>
              <w:ind w:left="0" w:firstLineChars="0" w:firstLine="0"/>
              <w:rPr>
                <w:rFonts w:ascii="Times New Roman" w:eastAsia="仿宋_GB2312" w:cs="Times New Roman" w:hAnsi="Times New Roman"/>
                <w:sz w:val="24"/>
                <w:szCs w:val="24"/>
              </w:rPr>
            </w:pPr>
            <w:r>
              <w:rPr>
                <w:rFonts w:ascii="Times New Roman" w:eastAsia="仿宋_GB2312" w:cs="Times New Roman" w:hAnsi="Times New Roman"/>
                <w:sz w:val="24"/>
                <w:szCs w:val="24"/>
              </w:rPr>
              <w:t>优化园区基础设施配套。2025年以来，我区加快完善产业园区道路、水电气等配套基础设施，着力提升园区承载能力。提高公共就业服务质量。2025年以来，全区组织开展“就业暖心·桂在行动”专项服务活动，截至6月，举办线上线下招聘活动28场（其中线上招聘21期，线下招聘7场）。深化企业减负行动</w:t>
            </w:r>
            <w:r>
              <w:rPr>
                <w:rFonts w:ascii="Times New Roman" w:eastAsia="仿宋_GB2312" w:cs="Times New Roman" w:hAnsi="Times New Roman"/>
                <w:sz w:val="24"/>
                <w:szCs w:val="24"/>
                <w:lang w:eastAsia="zh-CN"/>
              </w:rPr>
              <w:t>。</w:t>
            </w:r>
          </w:p>
        </w:tc>
      </w:tr>
      <w:t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建议四</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jc w:val="left"/>
              <w:rPr>
                <w:rFonts w:ascii="Times New Roman" w:eastAsia="仿宋_GB2312" w:cs="Times New Roman" w:hAnsi="Times New Roman"/>
                <w:sz w:val="24"/>
                <w:szCs w:val="24"/>
              </w:rPr>
            </w:pPr>
            <w:r>
              <w:rPr>
                <w:rFonts w:ascii="Times New Roman" w:eastAsia="仿宋_GB2312" w:cs="Times New Roman" w:hAnsi="Times New Roman"/>
                <w:sz w:val="24"/>
                <w:szCs w:val="24"/>
              </w:rPr>
              <w:t>持续加强政银对接，联动助推融资。</w:t>
            </w:r>
          </w:p>
        </w:tc>
      </w:tr>
      <w:tr>
        <w:trPr>
          <w:trHeight w:val="3586"/>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当年完成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事项</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tcPr>
          <w:p>
            <w:pPr>
              <w:pStyle w:val="15"/>
              <w:ind w:left="0" w:firstLineChars="0" w:firstLine="0"/>
            </w:pPr>
          </w:p>
          <w:p>
            <w:pPr>
              <w:pStyle w:val="15"/>
              <w:ind w:left="0" w:firstLineChars="0" w:firstLine="0"/>
              <w:rPr>
                <w:rFonts w:ascii="Times New Roman" w:eastAsia="仿宋_GB2312" w:cs="Times New Roman" w:hAnsi="Times New Roman"/>
                <w:sz w:val="24"/>
                <w:szCs w:val="32"/>
              </w:rPr>
            </w:pPr>
            <w:r>
              <w:rPr>
                <w:rFonts w:ascii="Times New Roman" w:eastAsia="仿宋_GB2312" w:cs="Times New Roman" w:hAnsi="Times New Roman"/>
                <w:sz w:val="24"/>
                <w:szCs w:val="32"/>
              </w:rPr>
              <w:t>发挥创业担保贷款作用，帮助企业解决融资困难问题。充分发挥政府性融资担保体系作用，支持企业融资。根据《广西壮族自治区人民政府关于加快政府性融资担保体系建设的意见》要求，钦州市政府与广西再担保有限公司合资设立本级政府性融资担保机构，并在政府性融资担保机构业务开展过程中实行“4321”的代偿机制。钦北区共出资2500万元用于建立政策性融资担保体系，截至4月，市小微企业融资担保有限公司为钦北区企业提供融资担保业务799笔，担保业务金额151285万元。紧跟政策形势，持续加大“桂惠贷”投放力度。2024年，钦北区共投放“桂惠贷”1072笔188996万元，降低企业融资成本2261万元，惠及市场主体827户。</w:t>
            </w:r>
          </w:p>
          <w:p>
            <w:pPr>
              <w:pStyle w:val="16"/>
              <w:tabs>
                <w:tab w:val="center" w:pos="4153"/>
                <w:tab w:val="right" w:pos="8306"/>
              </w:tabs>
            </w:pPr>
          </w:p>
        </w:tc>
      </w:tr>
      <w:tr>
        <w:tc>
          <w:tcPr>
            <w:tcW w:w="117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val="0"/>
              <w:kinsoku/>
              <w:wordWrap/>
              <w:overflowPunct/>
              <w:topLinePunct w:val="0"/>
              <w:autoSpaceDE/>
              <w:autoSpaceDN/>
              <w:bidi w:val="0"/>
              <w:adjustRightInd/>
              <w:spacing w:line="560" w:lineRule="exact"/>
              <w:textAlignment w:val="auto"/>
            </w:p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lang w:eastAsia="zh-CN"/>
              </w:rPr>
            </w:pPr>
            <w:r>
              <w:rPr>
                <w:rFonts w:ascii="Times New Roman" w:eastAsia="仿宋_GB2312" w:cs="Times New Roman" w:hAnsi="Times New Roman"/>
                <w:kern w:val="0"/>
                <w:sz w:val="24"/>
                <w:szCs w:val="24"/>
              </w:rPr>
              <w:t>建议</w:t>
            </w:r>
            <w:r>
              <w:rPr>
                <w:rFonts w:ascii="Times New Roman" w:eastAsia="仿宋_GB2312" w:cs="Times New Roman" w:hAnsi="Times New Roman"/>
                <w:kern w:val="0"/>
                <w:sz w:val="24"/>
                <w:szCs w:val="24"/>
                <w:lang w:eastAsia="zh-CN"/>
              </w:rPr>
              <w:t>五</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jc w:val="left"/>
              <w:rPr>
                <w:rFonts w:ascii="Times New Roman" w:eastAsia="仿宋_GB2312" w:cs="Times New Roman" w:hAnsi="Times New Roman"/>
                <w:sz w:val="24"/>
                <w:szCs w:val="24"/>
              </w:rPr>
            </w:pPr>
            <w:r>
              <w:rPr>
                <w:rFonts w:ascii="Times New Roman" w:eastAsia="仿宋_GB2312" w:cs="Times New Roman" w:hAnsi="Times New Roman"/>
                <w:sz w:val="24"/>
                <w:szCs w:val="24"/>
              </w:rPr>
              <w:t>持续多举措引进人才。</w:t>
            </w:r>
          </w:p>
        </w:tc>
      </w:tr>
      <w:tr>
        <w:trPr>
          <w:trHeight w:val="2178"/>
        </w:trPr>
        <w:tc>
          <w:tcPr>
            <w:tcW w:w="1173"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val="0"/>
              <w:kinsoku/>
              <w:wordWrap/>
              <w:overflowPunct/>
              <w:topLinePunct w:val="0"/>
              <w:autoSpaceDE/>
              <w:autoSpaceDN/>
              <w:bidi w:val="0"/>
              <w:adjustRightInd/>
              <w:spacing w:line="560" w:lineRule="exact"/>
              <w:textAlignment w:val="auto"/>
              <w:rPr>
                <w:rFonts w:ascii="Times New Roman" w:eastAsia="宋体" w:cs="Times New Roman" w:hAnsi="Times New Roman"/>
                <w:kern w:val="2"/>
                <w:sz w:val="21"/>
                <w:szCs w:val="24"/>
                <w:lang w:val="en-US" w:eastAsia="zh-CN" w:bidi="ar-SA"/>
              </w:rPr>
            </w:pPr>
          </w:p>
        </w:tc>
        <w:tc>
          <w:tcPr>
            <w:tcW w:w="1590"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lang w:val="en-US" w:eastAsia="zh-CN"/>
              </w:rPr>
            </w:pPr>
            <w:r>
              <w:rPr>
                <w:rFonts w:ascii="Times New Roman" w:eastAsia="仿宋_GB2312" w:cs="Times New Roman" w:hAnsi="Times New Roman"/>
                <w:kern w:val="0"/>
                <w:sz w:val="24"/>
                <w:szCs w:val="24"/>
                <w:lang w:val="en-US" w:eastAsia="zh-CN"/>
              </w:rPr>
              <w:t>当年完成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lang w:val="en-US" w:eastAsia="zh-CN"/>
              </w:rPr>
            </w:pPr>
            <w:r>
              <w:rPr>
                <w:rFonts w:ascii="Times New Roman" w:eastAsia="仿宋_GB2312" w:cs="Times New Roman" w:hAnsi="Times New Roman"/>
                <w:kern w:val="0"/>
                <w:sz w:val="24"/>
                <w:szCs w:val="24"/>
                <w:lang w:val="en-US" w:eastAsia="zh-CN"/>
              </w:rPr>
              <w:t>事项</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tcPr>
          <w:p>
            <w:pPr>
              <w:pStyle w:val="15"/>
              <w:ind w:left="0" w:firstLineChars="0" w:firstLine="0"/>
              <w:jc w:val="both"/>
              <w:rPr>
                <w:rFonts w:ascii="Times New Roman" w:eastAsia="仿宋_GB2312" w:cs="Times New Roman" w:hAnsi="Times New Roman"/>
                <w:sz w:val="24"/>
                <w:szCs w:val="24"/>
                <w:lang w:val="en-US" w:eastAsia="zh-CN"/>
              </w:rPr>
            </w:pPr>
          </w:p>
          <w:p>
            <w:pPr>
              <w:pStyle w:val="15"/>
              <w:ind w:left="0" w:firstLineChars="0" w:firstLine="0"/>
              <w:jc w:val="both"/>
              <w:rPr>
                <w:rFonts w:ascii="Times New Roman" w:eastAsia="仿宋_GB2312" w:cs="Times New Roman" w:hAnsi="Times New Roman"/>
                <w:sz w:val="24"/>
                <w:szCs w:val="24"/>
                <w:lang w:val="en-US" w:eastAsia="zh-CN"/>
              </w:rPr>
            </w:pPr>
            <w:r>
              <w:rPr>
                <w:rFonts w:ascii="Times New Roman" w:eastAsia="仿宋_GB2312" w:cs="Times New Roman" w:hAnsi="Times New Roman"/>
                <w:sz w:val="24"/>
                <w:szCs w:val="24"/>
                <w:lang w:val="en-US" w:eastAsia="zh-CN"/>
              </w:rPr>
              <w:t>鼓励高校毕业生返乡创业就业。组织大学生和企业参加2025年春季全区人才交流会，开展高校毕业生实名登记工作，截至目前，我区应届高校毕业生共2256人，应届毕业生已登记就业率为96.64%，就业帮扶率为93.13％。做好高校毕业生报到及就业服务工作，进一步抓好人才队伍建设。</w:t>
            </w:r>
          </w:p>
        </w:tc>
      </w:tr>
      <w:tr>
        <w:trPr>
          <w:trHeight w:val="2205"/>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pStyle w:val="15"/>
              <w:keepNext w:val="0"/>
              <w:keepLines w:val="0"/>
              <w:pageBreakBefore w:val="0"/>
              <w:widowControl w:val="0"/>
              <w:kinsoku/>
              <w:wordWrap/>
              <w:overflowPunct/>
              <w:topLinePunct w:val="0"/>
              <w:autoSpaceDE/>
              <w:autoSpaceDN/>
              <w:bidi w:val="0"/>
              <w:adjustRightInd/>
              <w:spacing w:line="560" w:lineRule="exact"/>
              <w:ind w:left="0" w:firstLineChars="0" w:firstLine="0"/>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补充说明（办理过程及其他需要说明的情况）：无</w:t>
            </w:r>
          </w:p>
          <w:p>
            <w:pPr>
              <w:pStyle w:val="16"/>
              <w:tabs>
                <w:tab w:val="center" w:pos="4153"/>
                <w:tab w:val="right" w:pos="8306"/>
              </w:tabs>
              <w:rPr>
                <w:rFonts w:ascii="Times New Roman" w:eastAsia="仿宋_GB2312" w:cs="Times New Roman" w:hAnsi="Times New Roman"/>
                <w:kern w:val="2"/>
                <w:sz w:val="24"/>
                <w:szCs w:val="32"/>
                <w:lang w:val="en-US" w:eastAsia="zh-CN" w:bidi="ar-SA"/>
              </w:rPr>
            </w:pPr>
          </w:p>
          <w:p>
            <w:pPr>
              <w:pStyle w:val="15"/>
              <w:rPr>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2000" w:firstLine="4800"/>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　　　　　　　　　　　　　</w:t>
            </w:r>
            <w:r>
              <w:rPr>
                <w:rFonts w:ascii="Times New Roman" w:eastAsia="仿宋_GB2312" w:cs="Times New Roman" w:hAnsi="Times New Roman" w:hint="eastAsia"/>
                <w:kern w:val="2"/>
                <w:sz w:val="24"/>
                <w:szCs w:val="32"/>
                <w:lang w:val="en-US" w:eastAsia="zh-CN" w:bidi="ar-SA"/>
              </w:rPr>
              <w:t xml:space="preserve">         </w:t>
            </w:r>
            <w:r>
              <w:rPr>
                <w:rFonts w:ascii="Times New Roman" w:eastAsia="仿宋_GB2312" w:cs="Times New Roman" w:hAnsi="Times New Roman"/>
                <w:kern w:val="2"/>
                <w:sz w:val="24"/>
                <w:szCs w:val="32"/>
                <w:lang w:val="en-US" w:eastAsia="zh-CN" w:bidi="ar-SA"/>
              </w:rPr>
              <w:t>　　2025年</w:t>
            </w:r>
            <w:r>
              <w:rPr>
                <w:rFonts w:ascii="Times New Roman" w:eastAsia="仿宋_GB2312" w:cs="Times New Roman" w:hAnsi="Times New Roman" w:hint="eastAsia"/>
                <w:kern w:val="2"/>
                <w:sz w:val="24"/>
                <w:szCs w:val="32"/>
                <w:lang w:val="en-US" w:eastAsia="zh-CN" w:bidi="ar-SA"/>
              </w:rPr>
              <w:t>10</w:t>
            </w:r>
            <w:r>
              <w:rPr>
                <w:rFonts w:ascii="Times New Roman" w:eastAsia="仿宋_GB2312" w:cs="Times New Roman" w:hAnsi="Times New Roman"/>
                <w:kern w:val="2"/>
                <w:sz w:val="24"/>
                <w:szCs w:val="32"/>
                <w:lang w:val="en-US" w:eastAsia="zh-CN" w:bidi="ar-SA"/>
              </w:rPr>
              <w:t>月</w:t>
            </w:r>
            <w:r>
              <w:rPr>
                <w:rFonts w:ascii="Times New Roman" w:eastAsia="仿宋_GB2312" w:cs="Times New Roman" w:hAnsi="Times New Roman" w:hint="eastAsia"/>
                <w:kern w:val="2"/>
                <w:sz w:val="24"/>
                <w:szCs w:val="32"/>
                <w:lang w:val="en-US" w:eastAsia="zh-CN" w:bidi="ar-SA"/>
              </w:rPr>
              <w:t>9</w:t>
            </w:r>
            <w:r>
              <w:rPr>
                <w:rFonts w:ascii="Times New Roman" w:eastAsia="仿宋_GB2312" w:cs="Times New Roman" w:hAnsi="Times New Roman"/>
                <w:kern w:val="2"/>
                <w:sz w:val="24"/>
                <w:szCs w:val="32"/>
                <w:lang w:val="en-US" w:eastAsia="zh-CN" w:bidi="ar-SA"/>
              </w:rPr>
              <w:t>日</w:t>
            </w:r>
          </w:p>
        </w:tc>
      </w:tr>
      <w:tr>
        <w:trPr>
          <w:trHeight w:val="2132"/>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办理实效评估类别：（B）</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Ａ类：建议（或提案）所提问题已经解决；Ｂ类：建议（或提案）所提问题正在解决或列入计划解决；Ｃ类：建议（或提案）所提问题因条件限制或政策不允许、目前不能解决，继续争取解决。</w:t>
            </w:r>
          </w:p>
        </w:tc>
      </w:tr>
      <w:tr>
        <w:trPr>
          <w:trHeight w:val="281"/>
        </w:trPr>
        <w:tc>
          <w:tcPr>
            <w:tcW w:w="117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联系人</w:t>
            </w: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陶欣</w:t>
            </w:r>
          </w:p>
        </w:tc>
        <w:tc>
          <w:tcPr>
            <w:tcW w:w="307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3686910</w:t>
            </w:r>
          </w:p>
        </w:tc>
      </w:tr>
    </w:tbl>
    <w:p>
      <w:pPr>
        <w:rPr>
          <w:rFonts w:ascii="Times New Roman" w:eastAsia="宋体" w:cs="Times New Roman" w:hAnsi="Times New Roman"/>
          <w:kern w:val="2"/>
          <w:sz w:val="21"/>
          <w:szCs w:val="24"/>
          <w:lang w:val="en-US" w:eastAsia="zh-CN" w:bidi="ar-SA"/>
        </w:rPr>
      </w:pPr>
    </w:p>
    <w:sectPr>
      <w:pgSz w:w="11907" w:h="16840"/>
      <w:pgMar w:top="1797" w:right="1418" w:bottom="1440"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2000000000000000000"/>
    <w:charset w:val="86"/>
    <w:family w:val="script"/>
    <w:pitch w:val="variable"/>
    <w:sig w:usb0="00000001" w:usb1="08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宋体">
    <w:altName w:val="方正书宋_GBK"/>
    <w:panose1 w:val="00000000000000000000"/>
    <w:charset w:val="86"/>
    <w:family w:val="auto"/>
    <w:pitch w:val="variable"/>
    <w:sig w:usb0="00000000" w:usb1="00000000" w:usb2="00000000" w:usb3="00000000" w:csb0="00000000" w:csb1="00000000"/>
  </w:font>
  <w:font w:name="Arial">
    <w:altName w:val="Times New Roman"/>
    <w:panose1 w:val="020B0604020202020204"/>
    <w:charset w:val="01"/>
    <w:family w:val="swiss"/>
    <w:pitch w:val="variable"/>
    <w:sig w:usb0="E0002AFF" w:usb1="C0007843" w:usb2="00000009" w:usb3="00000000" w:csb0="400001FF" w:csb1="FFFF0000"/>
  </w:font>
  <w:font w:name="Calibri">
    <w:altName w:val="DejaVu Sans"/>
    <w:panose1 w:val="020F0502020204030204"/>
    <w:charset w:val="00"/>
    <w:family w:val="swiss"/>
    <w:pitch w:val="variable"/>
    <w:sig w:usb0="00000000" w:usb1="00000000" w:usb2="00000001" w:usb3="00000000" w:csb0="0000019F" w:csb1="00000000"/>
  </w:font>
  <w:font w:name="仿宋">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70"/>
  <w:displayBackgroundShape/>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next w:val="15"/>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Normal Indent"/>
    <w:basedOn w:val="0"/>
    <w:next w:val="16"/>
    <w:pPr>
      <w:ind w:firstLineChars="200" w:firstLine="200"/>
    </w:pPr>
    <w:rPr>
      <w:rFonts w:ascii="Times New Roman" w:eastAsia="宋体" w:cs="Times New Roman" w:hAnsi="Times New Roman"/>
    </w:rPr>
  </w:style>
  <w:style w:type="paragraph" w:styleId="16">
    <w:name w:val="footer"/>
    <w:basedOn w:val="0"/>
    <w:next w:val="15"/>
    <w:pPr>
      <w:tabs>
        <w:tab w:val="center" w:pos="4153"/>
        <w:tab w:val="right" w:pos="8306"/>
      </w:tabs>
      <w:snapToGrid w:val="0"/>
      <w:jc w:val="left"/>
    </w:pPr>
    <w:rPr>
      <w:sz w:val="18"/>
    </w:rPr>
  </w:style>
  <w:style w:type="paragraph" w:styleId="17">
    <w:name w:val="Body Text"/>
    <w:basedOn w:val="0"/>
    <w:next w:val="18"/>
    <w:rPr>
      <w:rFonts w:ascii="仿宋" w:eastAsia="仿宋" w:cs="仿宋" w:hAnsi="仿宋"/>
      <w:sz w:val="35"/>
      <w:szCs w:val="35"/>
      <w:lang w:val="en-US" w:bidi="ar-SA"/>
    </w:rPr>
  </w:style>
  <w:style w:type="paragraph" w:styleId="18">
    <w:name w:val="Title"/>
    <w:basedOn w:val="0"/>
    <w:next w:val="0"/>
    <w:pPr>
      <w:pBdr>
        <w:bottom w:val="single" w:sz="12" w:space="1" w:color="auto"/>
      </w:pBdr>
      <w:spacing w:before="240" w:after="100"/>
      <w:jc w:val="center"/>
      <w:textAlignment w:val="baseline"/>
      <w:outlineLvl w:val="0"/>
    </w:pPr>
    <w:rPr>
      <w:rFonts w:ascii="Arial" w:eastAsia="黑体" w:hAnsi="Arial"/>
      <w:color w:val="FF0000"/>
      <w:kern w:val="0"/>
      <w:sz w:val="48"/>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32</TotalTime>
  <Application>Yozo_Office27021597764231179</Application>
  <Pages>2</Pages>
  <Words>0</Words>
  <Characters>906</Characters>
  <Lines>0</Lines>
  <Paragraphs>3</Paragraphs>
  <CharactersWithSpaces>1209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dcterms:created xsi:type="dcterms:W3CDTF">2021-05-11T07:28:00Z</dcterms:created>
  <dcterms:modified xsi:type="dcterms:W3CDTF">2025-10-14T01:17:27Z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2052-11.8.2.10624</vt:lpwstr>
  </property>
</Properties>
</file>