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74" w:rightChars="83"/>
        <w:jc w:val="both"/>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附件1</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钦北区2020年《政府工作报告》重点任务落实分工方案</w:t>
      </w:r>
    </w:p>
    <w:tbl>
      <w:tblPr>
        <w:tblStyle w:val="5"/>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30"/>
        <w:gridCol w:w="8591"/>
        <w:gridCol w:w="2168"/>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4"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tc>
        <w:tc>
          <w:tcPr>
            <w:tcW w:w="1230"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w:t>
            </w:r>
          </w:p>
        </w:tc>
        <w:tc>
          <w:tcPr>
            <w:tcW w:w="8591"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主要任务</w:t>
            </w:r>
          </w:p>
        </w:tc>
        <w:tc>
          <w:tcPr>
            <w:tcW w:w="2168"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2279"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sz w:val="28"/>
                <w:szCs w:val="28"/>
                <w:lang w:val="en-US" w:eastAsia="zh-CN"/>
              </w:rPr>
            </w:pPr>
            <w:r>
              <w:rPr>
                <w:rFonts w:hint="default" w:ascii="Times New Roman" w:hAnsi="Times New Roman" w:eastAsia="黑体" w:cs="Times New Roman"/>
                <w:bCs/>
                <w:sz w:val="28"/>
                <w:szCs w:val="28"/>
                <w:lang w:val="en-US" w:eastAsia="zh-CN"/>
              </w:rPr>
              <w:t>一、实施产业攻坚，全面推动工业发展</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一</w:t>
            </w:r>
            <w:r>
              <w:rPr>
                <w:rFonts w:hint="default" w:ascii="Times New Roman" w:hAnsi="Times New Roman" w:eastAsia="楷体_GB2312" w:cs="Times New Roman"/>
                <w:bCs/>
                <w:sz w:val="24"/>
                <w:szCs w:val="24"/>
              </w:rPr>
              <w:t>）培育工业发展新动能</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落实自治区“制造业发展攻坚突破年”、工业振兴攻坚战等部署要求，聚焦强龙头、补链条、聚集群，围绕重点产业重点项目谋划全局，大力发展医药健康、锰业新材料、新能源、新型建材、林木加工、食品和农产品加工等6个重点产业，形成我区特色优势产业集群。</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深入实施“双十双新”工程，打造一批重大产业项目，确保“双十”产业项目达到7个、“双新”产业项目达到8个。加大规模以上企业培育，新增金风科技、琦泉生物质发电等10家以上规模以上企业。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区发展改革局</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皇马工管委</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研究好中央、自治区的相关政策，深入开展扩大利用外资百日攻坚行动和“央企入钦”“民企入钦”“湾企入钦”行动，聚焦“三大三新”“四高四新”产业项目，围绕6个重点产业开展精准招商、以商招商活动，完善总部经济政策，引进更多新项目、好项目，吸引更多优质企业落户钦北，加大支持民营经济发展力度，把我区产业做大做强。</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区招商促进局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二</w:t>
            </w:r>
            <w:r>
              <w:rPr>
                <w:rFonts w:hint="default" w:ascii="Times New Roman" w:hAnsi="Times New Roman" w:eastAsia="楷体_GB2312" w:cs="Times New Roman"/>
                <w:bCs/>
                <w:sz w:val="24"/>
                <w:szCs w:val="24"/>
              </w:rPr>
              <w:t>）抓项目稳投资促增长</w:t>
            </w: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落实县域经济发展三年行动计划，强化产业项目的支撑力度，集中力量攻坚一批市级以上重点项目，做大做强钦北区经济技术开发区，开工建设绿源木业、医药中间体、海龙饲料、亚克力板材等工业项目，竣工金风科技、肯泰医药、埃索凯新材料等工业项目，确保新开工项目18个以上，续建项目32个，竣工项目25个以上，为我区经济发展积累新动能。</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continue"/>
            <w:vAlign w:val="center"/>
          </w:tcPr>
          <w:p>
            <w:pPr>
              <w:spacing w:line="340" w:lineRule="exact"/>
              <w:rPr>
                <w:rFonts w:hint="default" w:ascii="Times New Roman" w:hAnsi="Times New Roman" w:cs="Times New Roman"/>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科学编制好“十四五”规划纲要，及早谋划一批影响力大、带动力强的重大工程和项目。</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4" w:type="dxa"/>
            <w:vMerge w:val="continue"/>
            <w:vAlign w:val="center"/>
          </w:tcPr>
          <w:p>
            <w:pPr>
              <w:spacing w:line="340" w:lineRule="exact"/>
              <w:rPr>
                <w:rFonts w:hint="default" w:ascii="Times New Roman" w:hAnsi="Times New Roman" w:cs="Times New Roman"/>
                <w:sz w:val="24"/>
                <w:szCs w:val="24"/>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做好那蒙新型建材产业园、锰业新材料产业园规划。加快推进</w:t>
            </w:r>
            <w:r>
              <w:rPr>
                <w:rFonts w:hint="default" w:ascii="Times New Roman" w:hAnsi="Times New Roman" w:eastAsia="仿宋_GB2312" w:cs="Times New Roman"/>
                <w:bCs/>
                <w:sz w:val="24"/>
                <w:szCs w:val="24"/>
                <w:lang w:eastAsia="zh-CN"/>
              </w:rPr>
              <w:t>钦北区经济技术开发区</w:t>
            </w:r>
            <w:r>
              <w:rPr>
                <w:rFonts w:hint="default" w:ascii="Times New Roman" w:hAnsi="Times New Roman" w:eastAsia="仿宋_GB2312" w:cs="Times New Roman"/>
                <w:bCs/>
                <w:sz w:val="24"/>
                <w:szCs w:val="24"/>
              </w:rPr>
              <w:t>综合配套、北部湾中医药健康产业园基础设施、园区污水管网等园区基础设施项目，让园区供水、电力、道路、污水处理等基础配套设施更加完善。</w:t>
            </w:r>
          </w:p>
        </w:tc>
        <w:tc>
          <w:tcPr>
            <w:tcW w:w="2168" w:type="dxa"/>
            <w:vAlign w:val="center"/>
          </w:tcPr>
          <w:p>
            <w:pPr>
              <w:spacing w:line="340" w:lineRule="exact"/>
              <w:jc w:val="center"/>
              <w:rPr>
                <w:rFonts w:hint="default" w:ascii="Times New Roman" w:hAnsi="Times New Roman" w:eastAsia="仿宋_GB2312" w:cs="Times New Roman"/>
                <w:sz w:val="24"/>
                <w:szCs w:val="24"/>
              </w:rPr>
            </w:pP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spacing w:line="340" w:lineRule="exact"/>
              <w:jc w:val="center"/>
              <w:rPr>
                <w:rFonts w:hint="default" w:ascii="Times New Roman" w:hAnsi="Times New Roman" w:eastAsia="仿宋_GB2312" w:cs="Times New Roman"/>
                <w:sz w:val="24"/>
                <w:szCs w:val="24"/>
              </w:rPr>
            </w:pP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kern w:val="0"/>
                <w:sz w:val="24"/>
                <w:szCs w:val="24"/>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4" w:type="dxa"/>
            <w:vMerge w:val="restart"/>
            <w:vAlign w:val="center"/>
          </w:tcPr>
          <w:p>
            <w:pPr>
              <w:spacing w:line="34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（一）提升主城区管理水平</w:t>
            </w: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大力实施城市品质提升行动，配合推进东升街、钦州东站西侧1号路等道路建设，通畅主城区城市道路。</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推进钦江北环大桥至永福大桥段“一江两岸”绿化亮化工程建设，推进上勒村、沙坪村及市行政信息中心周边城中村改造。</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钦北生态环境局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区水利局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对主城区6个农贸市场升级改造，全面整治农贸市场内环境“脏乱差”现象。</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整治车辆乱停、摊点乱摆、施工乱象、广告乱贴、垃圾乱丢等“五乱现象”，规范二手车市场、砂石场、机械租卖场、废旧回收摊点、石材钢材加工销售点“三场两点”，让城市更加靓丽、更有气质。</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区交通运输局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区工业和信息化局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11"/>
                <w:sz w:val="24"/>
                <w:szCs w:val="24"/>
              </w:rPr>
              <w:t>（二）完善钦北新城配套设施</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运用城市经营理念，加快钦北新城开发，推进林湖美地、华发壹号、康桥1209三期等项目建设。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完善新城基础设施，完成新城给水管网、污水管网工程，完善燃气管道建设。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加强钦北新城市容管理，整治城市乱象，严控新增违法用地和违法建设，着力打造干净、整洁、有序、畅通的城市环境，彰显钦北区作为钦州“北大门”“北大厅”的良好形象。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both"/>
              <w:rPr>
                <w:rFonts w:hint="default" w:ascii="Times New Roman" w:hAnsi="Times New Roman" w:eastAsia="仿宋_GB2312" w:cs="Times New Roman"/>
                <w:spacing w:val="-17"/>
                <w:sz w:val="24"/>
                <w:szCs w:val="24"/>
                <w:lang w:val="en-US" w:eastAsia="zh-CN"/>
              </w:rPr>
            </w:pPr>
            <w:r>
              <w:rPr>
                <w:rFonts w:hint="default" w:ascii="Times New Roman" w:hAnsi="Times New Roman" w:eastAsia="仿宋_GB2312" w:cs="Times New Roman"/>
                <w:spacing w:val="-17"/>
                <w:sz w:val="24"/>
                <w:szCs w:val="24"/>
                <w:lang w:val="en-US" w:eastAsia="zh-CN"/>
              </w:rPr>
              <w:t>区城管综合执法大队</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长田</w:t>
            </w:r>
            <w:r>
              <w:rPr>
                <w:rFonts w:hint="default" w:ascii="Times New Roman" w:hAnsi="Times New Roman" w:eastAsia="仿宋_GB2312" w:cs="Times New Roman"/>
                <w:spacing w:val="-11"/>
                <w:sz w:val="24"/>
                <w:szCs w:val="24"/>
              </w:rPr>
              <w:t>街道办事处</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大垌</w:t>
            </w:r>
            <w:r>
              <w:rPr>
                <w:rFonts w:hint="default" w:ascii="Times New Roman" w:hAnsi="Times New Roman" w:eastAsia="仿宋_GB2312" w:cs="Times New Roman"/>
                <w:spacing w:val="-11"/>
                <w:sz w:val="24"/>
                <w:szCs w:val="24"/>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Align w:val="center"/>
          </w:tcPr>
          <w:p>
            <w:pPr>
              <w:numPr>
                <w:ilvl w:val="0"/>
                <w:numId w:val="1"/>
              </w:numPr>
              <w:spacing w:line="340" w:lineRule="exact"/>
              <w:jc w:val="both"/>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全力做好国土空间规划，优化镇村空间布局。</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numPr>
                <w:ilvl w:val="0"/>
                <w:numId w:val="0"/>
              </w:numPr>
              <w:spacing w:line="340" w:lineRule="exact"/>
              <w:rPr>
                <w:rFonts w:hint="default" w:ascii="Times New Roman" w:hAnsi="Times New Roman" w:eastAsia="楷体_GB2312" w:cs="Times New Roman"/>
                <w:bCs/>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lang w:eastAsia="zh-CN"/>
              </w:rPr>
              <w:t>（三）</w:t>
            </w: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加快推进大寺飞翔特色小镇建设，推进小董万象城、大寺朝晖商业街等城镇住宅小区开发，建设宜居宜商的城镇。</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w:t>
            </w:r>
            <w:r>
              <w:rPr>
                <w:rFonts w:hint="default" w:ascii="Times New Roman" w:hAnsi="Times New Roman" w:eastAsia="仿宋_GB2312" w:cs="Times New Roman"/>
                <w:sz w:val="24"/>
                <w:szCs w:val="24"/>
              </w:rPr>
              <w:t>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11"/>
                <w:sz w:val="24"/>
                <w:szCs w:val="24"/>
                <w:lang w:val="en-US" w:eastAsia="zh-CN"/>
              </w:rPr>
              <w:t>发展改革</w:t>
            </w:r>
            <w:r>
              <w:rPr>
                <w:rFonts w:hint="default" w:ascii="Times New Roman" w:hAnsi="Times New Roman" w:eastAsia="仿宋_GB2312" w:cs="Times New Roman"/>
                <w:spacing w:val="-11"/>
                <w:sz w:val="24"/>
                <w:szCs w:val="24"/>
              </w:rPr>
              <w:t>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rPr>
              <w:t>小董镇</w:t>
            </w:r>
            <w:r>
              <w:rPr>
                <w:rFonts w:hint="default" w:ascii="Times New Roman" w:hAnsi="Times New Roman" w:eastAsia="仿宋_GB2312" w:cs="Times New Roman"/>
                <w:spacing w:val="-11"/>
                <w:sz w:val="24"/>
                <w:szCs w:val="24"/>
                <w:lang w:val="en-US" w:eastAsia="zh-CN"/>
              </w:rPr>
              <w:t>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大寺镇</w:t>
            </w:r>
            <w:r>
              <w:rPr>
                <w:rFonts w:hint="default" w:ascii="Times New Roman" w:hAnsi="Times New Roman" w:eastAsia="仿宋_GB2312" w:cs="Times New Roman"/>
                <w:spacing w:val="-11"/>
                <w:sz w:val="24"/>
                <w:szCs w:val="24"/>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加快做好皇马工业园区、北部湾林木产业园区及大垌、那蒙、小董等镇工业集中区的配套小区规划，不断提升群众居住环境。</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spacing w:line="34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Cs/>
                <w:sz w:val="28"/>
                <w:szCs w:val="28"/>
              </w:rPr>
              <w:t>三、坚持对外开放，加快推进商贸物流</w:t>
            </w:r>
          </w:p>
        </w:tc>
        <w:tc>
          <w:tcPr>
            <w:tcW w:w="1230" w:type="dxa"/>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（一）启动物流园区建设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北部湾海铁联运皇马现代综合物流园详细规划，采用PPP模式推进物流园区及配套基础设施项目建设，着力打造集大宗商品物流、农产品物流、制造业和新型建材物流中心等于一体的大型现代物流园区，搭建布局合理、技术先进、便捷高效、绿色环保、安全有序的现代物流服务体系，推动现代物流发展。</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皇马工管委</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（二）加快旅游商贸发展</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以点带面，大力打造贵台至大寺乡村振兴生态康养旅游示范带，启动九溪禅心谷康养文化旅游开发项目，提档升级望海岭国际滑翔伞基地低空体验项目。</w:t>
            </w:r>
          </w:p>
        </w:tc>
        <w:tc>
          <w:tcPr>
            <w:tcW w:w="2168"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区</w:t>
            </w:r>
            <w:r>
              <w:rPr>
                <w:rFonts w:hint="default" w:ascii="Times New Roman" w:hAnsi="Times New Roman" w:eastAsia="仿宋_GB2312" w:cs="Times New Roman"/>
                <w:spacing w:val="-6"/>
                <w:sz w:val="24"/>
                <w:szCs w:val="24"/>
                <w:lang w:val="en-US" w:eastAsia="zh-CN"/>
              </w:rPr>
              <w:t>文化</w:t>
            </w:r>
            <w:r>
              <w:rPr>
                <w:rFonts w:hint="default" w:ascii="Times New Roman" w:hAnsi="Times New Roman" w:eastAsia="仿宋_GB2312" w:cs="Times New Roman"/>
                <w:spacing w:val="-6"/>
                <w:sz w:val="24"/>
                <w:szCs w:val="24"/>
              </w:rPr>
              <w:t>广电体育</w:t>
            </w:r>
          </w:p>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旅游局</w:t>
            </w:r>
          </w:p>
          <w:p>
            <w:pPr>
              <w:spacing w:line="320" w:lineRule="exact"/>
              <w:jc w:val="center"/>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pacing w:val="-6"/>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2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发展以九佰垌农业公园、牧歌田园等为龙头的休闲农业观光，以娥眉湾生态园、翠湖田园等为龙头的山水健康养生观光，加快推进鹰山温泉旅游度假区等旅游项目建设。</w:t>
            </w:r>
          </w:p>
        </w:tc>
        <w:tc>
          <w:tcPr>
            <w:tcW w:w="2168" w:type="dxa"/>
            <w:vAlign w:val="center"/>
          </w:tcPr>
          <w:p>
            <w:pPr>
              <w:spacing w:line="320" w:lineRule="exact"/>
              <w:jc w:val="center"/>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区</w:t>
            </w:r>
            <w:r>
              <w:rPr>
                <w:rFonts w:hint="default" w:ascii="Times New Roman" w:hAnsi="Times New Roman" w:eastAsia="仿宋_GB2312" w:cs="Times New Roman"/>
                <w:color w:val="auto"/>
                <w:spacing w:val="-6"/>
                <w:sz w:val="24"/>
                <w:szCs w:val="24"/>
                <w:highlight w:val="none"/>
                <w:lang w:val="en-US" w:eastAsia="zh-CN"/>
              </w:rPr>
              <w:t>文化</w:t>
            </w:r>
            <w:r>
              <w:rPr>
                <w:rFonts w:hint="default" w:ascii="Times New Roman" w:hAnsi="Times New Roman" w:eastAsia="仿宋_GB2312" w:cs="Times New Roman"/>
                <w:color w:val="auto"/>
                <w:spacing w:val="-6"/>
                <w:sz w:val="24"/>
                <w:szCs w:val="24"/>
                <w:highlight w:val="none"/>
              </w:rPr>
              <w:t>广电体育</w:t>
            </w:r>
          </w:p>
          <w:p>
            <w:pPr>
              <w:spacing w:line="320" w:lineRule="exact"/>
              <w:jc w:val="center"/>
              <w:rPr>
                <w:rFonts w:hint="default" w:ascii="Times New Roman" w:hAnsi="Times New Roman" w:eastAsia="仿宋_GB2312" w:cs="Times New Roman"/>
                <w:color w:val="auto"/>
                <w:spacing w:val="-11"/>
                <w:sz w:val="24"/>
                <w:szCs w:val="24"/>
                <w:highlight w:val="none"/>
              </w:rPr>
            </w:pPr>
            <w:r>
              <w:rPr>
                <w:rFonts w:hint="default" w:ascii="Times New Roman" w:hAnsi="Times New Roman" w:eastAsia="仿宋_GB2312" w:cs="Times New Roman"/>
                <w:color w:val="auto"/>
                <w:spacing w:val="-6"/>
                <w:sz w:val="24"/>
                <w:szCs w:val="24"/>
                <w:highlight w:val="none"/>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color w:val="auto"/>
                <w:spacing w:val="-11"/>
                <w:sz w:val="24"/>
                <w:szCs w:val="24"/>
                <w:highlight w:val="none"/>
              </w:rPr>
              <w:t>区农业农村局</w:t>
            </w:r>
          </w:p>
        </w:tc>
        <w:tc>
          <w:tcPr>
            <w:tcW w:w="2279"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举办“爱我钦北”系列活动，充分利用节假日举办美食节、汽车展等营销活动，活跃城乡市场促进消费稳增长。</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区文化广电体育</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旅游局</w:t>
            </w:r>
          </w:p>
          <w:p>
            <w:pPr>
              <w:spacing w:line="340" w:lineRule="exact"/>
              <w:jc w:val="center"/>
              <w:rPr>
                <w:rFonts w:hint="default" w:ascii="Times New Roman" w:hAnsi="Times New Roman" w:cs="Times New Roman"/>
              </w:rPr>
            </w:pPr>
            <w:r>
              <w:rPr>
                <w:rFonts w:hint="default" w:ascii="Times New Roman" w:hAnsi="Times New Roman" w:eastAsia="仿宋_GB2312" w:cs="Times New Roman"/>
                <w:spacing w:val="-11"/>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拓宽农产品品牌营销渠道，积极打造农村电商产业，完善“新村淘”电商销售平台，带动农民增收。</w:t>
            </w:r>
          </w:p>
        </w:tc>
        <w:tc>
          <w:tcPr>
            <w:tcW w:w="2168" w:type="dxa"/>
            <w:vAlign w:val="center"/>
          </w:tcPr>
          <w:p>
            <w:pPr>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区农业农村局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highlight w:val="none"/>
              </w:rPr>
              <w:t>区发展改革局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Cs/>
                <w:sz w:val="28"/>
                <w:szCs w:val="28"/>
              </w:rPr>
              <w:t>三、坚持对外开放，加快推进商贸物流</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（三）激发市场主体活力</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推进皇马资产集团公司改革，加快转型升级，强化资产盘活处置，提升造血功能。</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区财政局（国资办）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推行“一窗受理、集成服务”，实行“前台综合受理、后台分类审批、综合窗口出件”服务模式，全面建成政务服务“一张网”。</w:t>
            </w:r>
          </w:p>
        </w:tc>
        <w:tc>
          <w:tcPr>
            <w:tcW w:w="2168" w:type="dxa"/>
            <w:vAlign w:val="center"/>
          </w:tcPr>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区政务服务监管局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推行“不见面”审批，线上业务“网上办”，清理、精简涉及民间投资管理的行政审批事项和涉企收费，着力解决企业融资难</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融资贵问题。</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区政务服务监管局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进一步降低企业税费负担，积极落实好增值税、所得税等各项减税降费政策，降低企业用电用气用水价格。</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rPr>
            </w:pPr>
          </w:p>
          <w:p>
            <w:pPr>
              <w:numPr>
                <w:ilvl w:val="0"/>
                <w:numId w:val="0"/>
              </w:numPr>
              <w:spacing w:line="340" w:lineRule="exact"/>
              <w:jc w:val="both"/>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Cs/>
                <w:sz w:val="28"/>
                <w:szCs w:val="28"/>
              </w:rPr>
              <w:t>施乡村振兴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（一）坚决打赢脱贫攻坚战</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完成2039贫困人口脱贫，板城镇那芳村、青塘镇那路村2个贫困村出列。</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解决“两不愁三保障”突出问题，全力打好产业扶贫、村集体经济发展、基础设施建设“三场硬仗”，深入推进发展壮大村集体经济三年行动计划，大力扶持发展区级“5+2”、村级“3+1”特色产业，确保村集体经济年收入全部达到5万元以上。</w:t>
            </w:r>
          </w:p>
        </w:tc>
        <w:tc>
          <w:tcPr>
            <w:tcW w:w="2168" w:type="dxa"/>
            <w:vAlign w:val="center"/>
          </w:tcPr>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区农业农村局</w:t>
            </w:r>
          </w:p>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区扶贫办</w:t>
            </w:r>
          </w:p>
          <w:p>
            <w:pPr>
              <w:shd w:val="clear"/>
              <w:spacing w:line="340" w:lineRule="exact"/>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en-US" w:eastAsia="zh-CN"/>
              </w:rPr>
              <w:t>区委组织部</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完善城镇基础设施，开工建设板城、新棠污水处理厂，提升城镇品质。</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皇马资产集团公司</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实现建档立卡贫困人口城乡居民基本医疗保险参保率、住房保障率100%。</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区税务局</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建立贫困监测预警和巡诊机制，开展脱贫人口的“回头看”，对有致贫风险的低收入边缘户和有返贫风险的脱贫户纳入动态监测范围，稳定扶贫政策，严格执行落实“四不摘”要求，巩固脱贫成效。</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 w:val="0"/>
                <w:bCs/>
                <w:spacing w:val="-17"/>
                <w:sz w:val="28"/>
                <w:szCs w:val="28"/>
              </w:rPr>
              <w:t>施</w:t>
            </w:r>
            <w:r>
              <w:rPr>
                <w:rFonts w:hint="default" w:ascii="Times New Roman" w:hAnsi="Times New Roman" w:eastAsia="黑体" w:cs="Times New Roman"/>
                <w:bCs/>
                <w:sz w:val="28"/>
                <w:szCs w:val="28"/>
              </w:rPr>
              <w:t>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（二）培育发展特色农业产业</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深化“龙头企业+基地+产品”发展模式，扩大富硒米、荔枝、火龙果等特色产业规模，加强农产品品牌建设，抓好“三品一标”产品认证。</w:t>
            </w:r>
          </w:p>
        </w:tc>
        <w:tc>
          <w:tcPr>
            <w:tcW w:w="2168" w:type="dxa"/>
            <w:vMerge w:val="restart"/>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restart"/>
            <w:vAlign w:val="center"/>
          </w:tcPr>
          <w:p>
            <w:pPr>
              <w:jc w:val="center"/>
              <w:rPr>
                <w:rFonts w:hint="default" w:ascii="Times New Roman" w:hAnsi="Times New Roman" w:eastAsia="仿宋_GB2312" w:cs="Times New Roman"/>
                <w:spacing w:val="-11"/>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highlight w:val="none"/>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加快推进那蒙特色苗木产业示范区、众森东方中草药种植示范区建设。</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年内创建</w:t>
            </w:r>
            <w:r>
              <w:rPr>
                <w:rFonts w:hint="default" w:ascii="Times New Roman" w:hAnsi="Times New Roman" w:eastAsia="仿宋_GB2312" w:cs="Times New Roman"/>
                <w:bCs/>
                <w:color w:val="auto"/>
                <w:sz w:val="24"/>
                <w:szCs w:val="24"/>
                <w:highlight w:val="none"/>
              </w:rPr>
              <w:t>县级示范区2个</w:t>
            </w:r>
            <w:r>
              <w:rPr>
                <w:rFonts w:hint="default" w:ascii="Times New Roman" w:hAnsi="Times New Roman" w:eastAsia="仿宋_GB2312" w:cs="Times New Roman"/>
                <w:bCs/>
                <w:sz w:val="24"/>
                <w:szCs w:val="24"/>
              </w:rPr>
              <w:t>、乡级示范园9个、村级示范点60个。</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注重培育农业新型经营主体队伍，</w:t>
            </w:r>
            <w:r>
              <w:rPr>
                <w:rFonts w:hint="default" w:ascii="Times New Roman" w:hAnsi="Times New Roman" w:eastAsia="仿宋_GB2312" w:cs="Times New Roman"/>
                <w:bCs/>
                <w:sz w:val="24"/>
                <w:szCs w:val="24"/>
                <w:highlight w:val="none"/>
              </w:rPr>
              <w:t>实施高素质农民培育</w:t>
            </w:r>
            <w:r>
              <w:rPr>
                <w:rFonts w:hint="default" w:ascii="Times New Roman" w:hAnsi="Times New Roman" w:eastAsia="仿宋_GB2312" w:cs="Times New Roman"/>
                <w:bCs/>
                <w:sz w:val="24"/>
                <w:szCs w:val="24"/>
              </w:rPr>
              <w:t>、跟踪服务素质提升培训500人以上，发展农民专业合作社10个、家庭农场5个以上。</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区农业农村局</w:t>
            </w:r>
          </w:p>
        </w:tc>
        <w:tc>
          <w:tcPr>
            <w:tcW w:w="2279" w:type="dxa"/>
            <w:vAlign w:val="center"/>
          </w:tcPr>
          <w:p>
            <w:pPr>
              <w:spacing w:line="34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lang w:eastAsia="zh-CN"/>
              </w:rPr>
              <w:t>区</w:t>
            </w:r>
            <w:r>
              <w:rPr>
                <w:rFonts w:hint="default" w:ascii="Times New Roman" w:hAnsi="Times New Roman" w:eastAsia="仿宋_GB2312" w:cs="Times New Roman"/>
                <w:spacing w:val="-17"/>
                <w:sz w:val="24"/>
                <w:szCs w:val="24"/>
              </w:rPr>
              <w:t>人力资源社会保障局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lang w:eastAsia="zh-CN"/>
              </w:rPr>
              <w:t>（</w:t>
            </w:r>
            <w:r>
              <w:rPr>
                <w:rFonts w:hint="default" w:ascii="Times New Roman" w:hAnsi="Times New Roman" w:eastAsia="楷体_GB2312" w:cs="Times New Roman"/>
                <w:bCs/>
                <w:sz w:val="24"/>
                <w:szCs w:val="24"/>
              </w:rPr>
              <w:t>三）强化农村环境整治</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深入开展农村人居环境整治行动、“三清三拆”乡村风貌提升行动，持续推进“美丽钦北”乡村建设，开展美丽村屯示范点创建。</w:t>
            </w:r>
          </w:p>
        </w:tc>
        <w:tc>
          <w:tcPr>
            <w:tcW w:w="2168"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区农业农村局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区乡村办</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区委组织部</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区发展改革局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区财政局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区文化广电体育</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重点推进自然村屯生活污水、垃圾处理等人居环境整治，构建村镇区垃圾清运体系。</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区住房城乡建设局</w:t>
            </w: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推进农村“厕所</w:t>
            </w:r>
            <w:r>
              <w:rPr>
                <w:rFonts w:hint="default" w:ascii="Times New Roman" w:hAnsi="Times New Roman" w:eastAsia="仿宋_GB2312" w:cs="Times New Roman"/>
                <w:bCs/>
                <w:sz w:val="24"/>
                <w:szCs w:val="24"/>
                <w:highlight w:val="none"/>
                <w:shd w:val="clear"/>
              </w:rPr>
              <w:t>革命”，完成农村家庭改厕200座。</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推进畜禽养殖废弃物资源化利用，完善规模畜禽养殖设施设备。</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w:t>
            </w:r>
            <w:r>
              <w:rPr>
                <w:rFonts w:hint="default" w:ascii="Times New Roman" w:hAnsi="Times New Roman" w:eastAsia="黑体" w:cs="Times New Roman"/>
                <w:b w:val="0"/>
                <w:bCs/>
                <w:spacing w:val="0"/>
                <w:sz w:val="28"/>
                <w:szCs w:val="28"/>
              </w:rPr>
              <w:t>事业蓬勃发展</w:t>
            </w: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（一）办好优质公平教育</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推进义务教育基本均衡发展，确保顺利通过国家评估认定。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逐步破解“择校热”、努力消除“大班额”，不断缩小城乡、区域、校际间差距。</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力争建成市第四十三小学，加快推进市第八幼儿园、第十幼儿园、小董中学迁建项目建设，启动东升学校二期建设，续建市第十六中学，改扩建市第八小学、市第三十九小学，全区义务教育巩固率达到95%以上。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加快推进普及高中阶段教育，确保全区高中阶段教育毛入学率达到90%以上，普</w:t>
            </w:r>
            <w:r>
              <w:rPr>
                <w:rFonts w:hint="default" w:ascii="Times New Roman" w:hAnsi="Times New Roman" w:eastAsia="仿宋_GB2312" w:cs="Times New Roman"/>
                <w:bCs/>
                <w:sz w:val="24"/>
                <w:szCs w:val="24"/>
                <w:lang w:eastAsia="zh-CN"/>
              </w:rPr>
              <w:t>及</w:t>
            </w:r>
            <w:r>
              <w:rPr>
                <w:rFonts w:hint="default" w:ascii="Times New Roman" w:hAnsi="Times New Roman" w:eastAsia="仿宋_GB2312" w:cs="Times New Roman"/>
                <w:bCs/>
                <w:sz w:val="24"/>
                <w:szCs w:val="24"/>
              </w:rPr>
              <w:t>比达到自治区平均水平。</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实施学前教育行动计划，推动小区配套幼儿园、普惠性公益幼儿园建设，积极创建学前教育示范区，普惠幼儿园覆盖率达到80%。</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推进医疗卫生项目建设，新建区人民医院传染病住院楼、区中医医院门诊综合楼、医技楼业务用房。</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推进“三医联动”改革，加强医疗联合体规划建设，持续深化公立医院改革。</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区发展改革局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区市场监管局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实施常规管理与宣传教育相结合，加强艾滋病、结核病防治，巩固国家慢性病综合防控示范区建设。</w:t>
            </w:r>
          </w:p>
        </w:tc>
        <w:tc>
          <w:tcPr>
            <w:tcW w:w="2168" w:type="dxa"/>
            <w:vMerge w:val="restart"/>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Merge w:val="restart"/>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规范家庭医生签约服务，逐步提高居民家庭医生服务水平。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加强中医药文化建设，提升医疗机构中医药服务能力水平。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restart"/>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会事业蓬勃发展</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完成城乡居民医疗保险费征缴，做好医疗保障各项服务。</w:t>
            </w:r>
          </w:p>
        </w:tc>
        <w:tc>
          <w:tcPr>
            <w:tcW w:w="2168" w:type="dxa"/>
            <w:vAlign w:val="center"/>
          </w:tcPr>
          <w:p>
            <w:pPr>
              <w:spacing w:line="34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区医保局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改革完善全科医生培养与使用激励机制，为钦北卫生与健康事业发展提供人才支撑。</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（三）提升就业和社会保障水平</w:t>
            </w:r>
          </w:p>
        </w:tc>
        <w:tc>
          <w:tcPr>
            <w:tcW w:w="8591" w:type="dxa"/>
            <w:vAlign w:val="center"/>
          </w:tcPr>
          <w:p>
            <w:pPr>
              <w:spacing w:line="34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Cs/>
                <w:sz w:val="24"/>
                <w:szCs w:val="24"/>
              </w:rPr>
              <w:t>实施积极的就业政策，加大职业培训力度，统筹做好农民工、高校毕业生、退役军人、残疾人等重点群体就业。</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区退役军人</w:t>
            </w:r>
            <w:r>
              <w:rPr>
                <w:rFonts w:hint="default" w:ascii="Times New Roman" w:hAnsi="Times New Roman" w:eastAsia="仿宋_GB2312" w:cs="Times New Roman"/>
                <w:sz w:val="24"/>
                <w:szCs w:val="24"/>
                <w:lang w:val="en-US" w:eastAsia="zh-CN"/>
              </w:rPr>
              <w:t>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加强就业创业平台建设，加快推进农民工创业园、小微企业创业基地、创业孵化基地建设。</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区科技局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推进全民参保计划，抓好社会保险扩面征缴。</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提升困难群众基本生活保障水平，全面资助特困人员、孤儿、低保对象参加基本医疗保险。</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区民政局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区医保局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完善屯周、小江社区、白水塘社区居家养老服务中心运营，建成大路村、沙坡社区居家养老服务中心。</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区民政局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开展农民工工资支付专项整治，维护劳动者合法权益。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区直各有关部门</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0"/>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建成小董至那蒙、青塘绕城线等二级公路，完成窄路加宽、危桥改造、安防等项目建设。</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加快建设皇马工业园区至钦北进城路口（钦州汽车北站）二级公路。建成南宁大塘至浦北高速路钦北段、沙坪至大塘二级公路钦北段，加快325国道钦北段的建设。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w:t>
            </w:r>
            <w:r>
              <w:rPr>
                <w:rFonts w:hint="default" w:ascii="Times New Roman" w:hAnsi="Times New Roman" w:eastAsia="仿宋_GB2312" w:cs="Times New Roman"/>
                <w:sz w:val="24"/>
                <w:szCs w:val="24"/>
                <w:lang w:val="en-US" w:eastAsia="zh-CN"/>
              </w:rPr>
              <w:t>资产集团公司</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五、办好民生实事，推动社会事</w:t>
            </w:r>
            <w:r>
              <w:rPr>
                <w:rFonts w:hint="default" w:ascii="Times New Roman" w:hAnsi="Times New Roman" w:eastAsia="黑体" w:cs="Times New Roman"/>
                <w:bCs/>
                <w:spacing w:val="0"/>
                <w:sz w:val="28"/>
                <w:szCs w:val="28"/>
              </w:rPr>
              <w:t>业蓬勃发展</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pacing w:val="-17"/>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大力推进王岗山水库工程项目，完成7座水库除险加固工程。</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水利</w:t>
            </w:r>
            <w:r>
              <w:rPr>
                <w:rFonts w:hint="default" w:ascii="Times New Roman" w:hAnsi="Times New Roman" w:eastAsia="仿宋_GB2312" w:cs="Times New Roman"/>
                <w:sz w:val="24"/>
                <w:szCs w:val="24"/>
              </w:rPr>
              <w:t>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区清源供水公司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区水库和扶贫易地安置中心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w:t>
            </w:r>
            <w:r>
              <w:rPr>
                <w:rFonts w:hint="default" w:ascii="Times New Roman" w:hAnsi="Times New Roman" w:eastAsia="黑体" w:cs="Times New Roman"/>
                <w:bCs/>
                <w:spacing w:val="0"/>
                <w:sz w:val="28"/>
                <w:szCs w:val="28"/>
              </w:rPr>
              <w:t>安和谐社会</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全面完成中央</w:t>
            </w:r>
            <w:r>
              <w:rPr>
                <w:rFonts w:hint="eastAsia" w:ascii="Times New Roman" w:hAnsi="Times New Roman" w:eastAsia="仿宋_GB2312" w:cs="Times New Roman"/>
                <w:bCs/>
                <w:sz w:val="24"/>
                <w:szCs w:val="24"/>
                <w:lang w:eastAsia="zh-CN"/>
              </w:rPr>
              <w:t>环保督察</w:t>
            </w:r>
            <w:r>
              <w:rPr>
                <w:rFonts w:hint="default" w:ascii="Times New Roman" w:hAnsi="Times New Roman" w:eastAsia="仿宋_GB2312" w:cs="Times New Roman"/>
                <w:bCs/>
                <w:sz w:val="24"/>
                <w:szCs w:val="24"/>
              </w:rPr>
              <w:t>“回头看”反馈意见整改任务。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区水利局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全面落实“河长制”， 深入推进钦江、茅岭江等重点流域、水源保护区综合整治，严厉打击取缔非法采砂、洗砂场，严控主要污染物排放，继续清理整治全区123条河流88座水库“四乱”问题，改善江河湖库面貌。</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区水利局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积极协助市加快钦州主城区（钦北辖区）污水截流工程建设，完善钦北区经济技术开发区污水管网建设，启动钦北新城污水治理工程。</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六、改善生态环境，构建平安和</w:t>
            </w:r>
            <w:r>
              <w:rPr>
                <w:rFonts w:hint="default" w:ascii="Times New Roman" w:hAnsi="Times New Roman" w:eastAsia="黑体" w:cs="Times New Roman"/>
                <w:bCs/>
                <w:spacing w:val="0"/>
                <w:sz w:val="28"/>
                <w:szCs w:val="28"/>
              </w:rPr>
              <w:t>谐社会</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加快镇级污水处理及配套工程建设，完善钦江沿线镇级污水处理厂、污水管网建设，提升镇级污水处理设施运行水平。</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（二）强化社会综合治理</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深入开展扫黑除恶“六清”行动，重拳整治宗族黑恶势力，深挖“关系网”“保护伞”，重点打击农村和服务行业中的黑恶势力。</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6"/>
                <w:sz w:val="24"/>
                <w:szCs w:val="24"/>
              </w:rPr>
              <w:t>公安钦北分局</w:t>
            </w:r>
          </w:p>
        </w:tc>
        <w:tc>
          <w:tcPr>
            <w:tcW w:w="22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eastAsia="zh-CN"/>
              </w:rPr>
              <w:t>人民</w:t>
            </w:r>
            <w:r>
              <w:rPr>
                <w:rFonts w:hint="default" w:ascii="Times New Roman" w:hAnsi="Times New Roman" w:eastAsia="仿宋_GB2312" w:cs="Times New Roman"/>
                <w:sz w:val="24"/>
                <w:szCs w:val="24"/>
              </w:rPr>
              <w:t>政府办</w:t>
            </w:r>
            <w:r>
              <w:rPr>
                <w:rFonts w:hint="default" w:ascii="Times New Roman" w:hAnsi="Times New Roman" w:eastAsia="仿宋_GB2312" w:cs="Times New Roman"/>
                <w:sz w:val="24"/>
                <w:szCs w:val="24"/>
                <w:lang w:eastAsia="zh-CN"/>
              </w:rPr>
              <w:t>公室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巩固禁毒重点整治成果，大力开展“吸毒人员管控年”专项行动，切实维护社会持续稳定。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坚持和发展新时代“枫桥经验”，不断完善社会治安防控一体化建设，扎实推进综治中心信息化、网格化建设，部署推进“村安工程”“雪亮工程”建设。</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严厉打击“两抢一盗”、传销、涉枪涉爆、网络电信诈骗等违法犯罪，全力提升群众安全感满意度。</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开展各类矛盾纠纷专项排查，力争将矛盾纠纷化解在基层。</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妥善处置信访问题，严防突发性群体性事件发生，保障社会和谐稳定。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（三）压实安全生产责任</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开展安全生产“强监管严执法年”专项行动，严格落实对危险化学品、工贸行业、烟花爆竹等高危领域的安全生产监管。</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pacing w:val="-6"/>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深化重点行业领域安全隐患专项整治，加强安全生产、减灾救灾，坚决防范遏制重特大事故的发生，全力维护人民群众生命财产安全。</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持续推进高铁环境安全综合治理，全面排查整治突出问题，切实消除安全隐患，提升高铁沿线环境品质。</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w:t>
            </w:r>
            <w:r>
              <w:rPr>
                <w:rFonts w:hint="default" w:ascii="Times New Roman" w:hAnsi="Times New Roman" w:eastAsia="仿宋_GB2312" w:cs="Times New Roman"/>
                <w:color w:val="auto"/>
                <w:sz w:val="24"/>
                <w:szCs w:val="24"/>
                <w:lang w:val="en-US" w:eastAsia="zh-CN"/>
              </w:rPr>
              <w:t>护路办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积极推进基层市场监督管理机构改革，维护好消费者权益，让人民群众买得放心、用得放心、吃得放心。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区市场监管局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w:t>
            </w:r>
          </w:p>
        </w:tc>
      </w:tr>
    </w:tbl>
    <w:p>
      <w:pPr>
        <w:pStyle w:val="2"/>
        <w:ind w:left="0" w:leftChars="0" w:firstLine="0" w:firstLineChars="0"/>
        <w:rPr>
          <w:rFonts w:hint="default" w:ascii="仿宋_GB2312" w:hAnsi="仿宋_GB2312" w:eastAsia="仿宋_GB2312" w:cs="仿宋_GB2312"/>
          <w:color w:val="auto"/>
          <w:sz w:val="32"/>
          <w:szCs w:val="32"/>
          <w:lang w:val="en-US" w:eastAsia="zh-CN"/>
        </w:rPr>
        <w:sectPr>
          <w:footerReference r:id="rId3" w:type="default"/>
          <w:pgSz w:w="16838" w:h="11906" w:orient="landscape"/>
          <w:pgMar w:top="720" w:right="720" w:bottom="720" w:left="720" w:header="851" w:footer="992" w:gutter="0"/>
          <w:pgNumType w:fmt="numberInDash"/>
          <w:cols w:space="425" w:num="1"/>
          <w:docGrid w:type="lines" w:linePitch="312" w:charSpace="0"/>
        </w:sectPr>
      </w:pPr>
    </w:p>
    <w:tbl>
      <w:tblPr>
        <w:tblStyle w:val="5"/>
        <w:tblW w:w="10036" w:type="dxa"/>
        <w:tblInd w:w="320" w:type="dxa"/>
        <w:shd w:val="clear" w:color="auto" w:fill="auto"/>
        <w:tblLayout w:type="fixed"/>
        <w:tblCellMar>
          <w:top w:w="0" w:type="dxa"/>
          <w:left w:w="0" w:type="dxa"/>
          <w:bottom w:w="0" w:type="dxa"/>
          <w:right w:w="0" w:type="dxa"/>
        </w:tblCellMar>
      </w:tblPr>
      <w:tblGrid>
        <w:gridCol w:w="2943"/>
        <w:gridCol w:w="718"/>
        <w:gridCol w:w="157"/>
        <w:gridCol w:w="941"/>
        <w:gridCol w:w="777"/>
        <w:gridCol w:w="995"/>
        <w:gridCol w:w="109"/>
        <w:gridCol w:w="860"/>
        <w:gridCol w:w="463"/>
        <w:gridCol w:w="1078"/>
        <w:gridCol w:w="995"/>
      </w:tblGrid>
      <w:tr>
        <w:tblPrEx>
          <w:shd w:val="clear" w:color="auto" w:fill="auto"/>
          <w:tblCellMar>
            <w:top w:w="0" w:type="dxa"/>
            <w:left w:w="0" w:type="dxa"/>
            <w:bottom w:w="0" w:type="dxa"/>
            <w:right w:w="0" w:type="dxa"/>
          </w:tblCellMar>
        </w:tblPrEx>
        <w:trPr>
          <w:trHeight w:val="434" w:hRule="atLeast"/>
        </w:trPr>
        <w:tc>
          <w:tcPr>
            <w:tcW w:w="10036" w:type="dxa"/>
            <w:gridSpan w:val="11"/>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w:t>
            </w:r>
          </w:p>
        </w:tc>
      </w:tr>
      <w:tr>
        <w:tblPrEx>
          <w:tblCellMar>
            <w:top w:w="0" w:type="dxa"/>
            <w:left w:w="0" w:type="dxa"/>
            <w:bottom w:w="0" w:type="dxa"/>
            <w:right w:w="0" w:type="dxa"/>
          </w:tblCellMar>
        </w:tblPrEx>
        <w:trPr>
          <w:trHeight w:val="601" w:hRule="atLeast"/>
        </w:trPr>
        <w:tc>
          <w:tcPr>
            <w:tcW w:w="10036" w:type="dxa"/>
            <w:gridSpan w:val="11"/>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钦北区2020年主要经济社会发展指标目标任务表</w:t>
            </w: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0"/>
                <w:szCs w:val="40"/>
                <w:u w:val="none"/>
              </w:rPr>
            </w:pP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64"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8"/>
                <w:lang w:val="en-US" w:eastAsia="zh-CN" w:bidi="ar"/>
              </w:rPr>
              <w:t>年实际</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8"/>
                <w:lang w:val="en-US" w:eastAsia="zh-CN" w:bidi="ar"/>
              </w:rPr>
              <w:t>年目标</w:t>
            </w:r>
          </w:p>
        </w:tc>
        <w:tc>
          <w:tcPr>
            <w:tcW w:w="15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责任</w:t>
            </w:r>
            <w:r>
              <w:rPr>
                <w:rStyle w:val="9"/>
                <w:rFonts w:eastAsia="黑体"/>
                <w:lang w:val="en-US" w:eastAsia="zh-CN" w:bidi="ar"/>
              </w:rPr>
              <w:br w:type="textWrapping"/>
            </w:r>
            <w:r>
              <w:rPr>
                <w:rStyle w:val="10"/>
                <w:lang w:val="en-US" w:eastAsia="zh-CN" w:bidi="ar"/>
              </w:rPr>
              <w:t>区领导</w:t>
            </w:r>
          </w:p>
        </w:tc>
      </w:tr>
      <w:tr>
        <w:tblPrEx>
          <w:tblCellMar>
            <w:top w:w="0" w:type="dxa"/>
            <w:left w:w="0" w:type="dxa"/>
            <w:bottom w:w="0" w:type="dxa"/>
            <w:right w:w="0" w:type="dxa"/>
          </w:tblCellMar>
        </w:tblPrEx>
        <w:trPr>
          <w:trHeight w:val="464"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实际</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计划</w:t>
            </w:r>
          </w:p>
        </w:tc>
        <w:tc>
          <w:tcPr>
            <w:tcW w:w="8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8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一、地区生产总值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仿宋_GB2312"/>
                <w:highlight w:val="none"/>
                <w:lang w:eastAsia="zh-CN"/>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4.7</w:t>
            </w:r>
          </w:p>
        </w:tc>
        <w:tc>
          <w:tcPr>
            <w:tcW w:w="1541" w:type="dxa"/>
            <w:gridSpan w:val="2"/>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17"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一般公共预算收入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14.24</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541" w:type="dxa"/>
            <w:gridSpan w:val="2"/>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三、规模以上工业增加值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规模以上工业总产值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四、固定资产投资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w:t>
            </w:r>
          </w:p>
        </w:tc>
        <w:tc>
          <w:tcPr>
            <w:tcW w:w="7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186.17</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17.48</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六、外贸进出口总额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七、社会消费品零售总额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Style w:val="11"/>
                <w:rFonts w:eastAsia="仿宋_GB2312"/>
                <w:lang w:val="en-US" w:eastAsia="zh-CN" w:bidi="ar"/>
              </w:rPr>
              <w:br w:type="textWrapping"/>
            </w:r>
            <w:r>
              <w:rPr>
                <w:rStyle w:val="13"/>
                <w:rFonts w:hAnsi="宋体"/>
                <w:lang w:val="en-US" w:eastAsia="zh-CN" w:bidi="ar"/>
              </w:rPr>
              <w:t>区市场监管局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八、引进国内外到位资金</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9"/>
                <w:rFonts w:eastAsia="仿宋_GB2312"/>
                <w:lang w:val="en-US" w:eastAsia="zh-CN" w:bidi="ar"/>
              </w:rPr>
              <w:br w:type="textWrapping"/>
            </w:r>
            <w:r>
              <w:rPr>
                <w:rStyle w:val="13"/>
                <w:rFonts w:hAnsi="宋体"/>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实际利用外资（商务口径）</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万美元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eastAsia" w:ascii="Times New Roman" w:hAnsi="Times New Roman" w:eastAsia="宋体" w:cs="Times New Roman"/>
                <w:i w:val="0"/>
                <w:color w:val="auto"/>
                <w:kern w:val="0"/>
                <w:sz w:val="24"/>
                <w:szCs w:val="24"/>
                <w:u w:val="none"/>
                <w:lang w:val="en-US" w:eastAsia="zh-CN" w:bidi="ar"/>
              </w:rPr>
              <w:t>—</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r>
              <w:rPr>
                <w:rStyle w:val="11"/>
                <w:rFonts w:eastAsia="仿宋_GB2312"/>
                <w:lang w:val="en-US" w:eastAsia="zh-CN" w:bidi="ar"/>
              </w:rPr>
              <w:br w:type="textWrapping"/>
            </w:r>
            <w:r>
              <w:rPr>
                <w:rStyle w:val="13"/>
                <w:rFonts w:hAnsi="宋体"/>
                <w:lang w:val="en-US" w:eastAsia="zh-CN" w:bidi="ar"/>
              </w:rPr>
              <w:t>区发展改革局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九、城镇新增就业人数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0.3784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0.27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区人力资源社会保障局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城镇登记失业率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&lt;4.5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spacing w:val="-6"/>
                <w:kern w:val="0"/>
                <w:sz w:val="24"/>
                <w:szCs w:val="24"/>
                <w:u w:val="none"/>
                <w:lang w:val="en-US" w:eastAsia="zh-CN" w:bidi="ar"/>
              </w:rPr>
              <w:t>十、城镇居民人均可支配收入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35387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37864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7</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十一、农村居民人均可支配收入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15532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465"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附件2-2</w:t>
            </w:r>
          </w:p>
        </w:tc>
      </w:tr>
      <w:tr>
        <w:tblPrEx>
          <w:tblCellMar>
            <w:top w:w="0" w:type="dxa"/>
            <w:left w:w="0" w:type="dxa"/>
            <w:bottom w:w="0" w:type="dxa"/>
            <w:right w:w="0" w:type="dxa"/>
          </w:tblCellMar>
        </w:tblPrEx>
        <w:trPr>
          <w:trHeight w:val="90"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钦北区2020年主要经济指标1-4季度进度目标任务表</w:t>
            </w:r>
          </w:p>
        </w:tc>
      </w:tr>
      <w:tr>
        <w:tblPrEx>
          <w:tblCellMar>
            <w:top w:w="0" w:type="dxa"/>
            <w:left w:w="0" w:type="dxa"/>
            <w:bottom w:w="0" w:type="dxa"/>
            <w:right w:w="0" w:type="dxa"/>
          </w:tblCellMar>
        </w:tblPrEx>
        <w:trPr>
          <w:trHeight w:val="435"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shd w:val="clear"/>
                <w:lang w:val="en-US" w:eastAsia="zh-CN" w:bidi="ar"/>
              </w:rPr>
              <w:t>一、地区生产总值（亿元）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69.05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154.8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20.48</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#一般公共预算收入（亿元）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三、固定资产投资（亿元）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四、规模以上工业总产值（亿元）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53"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73" w:hRule="atLeast"/>
        </w:trPr>
        <w:tc>
          <w:tcPr>
            <w:tcW w:w="3818"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203.</w:t>
            </w:r>
            <w:r>
              <w:rPr>
                <w:rFonts w:hint="eastAsia" w:ascii="Times New Roman" w:hAnsi="Times New Roman" w:eastAsia="宋体" w:cs="Times New Roman"/>
                <w:i w:val="0"/>
                <w:color w:val="000000"/>
                <w:kern w:val="0"/>
                <w:sz w:val="24"/>
                <w:szCs w:val="24"/>
                <w:u w:val="none"/>
                <w:lang w:val="en-US" w:eastAsia="zh-CN" w:bidi="ar"/>
              </w:rPr>
              <w:t>6</w:t>
            </w:r>
          </w:p>
        </w:tc>
        <w:tc>
          <w:tcPr>
            <w:tcW w:w="1432" w:type="dxa"/>
            <w:gridSpan w:val="3"/>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73"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35"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40" w:hRule="atLeast"/>
        </w:trPr>
        <w:tc>
          <w:tcPr>
            <w:tcW w:w="381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六、社会消费品零售总额（亿元）</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28.69</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2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70"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41.41</w:t>
            </w:r>
          </w:p>
        </w:tc>
        <w:tc>
          <w:tcPr>
            <w:tcW w:w="143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73"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9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6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141.24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限上批发业销售额（亿元）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92.99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131.8</w:t>
            </w:r>
            <w:r>
              <w:rPr>
                <w:rFonts w:hint="eastAsia"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限上零售业销售额（亿元）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限上住宿业营业额（万元）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11667.9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限上餐饮业营业额（万元）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2032.2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4264.9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6889.5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8829.1</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其他营业性服务业营业收入（万元）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6081.3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115.93</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eastAsia" w:ascii="Times New Roman" w:hAnsi="Times New Roman" w:eastAsia="宋体" w:cs="Times New Roman"/>
                <w:i w:val="0"/>
                <w:color w:val="auto"/>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lang w:val="en-US"/>
              </w:rPr>
            </w:pPr>
            <w:r>
              <w:rPr>
                <w:rFonts w:hint="eastAsia" w:ascii="Times New Roman" w:hAnsi="Times New Roman" w:eastAsia="宋体" w:cs="Times New Roman"/>
                <w:i w:val="0"/>
                <w:color w:val="auto"/>
                <w:kern w:val="0"/>
                <w:sz w:val="24"/>
                <w:szCs w:val="24"/>
                <w:u w:val="none"/>
                <w:lang w:val="en-US" w:eastAsia="zh-CN" w:bidi="ar"/>
              </w:rPr>
              <w:t>55.28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28391.7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七、外贸进出口总额（万元）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6403.67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83.67</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7526.68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1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25507.04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default" w:ascii="仿宋_GB2312" w:hAnsi="仿宋_GB2312" w:eastAsia="仿宋_GB2312" w:cs="仿宋_GB2312"/>
          <w:color w:val="auto"/>
          <w:sz w:val="32"/>
          <w:szCs w:val="32"/>
          <w:lang w:val="en-US" w:eastAsia="zh-CN"/>
        </w:rPr>
      </w:pPr>
    </w:p>
    <w:tbl>
      <w:tblPr>
        <w:tblStyle w:val="5"/>
        <w:tblW w:w="9944" w:type="dxa"/>
        <w:tblInd w:w="374" w:type="dxa"/>
        <w:shd w:val="clear" w:color="auto" w:fill="auto"/>
        <w:tblLayout w:type="fixed"/>
        <w:tblCellMar>
          <w:top w:w="0" w:type="dxa"/>
          <w:left w:w="0" w:type="dxa"/>
          <w:bottom w:w="0" w:type="dxa"/>
          <w:right w:w="0" w:type="dxa"/>
        </w:tblCellMar>
      </w:tblPr>
      <w:tblGrid>
        <w:gridCol w:w="3850"/>
        <w:gridCol w:w="1373"/>
        <w:gridCol w:w="3293"/>
        <w:gridCol w:w="1428"/>
      </w:tblGrid>
      <w:tr>
        <w:tblPrEx>
          <w:shd w:val="clear" w:color="auto" w:fill="auto"/>
          <w:tblCellMar>
            <w:top w:w="0" w:type="dxa"/>
            <w:left w:w="0" w:type="dxa"/>
            <w:bottom w:w="0" w:type="dxa"/>
            <w:right w:w="0" w:type="dxa"/>
          </w:tblCellMar>
        </w:tblPrEx>
        <w:trPr>
          <w:trHeight w:val="448"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附件2-3</w:t>
            </w:r>
          </w:p>
        </w:tc>
      </w:tr>
      <w:tr>
        <w:tblPrEx>
          <w:tblCellMar>
            <w:top w:w="0" w:type="dxa"/>
            <w:left w:w="0" w:type="dxa"/>
            <w:bottom w:w="0" w:type="dxa"/>
            <w:right w:w="0" w:type="dxa"/>
          </w:tblCellMar>
        </w:tblPrEx>
        <w:trPr>
          <w:trHeight w:val="420"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Style w:val="15"/>
                <w:rFonts w:hint="eastAsia" w:ascii="方正小标宋简体" w:hAnsi="方正小标宋简体" w:eastAsia="方正小标宋简体" w:cs="方正小标宋简体"/>
                <w:sz w:val="44"/>
                <w:szCs w:val="44"/>
                <w:lang w:val="en-US" w:eastAsia="zh-CN" w:bidi="ar"/>
              </w:rPr>
              <w:t>钦北区</w:t>
            </w:r>
            <w:r>
              <w:rPr>
                <w:rStyle w:val="16"/>
                <w:rFonts w:hint="eastAsia" w:ascii="方正小标宋简体" w:hAnsi="方正小标宋简体" w:eastAsia="方正小标宋简体" w:cs="方正小标宋简体"/>
                <w:sz w:val="44"/>
                <w:szCs w:val="44"/>
                <w:lang w:val="en-US" w:eastAsia="zh-CN" w:bidi="ar"/>
              </w:rPr>
              <w:t>2020</w:t>
            </w:r>
            <w:r>
              <w:rPr>
                <w:rStyle w:val="15"/>
                <w:rFonts w:hint="eastAsia" w:ascii="方正小标宋简体" w:hAnsi="方正小标宋简体" w:eastAsia="方正小标宋简体" w:cs="方正小标宋简体"/>
                <w:sz w:val="44"/>
                <w:szCs w:val="44"/>
                <w:lang w:val="en-US" w:eastAsia="zh-CN" w:bidi="ar"/>
              </w:rPr>
              <w:t>年第一、二、三产业目标任务表</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600" w:hRule="atLeast"/>
        </w:trPr>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一、第一产业增加值</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区农业农村局，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600"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12"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二、第二产业增加值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1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区工业和信息化局、皇马工管委，各镇人民政府、各街道办事处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46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0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19"/>
                <w:rFonts w:hint="eastAsia" w:ascii="黑体" w:hAnsi="黑体" w:eastAsia="黑体" w:cs="黑体"/>
                <w:b w:val="0"/>
                <w:bCs/>
                <w:lang w:val="en-US" w:eastAsia="zh-CN" w:bidi="ar"/>
              </w:rPr>
              <w:t>三、第三产业增加值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 </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铁路客货运周转量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区交通运输局</w:t>
            </w:r>
          </w:p>
        </w:tc>
        <w:tc>
          <w:tcPr>
            <w:tcW w:w="142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黄应春</w:t>
            </w:r>
          </w:p>
        </w:tc>
      </w:tr>
      <w:tr>
        <w:tblPrEx>
          <w:tblCellMar>
            <w:top w:w="0" w:type="dxa"/>
            <w:left w:w="0" w:type="dxa"/>
            <w:bottom w:w="0" w:type="dxa"/>
            <w:right w:w="0" w:type="dxa"/>
          </w:tblCellMar>
        </w:tblPrEx>
        <w:trPr>
          <w:trHeight w:val="4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公路客货运周转量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管道运输业营业收入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4.</w:t>
            </w:r>
            <w:r>
              <w:rPr>
                <w:rFonts w:hint="eastAsia" w:ascii="仿宋_GB2312" w:hAnsi="仿宋_GB2312" w:eastAsia="仿宋_GB2312" w:cs="仿宋_GB2312"/>
                <w:i w:val="0"/>
                <w:color w:val="auto"/>
                <w:kern w:val="0"/>
                <w:sz w:val="24"/>
                <w:szCs w:val="24"/>
                <w:u w:val="none"/>
                <w:lang w:val="en-US" w:eastAsia="zh-CN" w:bidi="ar"/>
              </w:rPr>
              <w:t>限上批发业商品销售额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spacing w:val="-6"/>
                <w:kern w:val="0"/>
                <w:sz w:val="24"/>
                <w:szCs w:val="24"/>
                <w:u w:val="none"/>
                <w:lang w:val="en-US" w:eastAsia="zh-CN" w:bidi="ar"/>
              </w:rPr>
              <w:t>区发展改革局、区消防救援大队</w:t>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441"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5.</w:t>
            </w:r>
            <w:r>
              <w:rPr>
                <w:rFonts w:hint="eastAsia" w:ascii="仿宋_GB2312" w:hAnsi="仿宋_GB2312" w:eastAsia="仿宋_GB2312" w:cs="仿宋_GB2312"/>
                <w:i w:val="0"/>
                <w:color w:val="auto"/>
                <w:kern w:val="0"/>
                <w:sz w:val="24"/>
                <w:szCs w:val="24"/>
                <w:u w:val="none"/>
                <w:lang w:val="en-US" w:eastAsia="zh-CN" w:bidi="ar"/>
              </w:rPr>
              <w:t>限上零售业商品销售额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64"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6.</w:t>
            </w:r>
            <w:r>
              <w:rPr>
                <w:rFonts w:hint="eastAsia" w:ascii="仿宋_GB2312" w:hAnsi="仿宋_GB2312" w:eastAsia="仿宋_GB2312" w:cs="仿宋_GB2312"/>
                <w:i w:val="0"/>
                <w:color w:val="auto"/>
                <w:kern w:val="0"/>
                <w:sz w:val="24"/>
                <w:szCs w:val="24"/>
                <w:u w:val="none"/>
                <w:lang w:val="en-US" w:eastAsia="zh-CN" w:bidi="ar"/>
              </w:rPr>
              <w:t>限上住宿业营业额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区市场监管局、区卫监所、</w:t>
            </w:r>
            <w:r>
              <w:rPr>
                <w:rStyle w:val="18"/>
                <w:rFonts w:hint="eastAsia" w:ascii="仿宋_GB2312" w:hAnsi="仿宋_GB2312" w:eastAsia="仿宋_GB2312" w:cs="仿宋_GB2312"/>
                <w:lang w:val="en-US" w:eastAsia="zh-CN" w:bidi="ar"/>
              </w:rPr>
              <w:br w:type="textWrapping"/>
            </w:r>
            <w:r>
              <w:rPr>
                <w:rStyle w:val="18"/>
                <w:rFonts w:hint="eastAsia" w:ascii="仿宋_GB2312" w:hAnsi="仿宋_GB2312" w:eastAsia="仿宋_GB2312" w:cs="仿宋_GB2312"/>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消防救援大队</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7.</w:t>
            </w:r>
            <w:r>
              <w:rPr>
                <w:rFonts w:hint="eastAsia" w:ascii="仿宋_GB2312" w:hAnsi="仿宋_GB2312" w:eastAsia="仿宋_GB2312" w:cs="仿宋_GB2312"/>
                <w:i w:val="0"/>
                <w:color w:val="auto"/>
                <w:kern w:val="0"/>
                <w:sz w:val="24"/>
                <w:szCs w:val="24"/>
                <w:u w:val="none"/>
                <w:lang w:val="en-US" w:eastAsia="zh-CN" w:bidi="ar"/>
              </w:rPr>
              <w:t>限上餐饮业营业额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8.</w:t>
            </w:r>
            <w:r>
              <w:rPr>
                <w:rFonts w:hint="eastAsia" w:ascii="仿宋_GB2312" w:hAnsi="仿宋_GB2312" w:eastAsia="仿宋_GB2312" w:cs="仿宋_GB2312"/>
                <w:i w:val="0"/>
                <w:color w:val="000000"/>
                <w:kern w:val="0"/>
                <w:sz w:val="24"/>
                <w:szCs w:val="24"/>
                <w:u w:val="none"/>
                <w:lang w:val="en-US" w:eastAsia="zh-CN" w:bidi="ar"/>
              </w:rPr>
              <w:t>人民币贷款余额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区财政局（金融办）</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9.</w:t>
            </w:r>
            <w:r>
              <w:rPr>
                <w:rFonts w:hint="eastAsia" w:ascii="仿宋_GB2312" w:hAnsi="仿宋_GB2312" w:eastAsia="仿宋_GB2312" w:cs="仿宋_GB2312"/>
                <w:i w:val="0"/>
                <w:color w:val="000000"/>
                <w:kern w:val="0"/>
                <w:sz w:val="24"/>
                <w:szCs w:val="24"/>
                <w:u w:val="none"/>
                <w:lang w:val="en-US" w:eastAsia="zh-CN" w:bidi="ar"/>
              </w:rPr>
              <w:t>证券交易额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9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保费收入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商品房销售面积</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其他营利性服务业营业收入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75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租赁和商务服务业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区财政局、区发展改革局，长田街道办事处、子材街道办事处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9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文化、体育和娱乐业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区文化广电体育旅游局，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居民服务、修理和其他服务业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区发展改革局，子材街道办事处、长田街道办事处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信息传输、软件和信息技术服务业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7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科学研究和技术服务业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区科技局、公安钦北分局，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20"/>
                <w:rFonts w:eastAsia="仿宋_GB2312"/>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蒋基勋</w:t>
            </w:r>
          </w:p>
        </w:tc>
      </w:tr>
      <w:tr>
        <w:tblPrEx>
          <w:tblCellMar>
            <w:top w:w="0" w:type="dxa"/>
            <w:left w:w="0" w:type="dxa"/>
            <w:bottom w:w="0" w:type="dxa"/>
            <w:right w:w="0" w:type="dxa"/>
          </w:tblCellMar>
        </w:tblPrEx>
        <w:trPr>
          <w:trHeight w:val="124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0"/>
                <w:rFonts w:hint="default" w:ascii="Times New Roman" w:hAnsi="Times New Roman" w:eastAsia="仿宋_GB2312" w:cs="Times New Roman"/>
                <w:spacing w:val="-6"/>
                <w:lang w:val="en-US" w:eastAsia="zh-CN" w:bidi="ar"/>
              </w:rPr>
              <w:t>13.</w:t>
            </w:r>
            <w:r>
              <w:rPr>
                <w:rFonts w:hint="eastAsia" w:ascii="仿宋_GB2312" w:hAnsi="仿宋_GB2312" w:eastAsia="仿宋_GB2312" w:cs="仿宋_GB2312"/>
                <w:i w:val="0"/>
                <w:color w:val="000000"/>
                <w:spacing w:val="-6"/>
                <w:kern w:val="0"/>
                <w:sz w:val="24"/>
                <w:szCs w:val="24"/>
                <w:u w:val="none"/>
                <w:lang w:val="en-US" w:eastAsia="zh-CN" w:bidi="ar"/>
              </w:rPr>
              <w:t>非营利性服务业从业人员工资总额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区财政局、区教育局、区卫生健康局、区科技局、区水利局、区文化广电体育旅游局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潘有南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黄应春</w:t>
            </w:r>
          </w:p>
          <w:p>
            <w:pPr>
              <w:keepNext w:val="0"/>
              <w:keepLines w:val="0"/>
              <w:widowControl/>
              <w:suppressLineNumbers w:val="0"/>
              <w:jc w:val="center"/>
              <w:textAlignment w:val="center"/>
              <w:rPr>
                <w:rFonts w:hint="eastAsia"/>
                <w:lang w:val="en-US" w:eastAsia="zh-CN"/>
              </w:rPr>
            </w:pPr>
            <w:r>
              <w:rPr>
                <w:rFonts w:hint="eastAsia" w:ascii="仿宋_GB2312" w:hAnsi="宋体" w:eastAsia="仿宋_GB2312" w:cs="仿宋_GB2312"/>
                <w:i w:val="0"/>
                <w:color w:val="000000"/>
                <w:kern w:val="0"/>
                <w:sz w:val="24"/>
                <w:szCs w:val="24"/>
                <w:u w:val="none"/>
                <w:lang w:val="en-US" w:eastAsia="zh-CN" w:bidi="ar"/>
              </w:rPr>
              <w:t>黄荡开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tbl>
      <w:tblPr>
        <w:tblStyle w:val="5"/>
        <w:tblW w:w="9846" w:type="dxa"/>
        <w:tblInd w:w="522" w:type="dxa"/>
        <w:shd w:val="clear" w:color="auto" w:fill="auto"/>
        <w:tblLayout w:type="fixed"/>
        <w:tblCellMar>
          <w:top w:w="0" w:type="dxa"/>
          <w:left w:w="0" w:type="dxa"/>
          <w:bottom w:w="0" w:type="dxa"/>
          <w:right w:w="0" w:type="dxa"/>
        </w:tblCellMar>
      </w:tblPr>
      <w:tblGrid>
        <w:gridCol w:w="2441"/>
        <w:gridCol w:w="436"/>
        <w:gridCol w:w="846"/>
        <w:gridCol w:w="1377"/>
        <w:gridCol w:w="2168"/>
        <w:gridCol w:w="1991"/>
        <w:gridCol w:w="587"/>
      </w:tblGrid>
      <w:tr>
        <w:tblPrEx>
          <w:shd w:val="clear" w:color="auto" w:fill="auto"/>
          <w:tblCellMar>
            <w:top w:w="0" w:type="dxa"/>
            <w:left w:w="0" w:type="dxa"/>
            <w:bottom w:w="0" w:type="dxa"/>
            <w:right w:w="0" w:type="dxa"/>
          </w:tblCellMar>
        </w:tblPrEx>
        <w:trPr>
          <w:trHeight w:val="557"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附件2-4</w:t>
            </w:r>
          </w:p>
        </w:tc>
      </w:tr>
      <w:tr>
        <w:tblPrEx>
          <w:tblCellMar>
            <w:top w:w="0" w:type="dxa"/>
            <w:left w:w="0" w:type="dxa"/>
            <w:bottom w:w="0" w:type="dxa"/>
            <w:right w:w="0" w:type="dxa"/>
          </w:tblCellMar>
        </w:tblPrEx>
        <w:trPr>
          <w:trHeight w:val="503"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Style w:val="21"/>
                <w:rFonts w:hint="eastAsia" w:ascii="方正小标宋简体" w:hAnsi="方正小标宋简体" w:eastAsia="方正小标宋简体" w:cs="方正小标宋简体"/>
                <w:sz w:val="44"/>
                <w:szCs w:val="44"/>
                <w:lang w:val="en-US" w:eastAsia="zh-CN" w:bidi="ar"/>
              </w:rPr>
              <w:t>钦北区</w:t>
            </w:r>
            <w:r>
              <w:rPr>
                <w:rFonts w:hint="eastAsia" w:ascii="方正小标宋简体" w:hAnsi="方正小标宋简体" w:eastAsia="方正小标宋简体" w:cs="方正小标宋简体"/>
                <w:i w:val="0"/>
                <w:color w:val="000000"/>
                <w:kern w:val="0"/>
                <w:sz w:val="44"/>
                <w:szCs w:val="44"/>
                <w:u w:val="none"/>
                <w:lang w:val="en-US" w:eastAsia="zh-CN" w:bidi="ar"/>
              </w:rPr>
              <w:t>2020</w:t>
            </w:r>
            <w:r>
              <w:rPr>
                <w:rStyle w:val="21"/>
                <w:rFonts w:hint="eastAsia" w:ascii="方正小标宋简体" w:hAnsi="方正小标宋简体" w:eastAsia="方正小标宋简体" w:cs="方正小标宋简体"/>
                <w:sz w:val="44"/>
                <w:szCs w:val="44"/>
                <w:lang w:val="en-US" w:eastAsia="zh-CN" w:bidi="ar"/>
              </w:rPr>
              <w:t>年固定资产投资目标任务表</w:t>
            </w:r>
          </w:p>
        </w:tc>
      </w:tr>
      <w:tr>
        <w:tblPrEx>
          <w:tblCellMar>
            <w:top w:w="0" w:type="dxa"/>
            <w:left w:w="0" w:type="dxa"/>
            <w:bottom w:w="0" w:type="dxa"/>
            <w:right w:w="0" w:type="dxa"/>
          </w:tblCellMar>
        </w:tblPrEx>
        <w:trPr>
          <w:trHeight w:val="38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1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2019年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增速%</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2020年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目标增速%</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所属辖区</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责任单位</w:t>
            </w:r>
          </w:p>
        </w:tc>
      </w:tr>
      <w:tr>
        <w:tblPrEx>
          <w:tblCellMar>
            <w:top w:w="0" w:type="dxa"/>
            <w:left w:w="0" w:type="dxa"/>
            <w:bottom w:w="0" w:type="dxa"/>
            <w:right w:w="0" w:type="dxa"/>
          </w:tblCellMar>
        </w:tblPrEx>
        <w:trPr>
          <w:trHeight w:val="34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固定资产投资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一、工业投资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大寺镇、大垌镇、那蒙镇、青塘镇人民政府，长田街道办事处</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技改投资（全口径）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二、交通投资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295"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区交通运输局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小董镇、大寺镇、板城镇、大垌镇、那蒙镇、青塘镇、新棠镇、长滩镇人民政府，长田街道办事处</w:t>
            </w:r>
          </w:p>
        </w:tc>
      </w:tr>
      <w:tr>
        <w:tblPrEx>
          <w:tblCellMar>
            <w:top w:w="0" w:type="dxa"/>
            <w:left w:w="0" w:type="dxa"/>
            <w:bottom w:w="0" w:type="dxa"/>
            <w:right w:w="0" w:type="dxa"/>
          </w:tblCellMar>
        </w:tblPrEx>
        <w:trPr>
          <w:trHeight w:val="1224"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三、基础设施（主要包括市政道路、污水及垃圾处理、供水、公园、绿化亮化等项目）</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p>
        </w:tc>
      </w:tr>
      <w:tr>
        <w:tblPrEx>
          <w:tblCellMar>
            <w:top w:w="0" w:type="dxa"/>
            <w:left w:w="0" w:type="dxa"/>
            <w:bottom w:w="0" w:type="dxa"/>
            <w:right w:w="0" w:type="dxa"/>
          </w:tblCellMar>
        </w:tblPrEx>
        <w:trPr>
          <w:trHeight w:val="9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四、房地产投资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大寺镇人民政府、</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长田街道办事处、</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子材街道办事处</w:t>
            </w:r>
          </w:p>
        </w:tc>
      </w:tr>
      <w:tr>
        <w:tblPrEx>
          <w:tblCellMar>
            <w:top w:w="0" w:type="dxa"/>
            <w:left w:w="0" w:type="dxa"/>
            <w:bottom w:w="0" w:type="dxa"/>
            <w:right w:w="0" w:type="dxa"/>
          </w:tblCellMar>
        </w:tblPrEx>
        <w:trPr>
          <w:trHeight w:val="48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五、商贸投资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六、社会事业投资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（一）教育</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区教育局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（二）卫生</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区卫生健康局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（三）文化</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区文化广电体育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（四）党政机关团体投资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七、农林牧渔业投资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（一）农业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（二）林业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（三）畜牧业+渔业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八、水利投资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区水利局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小董镇、大寺镇、大直镇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人民政府</w:t>
            </w:r>
          </w:p>
        </w:tc>
      </w:tr>
      <w:tr>
        <w:tblPrEx>
          <w:tblCellMar>
            <w:top w:w="0" w:type="dxa"/>
            <w:left w:w="0" w:type="dxa"/>
            <w:bottom w:w="0" w:type="dxa"/>
            <w:right w:w="0" w:type="dxa"/>
          </w:tblCellMar>
        </w:tblPrEx>
        <w:trPr>
          <w:trHeight w:val="1313"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九、其他投资（包括建筑业、邮政业、金融业、生态保护和环境治理业、社会工作等）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gridAfter w:val="1"/>
          <w:wAfter w:w="587" w:type="dxa"/>
          <w:trHeight w:val="90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2-5</w:t>
            </w:r>
          </w:p>
        </w:tc>
      </w:tr>
      <w:tr>
        <w:tblPrEx>
          <w:tblCellMar>
            <w:top w:w="0" w:type="dxa"/>
            <w:left w:w="0" w:type="dxa"/>
            <w:bottom w:w="0" w:type="dxa"/>
            <w:right w:w="0" w:type="dxa"/>
          </w:tblCellMar>
        </w:tblPrEx>
        <w:trPr>
          <w:gridAfter w:val="1"/>
          <w:wAfter w:w="587" w:type="dxa"/>
          <w:trHeight w:val="63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44"/>
                <w:szCs w:val="44"/>
                <w:u w:val="none"/>
                <w:lang w:val="en-US" w:eastAsia="zh-CN" w:bidi="ar"/>
              </w:rPr>
              <w:t>钦北区2020年各镇（街道）税收收入目标任务表</w:t>
            </w:r>
          </w:p>
        </w:tc>
      </w:tr>
      <w:tr>
        <w:tblPrEx>
          <w:tblCellMar>
            <w:top w:w="0" w:type="dxa"/>
            <w:left w:w="0" w:type="dxa"/>
            <w:bottom w:w="0" w:type="dxa"/>
            <w:right w:w="0" w:type="dxa"/>
          </w:tblCellMar>
        </w:tblPrEx>
        <w:trPr>
          <w:gridAfter w:val="1"/>
          <w:wAfter w:w="587" w:type="dxa"/>
          <w:trHeight w:val="54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单位：万元</w:t>
            </w:r>
          </w:p>
        </w:tc>
      </w:tr>
      <w:tr>
        <w:tblPrEx>
          <w:tblCellMar>
            <w:top w:w="0" w:type="dxa"/>
            <w:left w:w="0" w:type="dxa"/>
            <w:bottom w:w="0" w:type="dxa"/>
            <w:right w:w="0" w:type="dxa"/>
          </w:tblCellMar>
        </w:tblPrEx>
        <w:trPr>
          <w:gridAfter w:val="1"/>
          <w:wAfter w:w="587" w:type="dxa"/>
          <w:trHeight w:val="630" w:hRule="atLeast"/>
        </w:trPr>
        <w:tc>
          <w:tcPr>
            <w:tcW w:w="2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6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税收</w:t>
            </w:r>
          </w:p>
        </w:tc>
      </w:tr>
      <w:tr>
        <w:tblPrEx>
          <w:tblCellMar>
            <w:top w:w="0" w:type="dxa"/>
            <w:left w:w="0" w:type="dxa"/>
            <w:bottom w:w="0" w:type="dxa"/>
            <w:right w:w="0" w:type="dxa"/>
          </w:tblCellMar>
        </w:tblPrEx>
        <w:trPr>
          <w:gridAfter w:val="1"/>
          <w:wAfter w:w="587" w:type="dxa"/>
          <w:trHeight w:val="240" w:hRule="atLeast"/>
        </w:trPr>
        <w:tc>
          <w:tcPr>
            <w:tcW w:w="2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6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2549</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74000</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23" w:type="dxa"/>
        <w:tblInd w:w="851" w:type="dxa"/>
        <w:shd w:val="clear" w:color="auto" w:fill="auto"/>
        <w:tblLayout w:type="fixed"/>
        <w:tblCellMar>
          <w:top w:w="0" w:type="dxa"/>
          <w:left w:w="0" w:type="dxa"/>
          <w:bottom w:w="0" w:type="dxa"/>
          <w:right w:w="0" w:type="dxa"/>
        </w:tblCellMar>
      </w:tblPr>
      <w:tblGrid>
        <w:gridCol w:w="2441"/>
        <w:gridCol w:w="1514"/>
        <w:gridCol w:w="2550"/>
        <w:gridCol w:w="2618"/>
      </w:tblGrid>
      <w:tr>
        <w:tblPrEx>
          <w:shd w:val="clear" w:color="auto" w:fill="auto"/>
          <w:tblCellMar>
            <w:top w:w="0" w:type="dxa"/>
            <w:left w:w="0" w:type="dxa"/>
            <w:bottom w:w="0" w:type="dxa"/>
            <w:right w:w="0" w:type="dxa"/>
          </w:tblCellMar>
        </w:tblPrEx>
        <w:trPr>
          <w:trHeight w:val="57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2-6</w:t>
            </w:r>
          </w:p>
        </w:tc>
      </w:tr>
      <w:tr>
        <w:tblPrEx>
          <w:tblCellMar>
            <w:top w:w="0" w:type="dxa"/>
            <w:left w:w="0" w:type="dxa"/>
            <w:bottom w:w="0" w:type="dxa"/>
            <w:right w:w="0" w:type="dxa"/>
          </w:tblCellMar>
        </w:tblPrEx>
        <w:trPr>
          <w:trHeight w:val="5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钦北区2020年各镇规模以上工业企业目标任务表</w:t>
            </w:r>
          </w:p>
        </w:tc>
      </w:tr>
      <w:tr>
        <w:tblPrEx>
          <w:tblCellMar>
            <w:top w:w="0" w:type="dxa"/>
            <w:left w:w="0" w:type="dxa"/>
            <w:bottom w:w="0" w:type="dxa"/>
            <w:right w:w="0" w:type="dxa"/>
          </w:tblCellMar>
        </w:tblPrEx>
        <w:trPr>
          <w:trHeight w:val="4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60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Style w:val="23"/>
                <w:rFonts w:eastAsia="黑体"/>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年规上产值</w:t>
            </w:r>
          </w:p>
        </w:tc>
        <w:tc>
          <w:tcPr>
            <w:tcW w:w="26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年新增规上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企业（个）</w:t>
            </w:r>
          </w:p>
        </w:tc>
      </w:tr>
      <w:tr>
        <w:tblPrEx>
          <w:tblCellMar>
            <w:top w:w="0" w:type="dxa"/>
            <w:left w:w="0" w:type="dxa"/>
            <w:bottom w:w="0" w:type="dxa"/>
            <w:right w:w="0" w:type="dxa"/>
          </w:tblCellMar>
        </w:tblPrEx>
        <w:trPr>
          <w:trHeight w:val="72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预期目标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23"/>
                <w:rFonts w:eastAsia="黑体"/>
                <w:lang w:val="en-US" w:eastAsia="zh-CN" w:bidi="ar"/>
              </w:rPr>
              <w:t>%</w:t>
            </w:r>
          </w:p>
        </w:tc>
        <w:tc>
          <w:tcPr>
            <w:tcW w:w="26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kern w:val="0"/>
                <w:sz w:val="24"/>
                <w:szCs w:val="24"/>
                <w:u w:val="none"/>
                <w:lang w:val="en-US" w:eastAsia="zh-CN" w:bidi="ar"/>
              </w:rPr>
              <w:t>长田街道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53.99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-12.55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-50.09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47.56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42.45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46.14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273" w:type="dxa"/>
        <w:tblInd w:w="647" w:type="dxa"/>
        <w:shd w:val="clear" w:color="auto" w:fill="auto"/>
        <w:tblLayout w:type="fixed"/>
        <w:tblCellMar>
          <w:top w:w="0" w:type="dxa"/>
          <w:left w:w="0" w:type="dxa"/>
          <w:bottom w:w="0" w:type="dxa"/>
          <w:right w:w="0" w:type="dxa"/>
        </w:tblCellMar>
      </w:tblPr>
      <w:tblGrid>
        <w:gridCol w:w="2203"/>
        <w:gridCol w:w="2079"/>
        <w:gridCol w:w="1254"/>
        <w:gridCol w:w="2127"/>
        <w:gridCol w:w="1610"/>
      </w:tblGrid>
      <w:tr>
        <w:tblPrEx>
          <w:shd w:val="clear" w:color="auto" w:fill="auto"/>
          <w:tblCellMar>
            <w:top w:w="0" w:type="dxa"/>
            <w:left w:w="0" w:type="dxa"/>
            <w:bottom w:w="0" w:type="dxa"/>
            <w:right w:w="0" w:type="dxa"/>
          </w:tblCellMar>
        </w:tblPrEx>
        <w:trPr>
          <w:trHeight w:val="503"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附件2-7</w:t>
            </w:r>
          </w:p>
        </w:tc>
      </w:tr>
      <w:tr>
        <w:tblPrEx>
          <w:tblCellMar>
            <w:top w:w="0" w:type="dxa"/>
            <w:left w:w="0" w:type="dxa"/>
            <w:bottom w:w="0" w:type="dxa"/>
            <w:right w:w="0" w:type="dxa"/>
          </w:tblCellMar>
        </w:tblPrEx>
        <w:trPr>
          <w:trHeight w:val="904"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钦北区2020年各镇（街道）外贸进出口</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总额目标任务表</w:t>
            </w:r>
          </w:p>
        </w:tc>
      </w:tr>
      <w:tr>
        <w:tblPrEx>
          <w:tblCellMar>
            <w:top w:w="0" w:type="dxa"/>
            <w:left w:w="0" w:type="dxa"/>
            <w:bottom w:w="0" w:type="dxa"/>
            <w:right w:w="0" w:type="dxa"/>
          </w:tblCellMar>
        </w:tblPrEx>
        <w:trPr>
          <w:trHeight w:val="489"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139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Style w:val="24"/>
                <w:lang w:val="en-US" w:eastAsia="zh-CN" w:bidi="ar"/>
              </w:rPr>
              <w:t>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24"/>
                <w:lang w:val="en-US" w:eastAsia="zh-CN" w:bidi="ar"/>
              </w:rPr>
              <w:t>年实际数</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32986</w:t>
            </w:r>
            <w:r>
              <w:rPr>
                <w:rFonts w:hint="eastAsia" w:ascii="黑体" w:hAnsi="宋体" w:eastAsia="黑体" w:cs="黑体"/>
                <w:i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24"/>
                <w:lang w:val="en-US" w:eastAsia="zh-CN" w:bidi="ar"/>
              </w:rPr>
              <w:t>年</w:t>
            </w:r>
            <w:r>
              <w:rPr>
                <w:rStyle w:val="24"/>
                <w:rFonts w:hint="eastAsia"/>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Times New Roman" w:hAnsi="Times New Roman" w:eastAsia="宋体" w:cs="Times New Roman"/>
                <w:i w:val="0"/>
                <w:color w:val="000000"/>
                <w:kern w:val="0"/>
                <w:sz w:val="24"/>
                <w:szCs w:val="24"/>
                <w:u w:val="none"/>
                <w:lang w:val="en-US" w:eastAsia="zh-CN" w:bidi="ar"/>
              </w:rPr>
              <w:t>（33645.72）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904.74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2511.24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那蒙镇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743.58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5090.82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4827.66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19569.72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2-8</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年招商引资目标</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702" w:tblpY="421"/>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224"/>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58" w:type="dxa"/>
            <w:vMerge w:val="restart"/>
            <w:noWrap w:val="0"/>
            <w:vAlign w:val="center"/>
          </w:tcPr>
          <w:p>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序号</w:t>
            </w:r>
          </w:p>
        </w:tc>
        <w:tc>
          <w:tcPr>
            <w:tcW w:w="2224" w:type="dxa"/>
            <w:vMerge w:val="restart"/>
            <w:noWrap w:val="0"/>
            <w:vAlign w:val="center"/>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镇（街道）</w:t>
            </w:r>
          </w:p>
        </w:tc>
        <w:tc>
          <w:tcPr>
            <w:tcW w:w="5256" w:type="dxa"/>
            <w:noWrap w:val="0"/>
            <w:vAlign w:val="top"/>
          </w:tcPr>
          <w:p>
            <w:pPr>
              <w:spacing w:line="56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8"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2224"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5256" w:type="dxa"/>
            <w:noWrap w:val="0"/>
            <w:vAlign w:val="top"/>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招商引资实际到位资金（</w:t>
            </w:r>
            <w:r>
              <w:rPr>
                <w:rFonts w:hint="default" w:ascii="Times New Roman" w:hAnsi="Times New Roman" w:eastAsia="黑体" w:cs="Times New Roman"/>
                <w:bCs/>
                <w:sz w:val="24"/>
                <w:szCs w:val="24"/>
                <w:lang w:val="en-US" w:eastAsia="zh-CN"/>
              </w:rPr>
              <w:t>亿</w:t>
            </w:r>
            <w:r>
              <w:rPr>
                <w:rFonts w:hint="default" w:ascii="Times New Roman" w:hAnsi="Times New Roman" w:eastAsia="黑体" w:cs="Times New Roman"/>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58" w:type="dxa"/>
            <w:noWrap w:val="0"/>
            <w:vAlign w:val="center"/>
          </w:tcPr>
          <w:p>
            <w:pPr>
              <w:jc w:val="center"/>
              <w:rPr>
                <w:rFonts w:hint="default" w:ascii="Times New Roman" w:hAnsi="Times New Roman" w:eastAsia="方正小标宋简体" w:cs="Times New Roman"/>
                <w:sz w:val="28"/>
                <w:szCs w:val="28"/>
              </w:rPr>
            </w:pP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5256" w:type="dxa"/>
            <w:noWrap w:val="0"/>
            <w:vAlign w:val="center"/>
          </w:tcPr>
          <w:p>
            <w:pPr>
              <w:widowControl/>
              <w:jc w:val="center"/>
              <w:textAlignment w:val="center"/>
              <w:rPr>
                <w:rFonts w:hint="default" w:ascii="Times New Roman" w:hAnsi="Times New Roman" w:eastAsia="方正小标宋简体" w:cs="Times New Roman"/>
                <w:sz w:val="24"/>
                <w:szCs w:val="24"/>
                <w:lang w:val="en-US" w:eastAsia="zh-CN"/>
              </w:rPr>
            </w:pPr>
            <w:r>
              <w:rPr>
                <w:rFonts w:hint="default" w:ascii="Times New Roman" w:hAnsi="Times New Roman" w:eastAsia="宋体" w:cs="Times New Roman"/>
                <w:b w:val="0"/>
                <w:bCs w:val="0"/>
                <w:i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小董镇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板城镇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平吉镇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大直镇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5</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大寺镇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6</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长滩镇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7</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那蒙镇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8</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青塘镇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9</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新棠镇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10</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大垌镇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贵台镇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长田街道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子材街道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鸿亭街道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8.5</w:t>
            </w:r>
          </w:p>
        </w:tc>
      </w:tr>
    </w:tbl>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注：统计范围为1.广西壮族自治区行政区外大陆境内的企业，投资合同在500万元</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以上并符合法规的投资项目。2.本年新签约及历年签约但报告期仍在实施的项目。</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3.全口径利用外资项目的到位资金。</w:t>
      </w:r>
    </w:p>
    <w:p>
      <w:pPr>
        <w:pStyle w:val="2"/>
        <w:rPr>
          <w:rFonts w:hint="eastAsia"/>
        </w:rPr>
      </w:pPr>
    </w:p>
    <w:p>
      <w:pPr>
        <w:pStyle w:val="2"/>
        <w:ind w:left="0" w:leftChars="0" w:firstLine="0" w:firstLineChars="0"/>
        <w:rPr>
          <w:rFonts w:hint="eastAsia"/>
        </w:rPr>
      </w:pPr>
    </w:p>
    <w:tbl>
      <w:tblPr>
        <w:tblStyle w:val="5"/>
        <w:tblW w:w="9682" w:type="dxa"/>
        <w:tblInd w:w="538" w:type="dxa"/>
        <w:shd w:val="clear" w:color="auto" w:fill="auto"/>
        <w:tblLayout w:type="fixed"/>
        <w:tblCellMar>
          <w:top w:w="0" w:type="dxa"/>
          <w:left w:w="0" w:type="dxa"/>
          <w:bottom w:w="0" w:type="dxa"/>
          <w:right w:w="0" w:type="dxa"/>
        </w:tblCellMar>
      </w:tblPr>
      <w:tblGrid>
        <w:gridCol w:w="3077"/>
        <w:gridCol w:w="6605"/>
      </w:tblGrid>
      <w:tr>
        <w:tblPrEx>
          <w:shd w:val="clear" w:color="auto" w:fill="auto"/>
          <w:tblCellMar>
            <w:top w:w="0" w:type="dxa"/>
            <w:left w:w="0" w:type="dxa"/>
            <w:bottom w:w="0" w:type="dxa"/>
            <w:right w:w="0" w:type="dxa"/>
          </w:tblCellMar>
        </w:tblPrEx>
        <w:trPr>
          <w:trHeight w:val="64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附件2-9</w:t>
            </w:r>
          </w:p>
        </w:tc>
      </w:tr>
      <w:tr>
        <w:tblPrEx>
          <w:tblCellMar>
            <w:top w:w="0" w:type="dxa"/>
            <w:left w:w="0" w:type="dxa"/>
            <w:bottom w:w="0" w:type="dxa"/>
            <w:right w:w="0" w:type="dxa"/>
          </w:tblCellMar>
        </w:tblPrEx>
        <w:trPr>
          <w:trHeight w:val="1260"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钦北区2020年限上批发业商品销售额目标任务表</w:t>
            </w:r>
          </w:p>
        </w:tc>
      </w:tr>
      <w:tr>
        <w:tblPrEx>
          <w:tblCellMar>
            <w:top w:w="0" w:type="dxa"/>
            <w:left w:w="0" w:type="dxa"/>
            <w:bottom w:w="0" w:type="dxa"/>
            <w:right w:w="0" w:type="dxa"/>
          </w:tblCellMar>
        </w:tblPrEx>
        <w:trPr>
          <w:trHeight w:val="40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单位：亿元</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年总量目标</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19.92</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69</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42.98</w:t>
            </w:r>
          </w:p>
        </w:tc>
      </w:tr>
      <w:tr>
        <w:tblPrEx>
          <w:tblCellMar>
            <w:top w:w="0" w:type="dxa"/>
            <w:left w:w="0" w:type="dxa"/>
            <w:bottom w:w="0" w:type="dxa"/>
            <w:right w:w="0"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131.90 </w:t>
            </w:r>
          </w:p>
        </w:tc>
      </w:tr>
    </w:tbl>
    <w:p>
      <w:pPr>
        <w:pStyle w:val="2"/>
        <w:rPr>
          <w:rFonts w:hint="eastAsia"/>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00" w:type="dxa"/>
        <w:tblInd w:w="620" w:type="dxa"/>
        <w:shd w:val="clear" w:color="auto" w:fill="auto"/>
        <w:tblLayout w:type="fixed"/>
        <w:tblCellMar>
          <w:top w:w="0" w:type="dxa"/>
          <w:left w:w="0" w:type="dxa"/>
          <w:bottom w:w="0" w:type="dxa"/>
          <w:right w:w="0" w:type="dxa"/>
        </w:tblCellMar>
      </w:tblPr>
      <w:tblGrid>
        <w:gridCol w:w="2965"/>
        <w:gridCol w:w="6135"/>
      </w:tblGrid>
      <w:tr>
        <w:trPr>
          <w:trHeight w:val="600"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附件2-10</w:t>
            </w:r>
          </w:p>
        </w:tc>
      </w:tr>
      <w:tr>
        <w:tblPrEx>
          <w:tblCellMar>
            <w:top w:w="0" w:type="dxa"/>
            <w:left w:w="0" w:type="dxa"/>
            <w:bottom w:w="0" w:type="dxa"/>
            <w:right w:w="0" w:type="dxa"/>
          </w:tblCellMar>
        </w:tblPrEx>
        <w:trPr>
          <w:trHeight w:val="94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pacing w:val="-11"/>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钦北区2020年限上零售业商品销售额目标任务表</w:t>
            </w:r>
          </w:p>
        </w:tc>
      </w:tr>
      <w:tr>
        <w:tblPrEx>
          <w:tblCellMar>
            <w:top w:w="0" w:type="dxa"/>
            <w:left w:w="0" w:type="dxa"/>
            <w:bottom w:w="0" w:type="dxa"/>
            <w:right w:w="0" w:type="dxa"/>
          </w:tblCellMar>
        </w:tblPrEx>
        <w:trPr>
          <w:trHeight w:val="37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8"/>
                <w:szCs w:val="28"/>
                <w:u w:val="none"/>
              </w:rPr>
            </w:pPr>
            <w:r>
              <w:rPr>
                <w:rFonts w:ascii="仿宋_GB2312" w:hAnsi="Times New Roman" w:eastAsia="仿宋_GB2312" w:cs="仿宋_GB2312"/>
                <w:i w:val="0"/>
                <w:color w:val="000000"/>
                <w:kern w:val="0"/>
                <w:sz w:val="28"/>
                <w:szCs w:val="28"/>
                <w:u w:val="none"/>
                <w:lang w:val="en-US" w:eastAsia="zh-CN" w:bidi="ar"/>
              </w:rPr>
              <w:t>单位：万元</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28"/>
                <w:szCs w:val="28"/>
                <w:u w:val="none"/>
                <w:lang w:val="en-US" w:eastAsia="zh-CN" w:bidi="ar"/>
              </w:rPr>
              <w:t>镇</w:t>
            </w:r>
            <w:r>
              <w:rPr>
                <w:rFonts w:hint="default" w:ascii="Times New Roman" w:hAnsi="Times New Roman" w:eastAsia="宋体" w:cs="Times New Roman"/>
                <w:i w:val="0"/>
                <w:color w:val="000000"/>
                <w:kern w:val="0"/>
                <w:sz w:val="28"/>
                <w:szCs w:val="28"/>
                <w:u w:val="none"/>
                <w:lang w:val="en-US" w:eastAsia="zh-CN" w:bidi="ar"/>
              </w:rPr>
              <w:t>/</w:t>
            </w:r>
            <w:r>
              <w:rPr>
                <w:rFonts w:hint="eastAsia" w:ascii="黑体" w:hAnsi="宋体" w:eastAsia="黑体" w:cs="黑体"/>
                <w:i w:val="0"/>
                <w:color w:val="000000"/>
                <w:kern w:val="0"/>
                <w:sz w:val="28"/>
                <w:szCs w:val="28"/>
                <w:u w:val="none"/>
                <w:lang w:val="en-US" w:eastAsia="zh-CN" w:bidi="ar"/>
              </w:rPr>
              <w:t>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w:t>
            </w:r>
            <w:r>
              <w:rPr>
                <w:rFonts w:hint="eastAsia" w:ascii="黑体" w:hAnsi="宋体" w:eastAsia="黑体" w:cs="黑体"/>
                <w:i w:val="0"/>
                <w:color w:val="000000"/>
                <w:kern w:val="0"/>
                <w:sz w:val="28"/>
                <w:szCs w:val="28"/>
                <w:u w:val="none"/>
                <w:lang w:val="en-US" w:eastAsia="zh-CN" w:bidi="ar"/>
              </w:rPr>
              <w:t>年总量目标</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小董镇</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2335</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3226</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81446</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10119</w:t>
            </w:r>
          </w:p>
        </w:tc>
      </w:tr>
      <w:tr>
        <w:tblPrEx>
          <w:tblCellMar>
            <w:top w:w="0" w:type="dxa"/>
            <w:left w:w="0" w:type="dxa"/>
            <w:bottom w:w="0" w:type="dxa"/>
            <w:right w:w="0" w:type="dxa"/>
          </w:tblCellMar>
        </w:tblPrEx>
        <w:trPr>
          <w:trHeight w:val="870"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97126</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969" w:type="dxa"/>
        <w:tblInd w:w="210" w:type="dxa"/>
        <w:shd w:val="clear" w:color="auto" w:fill="auto"/>
        <w:tblLayout w:type="fixed"/>
        <w:tblCellMar>
          <w:top w:w="0" w:type="dxa"/>
          <w:left w:w="0" w:type="dxa"/>
          <w:bottom w:w="0" w:type="dxa"/>
          <w:right w:w="0" w:type="dxa"/>
        </w:tblCellMar>
      </w:tblPr>
      <w:tblGrid>
        <w:gridCol w:w="860"/>
        <w:gridCol w:w="627"/>
        <w:gridCol w:w="954"/>
        <w:gridCol w:w="2850"/>
        <w:gridCol w:w="2523"/>
        <w:gridCol w:w="2155"/>
      </w:tblGrid>
      <w:tr>
        <w:tblPrEx>
          <w:shd w:val="clear" w:color="auto" w:fill="auto"/>
          <w:tblCellMar>
            <w:top w:w="0" w:type="dxa"/>
            <w:left w:w="0" w:type="dxa"/>
            <w:bottom w:w="0" w:type="dxa"/>
            <w:right w:w="0" w:type="dxa"/>
          </w:tblCellMar>
        </w:tblPrEx>
        <w:trPr>
          <w:trHeight w:val="630" w:hRule="atLeast"/>
        </w:trPr>
        <w:tc>
          <w:tcPr>
            <w:tcW w:w="996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附件2-11</w:t>
            </w:r>
          </w:p>
        </w:tc>
      </w:tr>
      <w:tr>
        <w:tblPrEx>
          <w:tblCellMar>
            <w:top w:w="0" w:type="dxa"/>
            <w:left w:w="0" w:type="dxa"/>
            <w:bottom w:w="0" w:type="dxa"/>
            <w:right w:w="0" w:type="dxa"/>
          </w:tblCellMar>
        </w:tblPrEx>
        <w:trPr>
          <w:trHeight w:val="1100" w:hRule="atLeast"/>
        </w:trPr>
        <w:tc>
          <w:tcPr>
            <w:tcW w:w="996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钦北区2020年其他营利性服务业营业收入目标任务表</w:t>
            </w:r>
          </w:p>
        </w:tc>
      </w:tr>
      <w:tr>
        <w:tblPrEx>
          <w:tblCellMar>
            <w:top w:w="0" w:type="dxa"/>
            <w:left w:w="0" w:type="dxa"/>
            <w:bottom w:w="0" w:type="dxa"/>
            <w:right w:w="0" w:type="dxa"/>
          </w:tblCellMar>
        </w:tblPrEx>
        <w:trPr>
          <w:trHeight w:val="983"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Arial"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其他营业性服务业营业收入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累计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增长%</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行业大类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主管部门</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镇（街道）</w:t>
            </w:r>
          </w:p>
        </w:tc>
      </w:tr>
      <w:tr>
        <w:tblPrEx>
          <w:tblCellMar>
            <w:top w:w="0" w:type="dxa"/>
            <w:left w:w="0" w:type="dxa"/>
            <w:bottom w:w="0" w:type="dxa"/>
            <w:right w:w="0" w:type="dxa"/>
          </w:tblCellMar>
        </w:tblPrEx>
        <w:trPr>
          <w:trHeight w:val="8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rPr>
            </w:pPr>
            <w:r>
              <w:rPr>
                <w:rFonts w:hint="default" w:ascii="Times New Roman" w:hAnsi="Times New Roman" w:cs="Times New Roman"/>
                <w:sz w:val="28"/>
                <w:szCs w:val="28"/>
                <w:lang w:val="en-US" w:eastAsia="zh-CN"/>
              </w:rPr>
              <w:t>30</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租赁和商务服务业</w:t>
            </w:r>
          </w:p>
        </w:tc>
        <w:tc>
          <w:tcPr>
            <w:tcW w:w="2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区财政局</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长田街道</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6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文化、体育和娱乐业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区文化广电体育旅游局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子材街道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居民服务、</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修理和其他服务业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80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146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信息传输、</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软件和信息技术服务业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1596"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科学研究和技术服务业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公安钦北分局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0364" w:type="dxa"/>
        <w:tblInd w:w="197" w:type="dxa"/>
        <w:shd w:val="clear" w:color="auto" w:fill="auto"/>
        <w:tblLayout w:type="fixed"/>
        <w:tblCellMar>
          <w:top w:w="0" w:type="dxa"/>
          <w:left w:w="0" w:type="dxa"/>
          <w:bottom w:w="0" w:type="dxa"/>
          <w:right w:w="0" w:type="dxa"/>
        </w:tblCellMar>
      </w:tblPr>
      <w:tblGrid>
        <w:gridCol w:w="1459"/>
        <w:gridCol w:w="1091"/>
        <w:gridCol w:w="1650"/>
        <w:gridCol w:w="1582"/>
        <w:gridCol w:w="1691"/>
        <w:gridCol w:w="1418"/>
        <w:gridCol w:w="1473"/>
      </w:tblGrid>
      <w:tr>
        <w:tblPrEx>
          <w:shd w:val="clear" w:color="auto" w:fill="auto"/>
          <w:tblCellMar>
            <w:top w:w="0" w:type="dxa"/>
            <w:left w:w="0" w:type="dxa"/>
            <w:bottom w:w="0" w:type="dxa"/>
            <w:right w:w="0" w:type="dxa"/>
          </w:tblCellMar>
        </w:tblPrEx>
        <w:trPr>
          <w:trHeight w:val="516" w:hRule="atLeast"/>
        </w:trPr>
        <w:tc>
          <w:tcPr>
            <w:tcW w:w="10364"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附件2-12</w:t>
            </w:r>
          </w:p>
        </w:tc>
      </w:tr>
      <w:tr>
        <w:tblPrEx>
          <w:tblCellMar>
            <w:top w:w="0" w:type="dxa"/>
            <w:left w:w="0" w:type="dxa"/>
            <w:bottom w:w="0" w:type="dxa"/>
            <w:right w:w="0" w:type="dxa"/>
          </w:tblCellMar>
        </w:tblPrEx>
        <w:trPr>
          <w:trHeight w:val="1135" w:hRule="atLeast"/>
        </w:trPr>
        <w:tc>
          <w:tcPr>
            <w:tcW w:w="1036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小标宋简体" w:hAnsi="方正小标宋简体" w:eastAsia="方正小标宋简体" w:cs="方正小标宋简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钦北区2020年各镇（街道）社会保险及劳动关系</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协调工作目标任务表</w:t>
            </w:r>
          </w:p>
        </w:tc>
      </w:tr>
      <w:tr>
        <w:tblPrEx>
          <w:tblCellMar>
            <w:top w:w="0" w:type="dxa"/>
            <w:left w:w="0" w:type="dxa"/>
            <w:bottom w:w="0" w:type="dxa"/>
            <w:right w:w="0" w:type="dxa"/>
          </w:tblCellMar>
        </w:tblPrEx>
        <w:trPr>
          <w:trHeight w:val="312"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5080</wp:posOffset>
                      </wp:positionV>
                      <wp:extent cx="883285" cy="1047750"/>
                      <wp:effectExtent l="3810" t="3175" r="8255" b="15875"/>
                      <wp:wrapNone/>
                      <wp:docPr id="3" name="直接连接符 3"/>
                      <wp:cNvGraphicFramePr/>
                      <a:graphic xmlns:a="http://schemas.openxmlformats.org/drawingml/2006/main">
                        <a:graphicData uri="http://schemas.microsoft.com/office/word/2010/wordprocessingShape">
                          <wps:wsp>
                            <wps:cNvCnPr/>
                            <wps:spPr>
                              <a:xfrm>
                                <a:off x="615950" y="1715770"/>
                                <a:ext cx="883285"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0.4pt;height:82.5pt;width:69.55pt;z-index:251659264;mso-width-relative:page;mso-height-relative:page;" filled="f" stroked="t" coordsize="21600,21600" o:gfxdata="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gG3iTTAAAABgEAAA8AAAAAAAAAAQAgAAAA&#10;IgAAAGRycy9kb3ducmV2LnhtbFBLAQIUABQAAAAIAIdO4kDwnhIa1wEAAHMDAAAOAAAAAAAAAAEA&#10;IAAAACIBAABkcnMvZTJvRG9jLnhtbFBLBQYAAAAABgAGAFkBAABrBQAAAAA=&#10;">
                      <v:fill on="f" focussize="0,0"/>
                      <v:stroke weight="0.5pt" color="#000000 [3200]" miterlimit="8" joinstyle="miter"/>
                      <v:imagedata o:title=""/>
                      <o:lock v:ext="edit" aspectratio="f"/>
                    </v:line>
                  </w:pict>
                </mc:Fallback>
              </mc:AlternateContent>
            </w:r>
            <w:r>
              <w:rPr>
                <w:rFonts w:hint="default"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720" w:firstLineChars="300"/>
              <w:jc w:val="left"/>
              <w:textAlignment w:val="center"/>
              <w:rPr>
                <w:rStyle w:val="25"/>
                <w:lang w:val="en-US" w:eastAsia="zh-CN" w:bidi="ar"/>
              </w:rPr>
            </w:pPr>
            <w:r>
              <w:rPr>
                <w:rStyle w:val="25"/>
                <w:lang w:val="en-US" w:eastAsia="zh-CN" w:bidi="ar"/>
              </w:rPr>
              <w:t>项目</w:t>
            </w:r>
          </w:p>
          <w:p>
            <w:pPr>
              <w:keepNext w:val="0"/>
              <w:keepLines w:val="0"/>
              <w:widowControl/>
              <w:suppressLineNumbers w:val="0"/>
              <w:ind w:firstLine="720" w:firstLineChars="300"/>
              <w:jc w:val="left"/>
              <w:textAlignment w:val="center"/>
              <w:rPr>
                <w:rStyle w:val="25"/>
                <w:lang w:val="en-US" w:eastAsia="zh-CN" w:bidi="ar"/>
              </w:rPr>
            </w:pPr>
          </w:p>
          <w:p>
            <w:pPr>
              <w:keepNext w:val="0"/>
              <w:keepLines w:val="0"/>
              <w:widowControl/>
              <w:suppressLineNumbers w:val="0"/>
              <w:ind w:firstLine="240" w:firstLineChars="100"/>
              <w:jc w:val="left"/>
              <w:textAlignment w:val="center"/>
              <w:rPr>
                <w:rStyle w:val="25"/>
                <w:lang w:val="en-US" w:eastAsia="zh-CN" w:bidi="ar"/>
              </w:rPr>
            </w:pPr>
            <w:r>
              <w:rPr>
                <w:rStyle w:val="25"/>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5"/>
                <w:lang w:val="en-US" w:eastAsia="zh-CN" w:bidi="ar"/>
              </w:rPr>
              <w:t>（街道）</w:t>
            </w:r>
          </w:p>
        </w:tc>
        <w:tc>
          <w:tcPr>
            <w:tcW w:w="4323"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城乡居民基本养老保险</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城镇企业职工基本养老保险</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辖区内企业劳动合同签订率</w:t>
            </w:r>
            <w:r>
              <w:rPr>
                <w:rFonts w:hint="default" w:ascii="Times New Roman" w:hAnsi="Times New Roman" w:eastAsia="黑体" w:cs="Times New Roman"/>
                <w:i w:val="0"/>
                <w:color w:val="000000"/>
                <w:kern w:val="0"/>
                <w:sz w:val="22"/>
                <w:szCs w:val="22"/>
                <w:u w:val="none"/>
                <w:lang w:val="en-US" w:eastAsia="zh-CN" w:bidi="ar"/>
              </w:rPr>
              <w:br w:type="textWrapping"/>
            </w:r>
            <w:r>
              <w:rPr>
                <w:rStyle w:val="25"/>
                <w:rFonts w:hint="default" w:ascii="Times New Roman" w:hAnsi="Times New Roman" w:cs="Times New Roman"/>
                <w:lang w:val="en-US" w:eastAsia="zh-CN" w:bidi="ar"/>
              </w:rPr>
              <w:t>（%）</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辖区内劳动人事争议调解</w:t>
            </w:r>
          </w:p>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成功率</w:t>
            </w:r>
            <w:r>
              <w:rPr>
                <w:rStyle w:val="25"/>
                <w:rFonts w:hint="default" w:ascii="Times New Roman" w:hAnsi="Times New Roman" w:cs="Times New Roman"/>
                <w:lang w:val="en-US" w:eastAsia="zh-CN" w:bidi="ar"/>
              </w:rPr>
              <w:t>（%）</w:t>
            </w:r>
          </w:p>
        </w:tc>
      </w:tr>
      <w:tr>
        <w:tblPrEx>
          <w:tblCellMar>
            <w:top w:w="0" w:type="dxa"/>
            <w:left w:w="0" w:type="dxa"/>
            <w:bottom w:w="0" w:type="dxa"/>
            <w:right w:w="0" w:type="dxa"/>
          </w:tblCellMar>
        </w:tblPrEx>
        <w:trPr>
          <w:trHeight w:val="37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323"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871"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新增参</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保人数</w:t>
            </w:r>
          </w:p>
        </w:tc>
        <w:tc>
          <w:tcPr>
            <w:tcW w:w="16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符合条件人员待遇领取率（%）</w:t>
            </w: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25"/>
                <w:rFonts w:hint="default" w:ascii="Times New Roman" w:hAnsi="Times New Roman" w:cs="Times New Roman"/>
                <w:lang w:val="en-US" w:eastAsia="zh-CN" w:bidi="ar"/>
              </w:rPr>
              <w:t>特殊困难</w:t>
            </w:r>
            <w:r>
              <w:rPr>
                <w:rFonts w:hint="default" w:ascii="Times New Roman" w:hAnsi="Times New Roman" w:eastAsia="黑体" w:cs="Times New Roman"/>
                <w:i w:val="0"/>
                <w:color w:val="000000"/>
                <w:kern w:val="0"/>
                <w:sz w:val="24"/>
                <w:szCs w:val="24"/>
                <w:u w:val="none"/>
                <w:lang w:val="en-US" w:eastAsia="zh-CN" w:bidi="ar"/>
              </w:rPr>
              <w:t xml:space="preserve">     </w:t>
            </w:r>
            <w:r>
              <w:rPr>
                <w:rStyle w:val="25"/>
                <w:rFonts w:hint="default" w:ascii="Times New Roman" w:hAnsi="Times New Roman" w:cs="Times New Roman"/>
                <w:lang w:val="en-US" w:eastAsia="zh-CN" w:bidi="ar"/>
              </w:rPr>
              <w:t>人员参保率</w:t>
            </w:r>
            <w:r>
              <w:rPr>
                <w:rFonts w:hint="default" w:ascii="Times New Roman" w:hAnsi="Times New Roman" w:eastAsia="黑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w:t>
            </w:r>
          </w:p>
        </w:tc>
        <w:tc>
          <w:tcPr>
            <w:tcW w:w="16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新增扩面</w:t>
            </w:r>
            <w:r>
              <w:rPr>
                <w:rFonts w:hint="default" w:ascii="Times New Roman" w:hAnsi="Times New Roman" w:eastAsia="宋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参保人数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60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82" w:hRule="atLeast"/>
        </w:trPr>
        <w:tc>
          <w:tcPr>
            <w:tcW w:w="10364" w:type="dxa"/>
            <w:gridSpan w:val="7"/>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ind w:left="720" w:hanging="720" w:hangingChars="300"/>
              <w:jc w:val="both"/>
              <w:textAlignment w:val="top"/>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备注：（一）符合条件年满</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周岁以上（含</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岁）的城乡居民养老保险待遇领取率必须达到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；建档立卡贫困户、重度残疾人、特困、低保、贫残人员参加城乡居民养老保险比例达到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ind w:left="0" w:leftChars="0" w:firstLine="638" w:firstLineChars="266"/>
              <w:jc w:val="both"/>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（二）实行实绩与绩效挂钩制度。</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4864" w:type="dxa"/>
        <w:tblInd w:w="290" w:type="dxa"/>
        <w:shd w:val="clear" w:color="auto" w:fill="auto"/>
        <w:tblLayout w:type="fixed"/>
        <w:tblCellMar>
          <w:top w:w="0" w:type="dxa"/>
          <w:left w:w="0" w:type="dxa"/>
          <w:bottom w:w="0" w:type="dxa"/>
          <w:right w:w="0" w:type="dxa"/>
        </w:tblCellMar>
      </w:tblPr>
      <w:tblGrid>
        <w:gridCol w:w="1432"/>
        <w:gridCol w:w="1391"/>
        <w:gridCol w:w="1582"/>
        <w:gridCol w:w="1282"/>
        <w:gridCol w:w="1800"/>
        <w:gridCol w:w="1636"/>
        <w:gridCol w:w="1064"/>
        <w:gridCol w:w="1609"/>
        <w:gridCol w:w="1459"/>
        <w:gridCol w:w="1609"/>
      </w:tblGrid>
      <w:tr>
        <w:tblPrEx>
          <w:shd w:val="clear" w:color="auto" w:fill="auto"/>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附件2-13</w:t>
            </w:r>
          </w:p>
        </w:tc>
      </w:tr>
      <w:tr>
        <w:tblPrEx>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钦北区2020年各镇（街道）就业再就业工作目标任务表</w:t>
            </w:r>
          </w:p>
        </w:tc>
      </w:tr>
      <w:tr>
        <w:tblPrEx>
          <w:tblCellMar>
            <w:top w:w="0" w:type="dxa"/>
            <w:left w:w="0" w:type="dxa"/>
            <w:bottom w:w="0" w:type="dxa"/>
            <w:right w:w="0" w:type="dxa"/>
          </w:tblCellMar>
        </w:tblPrEx>
        <w:trPr>
          <w:trHeight w:val="27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120" w:hanging="120" w:hangingChars="50"/>
              <w:jc w:val="left"/>
              <w:textAlignment w:val="center"/>
              <w:rPr>
                <w:rFonts w:hint="eastAsia" w:ascii="黑体" w:hAnsi="宋体" w:eastAsia="黑体" w:cs="黑体"/>
                <w:i w:val="0"/>
                <w:color w:val="000000"/>
                <w:kern w:val="0"/>
                <w:sz w:val="24"/>
                <w:szCs w:val="24"/>
                <w:u w:val="none"/>
                <w:lang w:val="en-US" w:eastAsia="zh-CN" w:bidi="ar"/>
              </w:rPr>
            </w:pPr>
            <w:r>
              <w:rPr>
                <w:sz w:val="2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8890</wp:posOffset>
                      </wp:positionV>
                      <wp:extent cx="885825" cy="587375"/>
                      <wp:effectExtent l="2540" t="3810" r="6985" b="18415"/>
                      <wp:wrapNone/>
                      <wp:docPr id="6" name="直接连接符 6"/>
                      <wp:cNvGraphicFramePr/>
                      <a:graphic xmlns:a="http://schemas.openxmlformats.org/drawingml/2006/main">
                        <a:graphicData uri="http://schemas.microsoft.com/office/word/2010/wordprocessingShape">
                          <wps:wsp>
                            <wps:cNvCnPr/>
                            <wps:spPr>
                              <a:xfrm>
                                <a:off x="657860" y="1697990"/>
                                <a:ext cx="885825" cy="58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pt;height:46.25pt;width:69.75pt;z-index:251660288;mso-width-relative:page;mso-height-relative:page;" filled="f" stroked="t" coordsize="21600,21600" o:gfxdata="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oJ6atQAAAAGAQAADwAAAAAAAAABACAAAAAi&#10;AAAAZHJzL2Rvd25yZXYueG1sUEsBAhQAFAAAAAgAh07iQDHPEILVAQAAcgMAAA4AAAAAAAAAAQAg&#10;AAAAIwEAAGRycy9lMm9Eb2MueG1sUEsFBgAAAAAGAAYAWQEAAGoFA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黑体" w:hAnsi="宋体" w:eastAsia="黑体" w:cs="黑体"/>
                <w:i w:val="0"/>
                <w:color w:val="000000"/>
                <w:kern w:val="0"/>
                <w:sz w:val="24"/>
                <w:szCs w:val="24"/>
                <w:u w:val="none"/>
                <w:lang w:val="en-US" w:eastAsia="zh-CN" w:bidi="ar"/>
              </w:rPr>
              <w:t>项目</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（街道）</w:t>
            </w:r>
          </w:p>
        </w:tc>
        <w:tc>
          <w:tcPr>
            <w:tcW w:w="13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城镇新增</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就业人数</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城镇失业人员再就业人数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就业困难人员就业人数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农村劳动力转移就业新增人数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其中：建档立卡贫困人员人数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就业培训</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Times New Roman" w:hAnsi="Times New Roman" w:eastAsia="黑体" w:cs="Times New Roman"/>
                <w:i w:val="0"/>
                <w:color w:val="000000"/>
                <w:kern w:val="0"/>
                <w:sz w:val="24"/>
                <w:szCs w:val="24"/>
                <w:u w:val="none"/>
                <w:lang w:val="en-US" w:eastAsia="zh-CN" w:bidi="ar"/>
              </w:rPr>
              <w:t>目标</w:t>
            </w:r>
            <w:r>
              <w:rPr>
                <w:rFonts w:hint="eastAsia" w:ascii="黑体" w:hAnsi="宋体" w:eastAsia="黑体" w:cs="黑体"/>
                <w:i w:val="0"/>
                <w:color w:val="000000"/>
                <w:kern w:val="0"/>
                <w:sz w:val="24"/>
                <w:szCs w:val="24"/>
                <w:u w:val="none"/>
                <w:lang w:val="en-US" w:eastAsia="zh-CN" w:bidi="ar"/>
              </w:rPr>
              <w:t>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建档立卡人员培训人数</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新增高技能</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人才人数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两后生</w:t>
            </w: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培训人数</w:t>
            </w:r>
          </w:p>
        </w:tc>
      </w:tr>
      <w:tr>
        <w:tblPrEx>
          <w:tblCellMar>
            <w:top w:w="0" w:type="dxa"/>
            <w:left w:w="0" w:type="dxa"/>
            <w:bottom w:w="0" w:type="dxa"/>
            <w:right w:w="0" w:type="dxa"/>
          </w:tblCellMar>
        </w:tblPrEx>
        <w:trPr>
          <w:trHeight w:val="518"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1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51"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720" w:right="720" w:bottom="720" w:left="72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sectPr>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B050"/>
    <w:multiLevelType w:val="singleLevel"/>
    <w:tmpl w:val="711BB0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469E"/>
    <w:rsid w:val="00B577C8"/>
    <w:rsid w:val="00D139B1"/>
    <w:rsid w:val="01346440"/>
    <w:rsid w:val="013D63FA"/>
    <w:rsid w:val="01DC5527"/>
    <w:rsid w:val="01E04D7F"/>
    <w:rsid w:val="01F1037C"/>
    <w:rsid w:val="02186891"/>
    <w:rsid w:val="02801CE8"/>
    <w:rsid w:val="028940BC"/>
    <w:rsid w:val="028E7FF4"/>
    <w:rsid w:val="02CB5C1E"/>
    <w:rsid w:val="02F61A42"/>
    <w:rsid w:val="032F6030"/>
    <w:rsid w:val="034E028A"/>
    <w:rsid w:val="03AD5710"/>
    <w:rsid w:val="03BB48B0"/>
    <w:rsid w:val="04595A98"/>
    <w:rsid w:val="04DB2F02"/>
    <w:rsid w:val="04F51D72"/>
    <w:rsid w:val="05B935C8"/>
    <w:rsid w:val="05DE1233"/>
    <w:rsid w:val="062525A5"/>
    <w:rsid w:val="063A3EA1"/>
    <w:rsid w:val="06443449"/>
    <w:rsid w:val="070357DC"/>
    <w:rsid w:val="07D54339"/>
    <w:rsid w:val="07DE7786"/>
    <w:rsid w:val="082E522A"/>
    <w:rsid w:val="08841AA5"/>
    <w:rsid w:val="08871E8C"/>
    <w:rsid w:val="08BC4AA9"/>
    <w:rsid w:val="08EB48CA"/>
    <w:rsid w:val="093D73E1"/>
    <w:rsid w:val="09BD2982"/>
    <w:rsid w:val="09D036C1"/>
    <w:rsid w:val="0AC81632"/>
    <w:rsid w:val="0AF24918"/>
    <w:rsid w:val="0B493C17"/>
    <w:rsid w:val="0B9F13DA"/>
    <w:rsid w:val="0BE3347F"/>
    <w:rsid w:val="0C3656FC"/>
    <w:rsid w:val="0C6A2EBE"/>
    <w:rsid w:val="0EDE004B"/>
    <w:rsid w:val="0EF5245B"/>
    <w:rsid w:val="0F0276DE"/>
    <w:rsid w:val="0F0A3E1F"/>
    <w:rsid w:val="0F336EC0"/>
    <w:rsid w:val="0FB43C67"/>
    <w:rsid w:val="10552EDF"/>
    <w:rsid w:val="108B3836"/>
    <w:rsid w:val="10A55882"/>
    <w:rsid w:val="10FC44CF"/>
    <w:rsid w:val="110D4E91"/>
    <w:rsid w:val="112F0F6E"/>
    <w:rsid w:val="1174780A"/>
    <w:rsid w:val="11D11478"/>
    <w:rsid w:val="12B633E2"/>
    <w:rsid w:val="12F1411A"/>
    <w:rsid w:val="13496EDF"/>
    <w:rsid w:val="139C04F0"/>
    <w:rsid w:val="14087308"/>
    <w:rsid w:val="149326C0"/>
    <w:rsid w:val="154313F5"/>
    <w:rsid w:val="15520749"/>
    <w:rsid w:val="155701A0"/>
    <w:rsid w:val="17206439"/>
    <w:rsid w:val="17321627"/>
    <w:rsid w:val="178B37AF"/>
    <w:rsid w:val="186D15C7"/>
    <w:rsid w:val="18D83611"/>
    <w:rsid w:val="18E77F77"/>
    <w:rsid w:val="193B775A"/>
    <w:rsid w:val="198C5BFB"/>
    <w:rsid w:val="19B45C5C"/>
    <w:rsid w:val="19C45D52"/>
    <w:rsid w:val="19D202AD"/>
    <w:rsid w:val="1A2A01B7"/>
    <w:rsid w:val="1A5E5AD5"/>
    <w:rsid w:val="1A83442A"/>
    <w:rsid w:val="1AEF6B48"/>
    <w:rsid w:val="1B791634"/>
    <w:rsid w:val="1C6E335D"/>
    <w:rsid w:val="1D0E6ED6"/>
    <w:rsid w:val="1DB14A7E"/>
    <w:rsid w:val="1DE45F53"/>
    <w:rsid w:val="1E10104B"/>
    <w:rsid w:val="1E1929C9"/>
    <w:rsid w:val="1E5731A4"/>
    <w:rsid w:val="1E7B44B0"/>
    <w:rsid w:val="1F0C1B5D"/>
    <w:rsid w:val="1F725E40"/>
    <w:rsid w:val="1F9A5A46"/>
    <w:rsid w:val="20445D30"/>
    <w:rsid w:val="205E2CF2"/>
    <w:rsid w:val="20B317E5"/>
    <w:rsid w:val="20D602D7"/>
    <w:rsid w:val="20F1217B"/>
    <w:rsid w:val="21A00ABD"/>
    <w:rsid w:val="21D859FC"/>
    <w:rsid w:val="21DA6224"/>
    <w:rsid w:val="21E361E6"/>
    <w:rsid w:val="2221415E"/>
    <w:rsid w:val="234C6E40"/>
    <w:rsid w:val="23727B8C"/>
    <w:rsid w:val="239D2CD6"/>
    <w:rsid w:val="24BA45A9"/>
    <w:rsid w:val="253546C5"/>
    <w:rsid w:val="25923A23"/>
    <w:rsid w:val="27426FA3"/>
    <w:rsid w:val="274A1A19"/>
    <w:rsid w:val="27A25C33"/>
    <w:rsid w:val="27B331B9"/>
    <w:rsid w:val="28285407"/>
    <w:rsid w:val="2846450D"/>
    <w:rsid w:val="28C10A38"/>
    <w:rsid w:val="291F3872"/>
    <w:rsid w:val="29574001"/>
    <w:rsid w:val="2A731025"/>
    <w:rsid w:val="2AB971F6"/>
    <w:rsid w:val="2ACF1075"/>
    <w:rsid w:val="2AE55B4A"/>
    <w:rsid w:val="2AF33D62"/>
    <w:rsid w:val="2B555ADB"/>
    <w:rsid w:val="2B974BCD"/>
    <w:rsid w:val="2C46023F"/>
    <w:rsid w:val="2D045630"/>
    <w:rsid w:val="2D4063D9"/>
    <w:rsid w:val="2DFF33A8"/>
    <w:rsid w:val="2E9373B1"/>
    <w:rsid w:val="2EA35F53"/>
    <w:rsid w:val="2EA67CB4"/>
    <w:rsid w:val="2EBE2FA2"/>
    <w:rsid w:val="2ECB3C01"/>
    <w:rsid w:val="2EF364DF"/>
    <w:rsid w:val="2F327A95"/>
    <w:rsid w:val="2F997A58"/>
    <w:rsid w:val="2FB07A61"/>
    <w:rsid w:val="2FCD6766"/>
    <w:rsid w:val="300F7D0F"/>
    <w:rsid w:val="30180E41"/>
    <w:rsid w:val="303D55F5"/>
    <w:rsid w:val="30EB0570"/>
    <w:rsid w:val="32054B67"/>
    <w:rsid w:val="322E2B6D"/>
    <w:rsid w:val="328424E0"/>
    <w:rsid w:val="32AE092D"/>
    <w:rsid w:val="33705D63"/>
    <w:rsid w:val="337614B1"/>
    <w:rsid w:val="338F4BB0"/>
    <w:rsid w:val="33DC4695"/>
    <w:rsid w:val="33DF7227"/>
    <w:rsid w:val="3417259F"/>
    <w:rsid w:val="3444379C"/>
    <w:rsid w:val="34855E07"/>
    <w:rsid w:val="34ED6135"/>
    <w:rsid w:val="35687A9F"/>
    <w:rsid w:val="358813C7"/>
    <w:rsid w:val="35BC7CE7"/>
    <w:rsid w:val="36572189"/>
    <w:rsid w:val="366C428E"/>
    <w:rsid w:val="370054CE"/>
    <w:rsid w:val="370B1052"/>
    <w:rsid w:val="37DC5512"/>
    <w:rsid w:val="381F3878"/>
    <w:rsid w:val="38267D3C"/>
    <w:rsid w:val="385D064C"/>
    <w:rsid w:val="38660487"/>
    <w:rsid w:val="38790440"/>
    <w:rsid w:val="38EE39DF"/>
    <w:rsid w:val="39FA78F2"/>
    <w:rsid w:val="3A491007"/>
    <w:rsid w:val="3A4E2316"/>
    <w:rsid w:val="3B2F02D0"/>
    <w:rsid w:val="3B4663EB"/>
    <w:rsid w:val="3CA26D0C"/>
    <w:rsid w:val="3CCF3609"/>
    <w:rsid w:val="3CEC6F23"/>
    <w:rsid w:val="3D2617EA"/>
    <w:rsid w:val="3D4A61E0"/>
    <w:rsid w:val="3D5258FB"/>
    <w:rsid w:val="3D993E0E"/>
    <w:rsid w:val="3E5475DD"/>
    <w:rsid w:val="3EAA4383"/>
    <w:rsid w:val="3ED551FA"/>
    <w:rsid w:val="3F5C764A"/>
    <w:rsid w:val="3FD17F82"/>
    <w:rsid w:val="3FF027E0"/>
    <w:rsid w:val="408F2CF1"/>
    <w:rsid w:val="42087C57"/>
    <w:rsid w:val="420A3893"/>
    <w:rsid w:val="422B0D1B"/>
    <w:rsid w:val="42F9042A"/>
    <w:rsid w:val="43194952"/>
    <w:rsid w:val="43882A0B"/>
    <w:rsid w:val="43EC27E7"/>
    <w:rsid w:val="43F930A4"/>
    <w:rsid w:val="450834E1"/>
    <w:rsid w:val="4567670D"/>
    <w:rsid w:val="459418A9"/>
    <w:rsid w:val="45A634F8"/>
    <w:rsid w:val="45BA16C0"/>
    <w:rsid w:val="45E545E3"/>
    <w:rsid w:val="463737E0"/>
    <w:rsid w:val="466C7FBA"/>
    <w:rsid w:val="46F040EB"/>
    <w:rsid w:val="470258D2"/>
    <w:rsid w:val="47211ECF"/>
    <w:rsid w:val="47565F28"/>
    <w:rsid w:val="479E4561"/>
    <w:rsid w:val="482D5FC2"/>
    <w:rsid w:val="49255EE9"/>
    <w:rsid w:val="49822027"/>
    <w:rsid w:val="49E34A7A"/>
    <w:rsid w:val="4A332BB8"/>
    <w:rsid w:val="4A376E28"/>
    <w:rsid w:val="4A5837A0"/>
    <w:rsid w:val="4A5D15F7"/>
    <w:rsid w:val="4A9E06B1"/>
    <w:rsid w:val="4B4D1B24"/>
    <w:rsid w:val="4B8329BF"/>
    <w:rsid w:val="4BC663B3"/>
    <w:rsid w:val="4BE145FD"/>
    <w:rsid w:val="4C801F9A"/>
    <w:rsid w:val="4CE94F90"/>
    <w:rsid w:val="4D5F45E2"/>
    <w:rsid w:val="4DA93765"/>
    <w:rsid w:val="4DBA0B94"/>
    <w:rsid w:val="4DE222DB"/>
    <w:rsid w:val="4DE56F64"/>
    <w:rsid w:val="4E5639F9"/>
    <w:rsid w:val="4E7971EF"/>
    <w:rsid w:val="4EBA5A4C"/>
    <w:rsid w:val="4F6D2990"/>
    <w:rsid w:val="4F845A7F"/>
    <w:rsid w:val="503D48EF"/>
    <w:rsid w:val="508B4D20"/>
    <w:rsid w:val="50F2135E"/>
    <w:rsid w:val="51625726"/>
    <w:rsid w:val="516948E9"/>
    <w:rsid w:val="51E001A7"/>
    <w:rsid w:val="532F31AA"/>
    <w:rsid w:val="53743139"/>
    <w:rsid w:val="539D082B"/>
    <w:rsid w:val="545F6885"/>
    <w:rsid w:val="54E45F5F"/>
    <w:rsid w:val="5574421D"/>
    <w:rsid w:val="559C022C"/>
    <w:rsid w:val="55E07CC9"/>
    <w:rsid w:val="5647743F"/>
    <w:rsid w:val="56C0661E"/>
    <w:rsid w:val="56C71D44"/>
    <w:rsid w:val="56CE11BE"/>
    <w:rsid w:val="56F151C4"/>
    <w:rsid w:val="570961CE"/>
    <w:rsid w:val="57B31B3C"/>
    <w:rsid w:val="585415D3"/>
    <w:rsid w:val="58874F77"/>
    <w:rsid w:val="58B23E4B"/>
    <w:rsid w:val="58E337EF"/>
    <w:rsid w:val="592B3683"/>
    <w:rsid w:val="597A26AD"/>
    <w:rsid w:val="59CD3554"/>
    <w:rsid w:val="5A4B7615"/>
    <w:rsid w:val="5AB802CD"/>
    <w:rsid w:val="5C0A0FEF"/>
    <w:rsid w:val="5C3E107E"/>
    <w:rsid w:val="5CC32644"/>
    <w:rsid w:val="5D7C67C9"/>
    <w:rsid w:val="5D854BCE"/>
    <w:rsid w:val="5E445417"/>
    <w:rsid w:val="5E802690"/>
    <w:rsid w:val="5F444404"/>
    <w:rsid w:val="5F543E0F"/>
    <w:rsid w:val="5F974D98"/>
    <w:rsid w:val="60881FEE"/>
    <w:rsid w:val="61402324"/>
    <w:rsid w:val="614E0B95"/>
    <w:rsid w:val="61C46B4C"/>
    <w:rsid w:val="61D552CC"/>
    <w:rsid w:val="61F41515"/>
    <w:rsid w:val="621F3668"/>
    <w:rsid w:val="62494357"/>
    <w:rsid w:val="62BF366F"/>
    <w:rsid w:val="62C533D6"/>
    <w:rsid w:val="62F74913"/>
    <w:rsid w:val="63214364"/>
    <w:rsid w:val="638733B4"/>
    <w:rsid w:val="638B4A08"/>
    <w:rsid w:val="63EE502F"/>
    <w:rsid w:val="64372302"/>
    <w:rsid w:val="646117EC"/>
    <w:rsid w:val="653874D2"/>
    <w:rsid w:val="656D5864"/>
    <w:rsid w:val="675B745D"/>
    <w:rsid w:val="679F0CF5"/>
    <w:rsid w:val="67BE1AAD"/>
    <w:rsid w:val="67C2680F"/>
    <w:rsid w:val="67CE77F2"/>
    <w:rsid w:val="685C5901"/>
    <w:rsid w:val="6891699E"/>
    <w:rsid w:val="689304A9"/>
    <w:rsid w:val="68CE45CA"/>
    <w:rsid w:val="69095DCE"/>
    <w:rsid w:val="69864D2E"/>
    <w:rsid w:val="699B76F1"/>
    <w:rsid w:val="69B32411"/>
    <w:rsid w:val="6AC076AD"/>
    <w:rsid w:val="6B1239FB"/>
    <w:rsid w:val="6B2D2629"/>
    <w:rsid w:val="6B8A2052"/>
    <w:rsid w:val="6BB01DCF"/>
    <w:rsid w:val="6C3A1255"/>
    <w:rsid w:val="6C6953E2"/>
    <w:rsid w:val="6CB44641"/>
    <w:rsid w:val="6CEB4301"/>
    <w:rsid w:val="6CF64598"/>
    <w:rsid w:val="6D0E383F"/>
    <w:rsid w:val="6D1B6F2E"/>
    <w:rsid w:val="6DCF5203"/>
    <w:rsid w:val="6DD67333"/>
    <w:rsid w:val="6E2573C5"/>
    <w:rsid w:val="6E6810E4"/>
    <w:rsid w:val="6ECB1BE3"/>
    <w:rsid w:val="6EEE32CD"/>
    <w:rsid w:val="6F070076"/>
    <w:rsid w:val="6F850AAE"/>
    <w:rsid w:val="705E3707"/>
    <w:rsid w:val="709A2651"/>
    <w:rsid w:val="710E4BED"/>
    <w:rsid w:val="713F79AC"/>
    <w:rsid w:val="720C38AC"/>
    <w:rsid w:val="72C93FB0"/>
    <w:rsid w:val="74056E20"/>
    <w:rsid w:val="744C60E8"/>
    <w:rsid w:val="747D597B"/>
    <w:rsid w:val="74924075"/>
    <w:rsid w:val="74C8613E"/>
    <w:rsid w:val="74F20D03"/>
    <w:rsid w:val="755C4B88"/>
    <w:rsid w:val="758049E8"/>
    <w:rsid w:val="758E49D6"/>
    <w:rsid w:val="75AA0D23"/>
    <w:rsid w:val="761868E4"/>
    <w:rsid w:val="76B7562B"/>
    <w:rsid w:val="772F5D08"/>
    <w:rsid w:val="77896D5A"/>
    <w:rsid w:val="783E7084"/>
    <w:rsid w:val="784F7694"/>
    <w:rsid w:val="786C27D7"/>
    <w:rsid w:val="78963464"/>
    <w:rsid w:val="78DC62B3"/>
    <w:rsid w:val="799F5F51"/>
    <w:rsid w:val="79A6003E"/>
    <w:rsid w:val="79D0797D"/>
    <w:rsid w:val="7A2A5EB9"/>
    <w:rsid w:val="7A72186A"/>
    <w:rsid w:val="7AC8609B"/>
    <w:rsid w:val="7AF74B2F"/>
    <w:rsid w:val="7B070964"/>
    <w:rsid w:val="7BEE10EB"/>
    <w:rsid w:val="7BF34B54"/>
    <w:rsid w:val="7C5F5707"/>
    <w:rsid w:val="7C821061"/>
    <w:rsid w:val="7C961F83"/>
    <w:rsid w:val="7CBD13BA"/>
    <w:rsid w:val="7CBF0E62"/>
    <w:rsid w:val="7CD32A51"/>
    <w:rsid w:val="7CFD6EA2"/>
    <w:rsid w:val="7D7014B2"/>
    <w:rsid w:val="7D8F3BDF"/>
    <w:rsid w:val="7DC4708D"/>
    <w:rsid w:val="7DDE3279"/>
    <w:rsid w:val="7E546039"/>
    <w:rsid w:val="7F4E760E"/>
    <w:rsid w:val="7FD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黑体" w:hAnsi="宋体" w:eastAsia="黑体" w:cs="黑体"/>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2"/>
      <w:szCs w:val="22"/>
      <w:u w:val="none"/>
    </w:rPr>
  </w:style>
  <w:style w:type="character" w:customStyle="1" w:styleId="10">
    <w:name w:val="font21"/>
    <w:basedOn w:val="7"/>
    <w:qFormat/>
    <w:uiPriority w:val="0"/>
    <w:rPr>
      <w:rFonts w:hint="eastAsia" w:ascii="黑体" w:hAnsi="宋体" w:eastAsia="黑体" w:cs="黑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131"/>
    <w:basedOn w:val="7"/>
    <w:qFormat/>
    <w:uiPriority w:val="0"/>
    <w:rPr>
      <w:rFonts w:hint="default" w:ascii="Times New Roman" w:hAnsi="Times New Roman" w:cs="Times New Roman"/>
      <w:color w:val="000000"/>
      <w:sz w:val="40"/>
      <w:szCs w:val="40"/>
      <w:u w:val="none"/>
    </w:rPr>
  </w:style>
  <w:style w:type="character" w:customStyle="1" w:styleId="17">
    <w:name w:val="font51"/>
    <w:basedOn w:val="7"/>
    <w:qFormat/>
    <w:uiPriority w:val="0"/>
    <w:rPr>
      <w:rFonts w:hint="eastAsia" w:ascii="黑体" w:hAnsi="宋体" w:eastAsia="黑体" w:cs="黑体"/>
      <w:color w:val="000000"/>
      <w:sz w:val="24"/>
      <w:szCs w:val="24"/>
      <w:u w:val="none"/>
    </w:rPr>
  </w:style>
  <w:style w:type="character" w:customStyle="1" w:styleId="18">
    <w:name w:val="font141"/>
    <w:basedOn w:val="7"/>
    <w:qFormat/>
    <w:uiPriority w:val="0"/>
    <w:rPr>
      <w:rFonts w:hint="default" w:ascii="Times New Roman" w:hAnsi="Times New Roman" w:cs="Times New Roman"/>
      <w:color w:val="000000"/>
      <w:sz w:val="24"/>
      <w:szCs w:val="24"/>
      <w:u w:val="none"/>
    </w:rPr>
  </w:style>
  <w:style w:type="character" w:customStyle="1" w:styleId="19">
    <w:name w:val="font61"/>
    <w:basedOn w:val="7"/>
    <w:qFormat/>
    <w:uiPriority w:val="0"/>
    <w:rPr>
      <w:rFonts w:hint="eastAsia" w:ascii="仿宋_GB2312" w:eastAsia="仿宋_GB2312" w:cs="仿宋_GB2312"/>
      <w:b/>
      <w:color w:val="000000"/>
      <w:sz w:val="24"/>
      <w:szCs w:val="24"/>
      <w:u w:val="none"/>
    </w:rPr>
  </w:style>
  <w:style w:type="character" w:customStyle="1" w:styleId="20">
    <w:name w:val="font71"/>
    <w:basedOn w:val="7"/>
    <w:qFormat/>
    <w:uiPriority w:val="0"/>
    <w:rPr>
      <w:rFonts w:hint="default" w:ascii="Times New Roman" w:hAnsi="Times New Roman" w:cs="Times New Roman"/>
      <w:color w:val="000000"/>
      <w:sz w:val="24"/>
      <w:szCs w:val="24"/>
      <w:u w:val="none"/>
    </w:rPr>
  </w:style>
  <w:style w:type="character" w:customStyle="1" w:styleId="21">
    <w:name w:val="font20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22">
    <w:name w:val="font112"/>
    <w:basedOn w:val="7"/>
    <w:qFormat/>
    <w:uiPriority w:val="0"/>
    <w:rPr>
      <w:rFonts w:ascii="仿宋_GB2312" w:eastAsia="仿宋_GB2312" w:cs="仿宋_GB2312"/>
      <w:b/>
      <w:color w:val="000000"/>
      <w:sz w:val="24"/>
      <w:szCs w:val="24"/>
      <w:u w:val="none"/>
    </w:rPr>
  </w:style>
  <w:style w:type="character" w:customStyle="1" w:styleId="23">
    <w:name w:val="font151"/>
    <w:basedOn w:val="7"/>
    <w:qFormat/>
    <w:uiPriority w:val="0"/>
    <w:rPr>
      <w:rFonts w:hint="default" w:ascii="Times New Roman" w:hAnsi="Times New Roman" w:cs="Times New Roman"/>
      <w:color w:val="000000"/>
      <w:sz w:val="24"/>
      <w:szCs w:val="24"/>
      <w:u w:val="none"/>
    </w:rPr>
  </w:style>
  <w:style w:type="character" w:customStyle="1" w:styleId="24">
    <w:name w:val="font111"/>
    <w:basedOn w:val="7"/>
    <w:qFormat/>
    <w:uiPriority w:val="0"/>
    <w:rPr>
      <w:rFonts w:hint="eastAsia" w:ascii="黑体" w:hAnsi="宋体" w:eastAsia="黑体" w:cs="黑体"/>
      <w:color w:val="000000"/>
      <w:sz w:val="24"/>
      <w:szCs w:val="24"/>
      <w:u w:val="none"/>
    </w:rPr>
  </w:style>
  <w:style w:type="character" w:customStyle="1" w:styleId="25">
    <w:name w:val="font8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12330</Characters>
  <Lines>0</Lines>
  <Paragraphs>0</Paragraphs>
  <TotalTime>458</TotalTime>
  <ScaleCrop>false</ScaleCrop>
  <LinksUpToDate>false</LinksUpToDate>
  <CharactersWithSpaces>12631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9995656</dc:creator>
  <cp:lastModifiedBy>张鹏</cp:lastModifiedBy>
  <cp:lastPrinted>2020-07-30T00:17:00Z</cp:lastPrinted>
  <dcterms:modified xsi:type="dcterms:W3CDTF">2023-07-13T07:41:30Z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