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ind w:right="174" w:rightChars="83"/>
        <w:jc w:val="both"/>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附件1</w:t>
      </w:r>
    </w:p>
    <w:p>
      <w:pPr>
        <w:pStyle w:val="2"/>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钦北区2020年《政府工作报告》重点任务落实分工方案</w:t>
      </w:r>
    </w:p>
    <w:tbl>
      <w:tblPr>
        <w:tblStyle w:val="5"/>
        <w:tblW w:w="15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4"/>
        <w:gridCol w:w="1230"/>
        <w:gridCol w:w="8591"/>
        <w:gridCol w:w="2168"/>
        <w:gridCol w:w="22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jc w:val="center"/>
        </w:trPr>
        <w:tc>
          <w:tcPr>
            <w:tcW w:w="954"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项目</w:t>
            </w:r>
          </w:p>
        </w:tc>
        <w:tc>
          <w:tcPr>
            <w:tcW w:w="1230"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内容</w:t>
            </w:r>
          </w:p>
        </w:tc>
        <w:tc>
          <w:tcPr>
            <w:tcW w:w="8591"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主要任务</w:t>
            </w:r>
          </w:p>
        </w:tc>
        <w:tc>
          <w:tcPr>
            <w:tcW w:w="2168"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牵头单位</w:t>
            </w:r>
          </w:p>
        </w:tc>
        <w:tc>
          <w:tcPr>
            <w:tcW w:w="2279" w:type="dxa"/>
            <w:vAlign w:val="center"/>
          </w:tcPr>
          <w:p>
            <w:pPr>
              <w:spacing w:line="340" w:lineRule="exact"/>
              <w:jc w:val="center"/>
              <w:rPr>
                <w:rFonts w:hint="default" w:ascii="Times New Roman" w:hAnsi="Times New Roman" w:eastAsia="黑体" w:cs="Times New Roman"/>
                <w:sz w:val="28"/>
                <w:szCs w:val="28"/>
              </w:rPr>
            </w:pPr>
            <w:r>
              <w:rPr>
                <w:rFonts w:hint="default" w:ascii="Times New Roman" w:hAnsi="Times New Roman" w:eastAsia="黑体" w:cs="Times New Roman"/>
                <w:sz w:val="28"/>
                <w:szCs w:val="28"/>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sz w:val="28"/>
                <w:szCs w:val="28"/>
                <w:lang w:val="en-US" w:eastAsia="zh-CN"/>
              </w:rPr>
            </w:pPr>
            <w:r>
              <w:rPr>
                <w:rFonts w:hint="default" w:ascii="Times New Roman" w:hAnsi="Times New Roman" w:eastAsia="黑体" w:cs="Times New Roman"/>
                <w:bCs/>
                <w:sz w:val="28"/>
                <w:szCs w:val="28"/>
                <w:lang w:val="en-US" w:eastAsia="zh-CN"/>
              </w:rPr>
              <w:t>一、实施产业攻坚，全面推动工业发展</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一</w:t>
            </w:r>
            <w:r>
              <w:rPr>
                <w:rFonts w:hint="default" w:ascii="Times New Roman" w:hAnsi="Times New Roman" w:eastAsia="楷体_GB2312" w:cs="Times New Roman"/>
                <w:bCs/>
                <w:sz w:val="24"/>
                <w:szCs w:val="24"/>
              </w:rPr>
              <w:t>）培育工业发展新动能</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落实自治区“制造业发展攻坚突破年”、工业振兴攻坚战等部署要求，聚焦强龙头、补链条、聚集群，围绕重点产业重点项目谋划全局，大力发展医药健康、锰业新材料、新能源、新型建材、林木加工、食品和农产品加工等6个重点产业，形成我区特色优势产业集群。</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rPr>
            </w:pPr>
            <w:r>
              <w:rPr>
                <w:rFonts w:hint="default" w:ascii="Times New Roman" w:hAnsi="Times New Roman" w:eastAsia="仿宋_GB2312" w:cs="Times New Roman"/>
                <w:kern w:val="0"/>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2"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深入实施“双十双新”工程，打造一批重大产业项目，确保“双十”产业项目达到7个、“双新”产业项目达到8个。加大规模以上企业培育，新增金风科技、琦泉生物质发电等10家以上规模以上企业。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区工业和信息化局</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区发展改革局</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皇马工管委</w:t>
            </w:r>
          </w:p>
          <w:p>
            <w:pPr>
              <w:spacing w:line="340" w:lineRule="exact"/>
              <w:jc w:val="center"/>
              <w:rPr>
                <w:rFonts w:hint="default" w:ascii="Times New Roman" w:hAnsi="Times New Roman" w:eastAsia="仿宋_GB2312" w:cs="Times New Roman"/>
                <w:kern w:val="0"/>
                <w:sz w:val="24"/>
                <w:szCs w:val="24"/>
                <w:lang w:val="en-US" w:eastAsia="zh-CN"/>
              </w:rPr>
            </w:pPr>
            <w:r>
              <w:rPr>
                <w:rFonts w:hint="default" w:ascii="Times New Roman" w:hAnsi="Times New Roman" w:eastAsia="仿宋_GB2312" w:cs="Times New Roman"/>
                <w:kern w:val="0"/>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研究好中央、自治区的相关政策，深入开展扩大利用外资百日攻坚行动和“央企入钦”“民企入钦”“湾企入钦”行动，聚焦“三大三新”“四高四新”产业项目，围绕6个重点产业开展精准招商、以商招商活动，完善总部经济政策，引进更多新项目、好项目，吸引更多优质企业落户钦北，加大支持民营经济发展力度，把我区产业做大做强。</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区招商促进局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区工商联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w:t>
            </w:r>
            <w:r>
              <w:rPr>
                <w:rFonts w:hint="default" w:ascii="Times New Roman" w:hAnsi="Times New Roman" w:eastAsia="楷体_GB2312" w:cs="Times New Roman"/>
                <w:bCs/>
                <w:sz w:val="24"/>
                <w:szCs w:val="24"/>
                <w:lang w:val="en-US" w:eastAsia="zh-CN"/>
              </w:rPr>
              <w:t>二</w:t>
            </w:r>
            <w:r>
              <w:rPr>
                <w:rFonts w:hint="default" w:ascii="Times New Roman" w:hAnsi="Times New Roman" w:eastAsia="楷体_GB2312" w:cs="Times New Roman"/>
                <w:bCs/>
                <w:sz w:val="24"/>
                <w:szCs w:val="24"/>
              </w:rPr>
              <w:t>）抓项目稳投资促增长</w:t>
            </w: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落实县域经济发展三年行动计划，强化产业项目的支撑力度，集中力量攻坚一批市级以上重点项目，做大做强钦北区经济技术开发区，开工建设绿源木业、医药中间体、海龙饲料、亚克力板材等工业项目，竣工金风科技、肯泰医药、埃索凯新材料等工业项目，确保新开工项目18个以上，续建项目32个，竣工项目25个以上，为我区经济发展积累新动能。</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kern w:val="0"/>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kern w:val="0"/>
                <w:sz w:val="24"/>
                <w:szCs w:val="24"/>
                <w:lang w:eastAsia="zh-CN"/>
              </w:rPr>
            </w:pPr>
            <w:r>
              <w:rPr>
                <w:rFonts w:hint="default" w:ascii="Times New Roman" w:hAnsi="Times New Roman" w:eastAsia="仿宋_GB2312" w:cs="Times New Roman"/>
                <w:kern w:val="0"/>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8" w:hRule="atLeast"/>
          <w:jc w:val="center"/>
        </w:trPr>
        <w:tc>
          <w:tcPr>
            <w:tcW w:w="954" w:type="dxa"/>
            <w:vMerge w:val="continue"/>
            <w:vAlign w:val="center"/>
          </w:tcPr>
          <w:p>
            <w:pPr>
              <w:spacing w:line="340" w:lineRule="exact"/>
              <w:rPr>
                <w:rFonts w:hint="default" w:ascii="Times New Roman" w:hAnsi="Times New Roman" w:cs="Times New Roman"/>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科学编制好“十四五”规划纲要，及早谋划一批影响力大、带动力强的重大工程和项目。</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5" w:hRule="atLeast"/>
          <w:jc w:val="center"/>
        </w:trPr>
        <w:tc>
          <w:tcPr>
            <w:tcW w:w="954" w:type="dxa"/>
            <w:vMerge w:val="continue"/>
            <w:vAlign w:val="center"/>
          </w:tcPr>
          <w:p>
            <w:pPr>
              <w:spacing w:line="340" w:lineRule="exact"/>
              <w:rPr>
                <w:rFonts w:hint="default" w:ascii="Times New Roman" w:hAnsi="Times New Roman" w:cs="Times New Roman"/>
                <w:sz w:val="24"/>
                <w:szCs w:val="24"/>
              </w:rPr>
            </w:pPr>
          </w:p>
        </w:tc>
        <w:tc>
          <w:tcPr>
            <w:tcW w:w="1230" w:type="dxa"/>
            <w:vMerge w:val="continue"/>
            <w:vAlign w:val="center"/>
          </w:tcPr>
          <w:p>
            <w:pPr>
              <w:spacing w:line="340" w:lineRule="exact"/>
              <w:rPr>
                <w:rFonts w:hint="default" w:ascii="Times New Roman" w:hAnsi="Times New Roman" w:eastAsia="仿宋_GB2312" w:cs="Times New Roman"/>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做好那蒙新型建材产业园、锰业新材料产业园规划。加快推进</w:t>
            </w:r>
            <w:r>
              <w:rPr>
                <w:rFonts w:hint="default" w:ascii="Times New Roman" w:hAnsi="Times New Roman" w:eastAsia="仿宋_GB2312" w:cs="Times New Roman"/>
                <w:bCs/>
                <w:sz w:val="24"/>
                <w:szCs w:val="24"/>
                <w:lang w:eastAsia="zh-CN"/>
              </w:rPr>
              <w:t>钦北区经济技术开发区</w:t>
            </w:r>
            <w:r>
              <w:rPr>
                <w:rFonts w:hint="default" w:ascii="Times New Roman" w:hAnsi="Times New Roman" w:eastAsia="仿宋_GB2312" w:cs="Times New Roman"/>
                <w:bCs/>
                <w:sz w:val="24"/>
                <w:szCs w:val="24"/>
              </w:rPr>
              <w:t>综合配套、北部湾中医药健康产业园基础设施、园区污水管网等园区基础设施项目，让园区供水、电力、道路、污水处理等基础配套设施更加完善。</w:t>
            </w:r>
          </w:p>
        </w:tc>
        <w:tc>
          <w:tcPr>
            <w:tcW w:w="2168" w:type="dxa"/>
            <w:vAlign w:val="center"/>
          </w:tcPr>
          <w:p>
            <w:pPr>
              <w:spacing w:line="340" w:lineRule="exact"/>
              <w:jc w:val="center"/>
              <w:rPr>
                <w:rFonts w:hint="default" w:ascii="Times New Roman" w:hAnsi="Times New Roman" w:eastAsia="仿宋_GB2312" w:cs="Times New Roman"/>
                <w:sz w:val="24"/>
                <w:szCs w:val="24"/>
              </w:rPr>
            </w:pP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spacing w:line="340" w:lineRule="exact"/>
              <w:jc w:val="center"/>
              <w:rPr>
                <w:rFonts w:hint="default" w:ascii="Times New Roman" w:hAnsi="Times New Roman" w:eastAsia="仿宋_GB2312" w:cs="Times New Roman"/>
                <w:sz w:val="24"/>
                <w:szCs w:val="24"/>
              </w:rPr>
            </w:pP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kern w:val="0"/>
                <w:sz w:val="24"/>
                <w:szCs w:val="24"/>
              </w:rPr>
              <w:t>住房城乡建设局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954" w:type="dxa"/>
            <w:vMerge w:val="restart"/>
            <w:vAlign w:val="center"/>
          </w:tcPr>
          <w:p>
            <w:pPr>
              <w:spacing w:line="340" w:lineRule="exact"/>
              <w:rPr>
                <w:rFonts w:hint="default" w:ascii="Times New Roman" w:hAnsi="Times New Roman" w:eastAsia="黑体" w:cs="Times New Roman"/>
                <w:bCs/>
                <w:kern w:val="0"/>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（一）提升主城区管理水平</w:t>
            </w: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大力实施城市品质提升行动，配合推进东升街、钦州东站西侧1号路等道路建设，通畅主城区城市道路。</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sz w:val="24"/>
                <w:szCs w:val="24"/>
              </w:rPr>
            </w:pPr>
            <w:r>
              <w:rPr>
                <w:rFonts w:hint="default" w:ascii="Times New Roman" w:hAnsi="Times New Roman" w:eastAsia="仿宋_GB2312" w:cs="Times New Roman"/>
                <w:bCs/>
                <w:sz w:val="24"/>
                <w:szCs w:val="24"/>
              </w:rPr>
              <w:t>推进钦江北环大桥至永福大桥段“一江两岸”绿化亮化工程建设，推进上勒村、沙坪村及市行政信息中心周边城中村改造。</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钦北生态环境局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区水利局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对主城区6个农贸市场升级改造，全面整治农贸市场内环境“脏乱差”现象。</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5"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ind w:firstLine="480" w:firstLineChars="200"/>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整治车辆乱停、摊点乱摆、施工乱象、广告乱贴、垃圾乱丢等“五乱现象”，规范二手车市场、砂石场、机械租卖场、废旧回收摊点、石材钢材加工销售点“三场两点”，让城市更加靓丽、更有气质。</w:t>
            </w:r>
          </w:p>
        </w:tc>
        <w:tc>
          <w:tcPr>
            <w:tcW w:w="2168"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区住房城乡建设局</w:t>
            </w:r>
          </w:p>
        </w:tc>
        <w:tc>
          <w:tcPr>
            <w:tcW w:w="2279" w:type="dxa"/>
            <w:vAlign w:val="center"/>
          </w:tcPr>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区交通运输局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区市场监管局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区工业和信息化局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11"/>
                <w:sz w:val="24"/>
                <w:szCs w:val="24"/>
              </w:rPr>
              <w:t>（二）完善钦北新城配套设施</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运用城市经营理念，加快钦北新城开发，推进林湖美地、华发壹号、康桥1209三期等项目建设。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9" w:hRule="atLeast"/>
          <w:jc w:val="center"/>
        </w:trPr>
        <w:tc>
          <w:tcPr>
            <w:tcW w:w="954" w:type="dxa"/>
            <w:vMerge w:val="continue"/>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lang w:eastAsia="zh-CN"/>
              </w:rPr>
            </w:pPr>
            <w:r>
              <w:rPr>
                <w:rFonts w:hint="default" w:ascii="Times New Roman" w:hAnsi="Times New Roman" w:eastAsia="仿宋_GB2312" w:cs="Times New Roman"/>
                <w:bCs/>
                <w:sz w:val="24"/>
                <w:szCs w:val="24"/>
              </w:rPr>
              <w:t>完善新城基础设施，完成新城给水管网、污水管网工程，完善燃气管道建设。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8"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加强钦北新城市容管理，整治城市乱象，严控新增违法用地和违法建设，着力打造干净、整洁、有序、畅通的城市环境，彰显钦北区作为钦州“北大门”“北大厅”的良好形象。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both"/>
              <w:rPr>
                <w:rFonts w:hint="default" w:ascii="Times New Roman" w:hAnsi="Times New Roman" w:eastAsia="仿宋_GB2312" w:cs="Times New Roman"/>
                <w:spacing w:val="-17"/>
                <w:sz w:val="24"/>
                <w:szCs w:val="24"/>
                <w:lang w:val="en-US" w:eastAsia="zh-CN"/>
              </w:rPr>
            </w:pPr>
            <w:r>
              <w:rPr>
                <w:rFonts w:hint="default" w:ascii="Times New Roman" w:hAnsi="Times New Roman" w:eastAsia="仿宋_GB2312" w:cs="Times New Roman"/>
                <w:spacing w:val="-17"/>
                <w:sz w:val="24"/>
                <w:szCs w:val="24"/>
                <w:lang w:val="en-US" w:eastAsia="zh-CN"/>
              </w:rPr>
              <w:t>区城管综合执法大队</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长田</w:t>
            </w:r>
            <w:r>
              <w:rPr>
                <w:rFonts w:hint="default" w:ascii="Times New Roman" w:hAnsi="Times New Roman" w:eastAsia="仿宋_GB2312" w:cs="Times New Roman"/>
                <w:spacing w:val="-11"/>
                <w:sz w:val="24"/>
                <w:szCs w:val="24"/>
              </w:rPr>
              <w:t>街道办事处</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大垌</w:t>
            </w:r>
            <w:r>
              <w:rPr>
                <w:rFonts w:hint="default" w:ascii="Times New Roman" w:hAnsi="Times New Roman" w:eastAsia="仿宋_GB2312" w:cs="Times New Roman"/>
                <w:spacing w:val="-11"/>
                <w:sz w:val="24"/>
                <w:szCs w:val="24"/>
              </w:rPr>
              <w:t>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5" w:hRule="atLeast"/>
          <w:jc w:val="center"/>
        </w:trPr>
        <w:tc>
          <w:tcPr>
            <w:tcW w:w="954" w:type="dxa"/>
            <w:vMerge w:val="continue"/>
          </w:tcPr>
          <w:p>
            <w:pPr>
              <w:spacing w:line="340" w:lineRule="exact"/>
              <w:rPr>
                <w:rFonts w:hint="default" w:ascii="Times New Roman" w:hAnsi="Times New Roman" w:eastAsia="楷体_GB2312" w:cs="Times New Roman"/>
                <w:bCs/>
                <w:kern w:val="0"/>
                <w:sz w:val="28"/>
                <w:szCs w:val="28"/>
              </w:rPr>
            </w:pPr>
          </w:p>
        </w:tc>
        <w:tc>
          <w:tcPr>
            <w:tcW w:w="1230" w:type="dxa"/>
            <w:vAlign w:val="center"/>
          </w:tcPr>
          <w:p>
            <w:pPr>
              <w:numPr>
                <w:ilvl w:val="0"/>
                <w:numId w:val="1"/>
              </w:numPr>
              <w:spacing w:line="340" w:lineRule="exact"/>
              <w:jc w:val="both"/>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全力做好国土空间规划，优化镇村空间布局。</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numPr>
                <w:ilvl w:val="0"/>
                <w:numId w:val="0"/>
              </w:numPr>
              <w:spacing w:line="340" w:lineRule="exact"/>
              <w:rPr>
                <w:rFonts w:hint="default" w:ascii="Times New Roman" w:hAnsi="Times New Roman" w:eastAsia="楷体_GB2312" w:cs="Times New Roman"/>
                <w:bCs/>
                <w:sz w:val="28"/>
                <w:szCs w:val="28"/>
              </w:rPr>
            </w:pPr>
            <w:r>
              <w:rPr>
                <w:rFonts w:hint="default" w:ascii="Times New Roman" w:hAnsi="Times New Roman" w:eastAsia="黑体" w:cs="Times New Roman"/>
                <w:bCs/>
                <w:sz w:val="28"/>
                <w:szCs w:val="28"/>
                <w:lang w:eastAsia="zh-CN"/>
              </w:rPr>
              <w:t>二、</w:t>
            </w:r>
            <w:r>
              <w:rPr>
                <w:rFonts w:hint="default" w:ascii="Times New Roman" w:hAnsi="Times New Roman" w:eastAsia="黑体" w:cs="Times New Roman"/>
                <w:bCs/>
                <w:sz w:val="28"/>
                <w:szCs w:val="28"/>
              </w:rPr>
              <w:t>加强城镇管理，大力提</w:t>
            </w:r>
            <w:r>
              <w:rPr>
                <w:rFonts w:hint="default" w:ascii="Times New Roman" w:hAnsi="Times New Roman" w:eastAsia="黑体" w:cs="Times New Roman"/>
                <w:bCs/>
                <w:spacing w:val="0"/>
                <w:sz w:val="28"/>
                <w:szCs w:val="28"/>
              </w:rPr>
              <w:t>升城市品质</w:t>
            </w: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lang w:eastAsia="zh-CN"/>
              </w:rPr>
              <w:t>（三）</w:t>
            </w:r>
            <w:r>
              <w:rPr>
                <w:rFonts w:hint="default" w:ascii="Times New Roman" w:hAnsi="Times New Roman" w:eastAsia="楷体_GB2312" w:cs="Times New Roman"/>
                <w:bCs/>
                <w:sz w:val="24"/>
                <w:szCs w:val="24"/>
              </w:rPr>
              <w:t>加快城镇开发建设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加快推进大寺飞翔特色小镇建设，推进小董万象城、大寺朝晖商业街等城镇住宅小区开发，建设宜居宜商的城镇。</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住房城乡建设</w:t>
            </w:r>
            <w:r>
              <w:rPr>
                <w:rFonts w:hint="default" w:ascii="Times New Roman" w:hAnsi="Times New Roman" w:eastAsia="仿宋_GB2312" w:cs="Times New Roman"/>
                <w:sz w:val="24"/>
                <w:szCs w:val="24"/>
              </w:rPr>
              <w:t>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w:t>
            </w:r>
            <w:r>
              <w:rPr>
                <w:rFonts w:hint="default" w:ascii="Times New Roman" w:hAnsi="Times New Roman" w:eastAsia="仿宋_GB2312" w:cs="Times New Roman"/>
                <w:spacing w:val="-11"/>
                <w:sz w:val="24"/>
                <w:szCs w:val="24"/>
                <w:lang w:val="en-US" w:eastAsia="zh-CN"/>
              </w:rPr>
              <w:t>发展改革</w:t>
            </w:r>
            <w:r>
              <w:rPr>
                <w:rFonts w:hint="default" w:ascii="Times New Roman" w:hAnsi="Times New Roman" w:eastAsia="仿宋_GB2312" w:cs="Times New Roman"/>
                <w:spacing w:val="-11"/>
                <w:sz w:val="24"/>
                <w:szCs w:val="24"/>
              </w:rPr>
              <w:t>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rPr>
              <w:t>小董镇</w:t>
            </w:r>
            <w:r>
              <w:rPr>
                <w:rFonts w:hint="default" w:ascii="Times New Roman" w:hAnsi="Times New Roman" w:eastAsia="仿宋_GB2312" w:cs="Times New Roman"/>
                <w:spacing w:val="-11"/>
                <w:sz w:val="24"/>
                <w:szCs w:val="24"/>
                <w:lang w:val="en-US" w:eastAsia="zh-CN"/>
              </w:rPr>
              <w:t>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大寺镇</w:t>
            </w:r>
            <w:r>
              <w:rPr>
                <w:rFonts w:hint="default" w:ascii="Times New Roman" w:hAnsi="Times New Roman" w:eastAsia="仿宋_GB2312" w:cs="Times New Roman"/>
                <w:spacing w:val="-11"/>
                <w:sz w:val="24"/>
                <w:szCs w:val="24"/>
                <w:lang w:val="en-US" w:eastAsia="zh-CN"/>
              </w:rPr>
              <w:t>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加快做好皇马工业园区、北部湾林木产业园区及大垌、那蒙、小董等镇工业集中区的配套小区规划，不断提升群众居住环境。</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sz w:val="24"/>
                <w:szCs w:val="24"/>
              </w:rPr>
              <w:t>皇马工管委</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54" w:hRule="atLeast"/>
          <w:jc w:val="center"/>
        </w:trPr>
        <w:tc>
          <w:tcPr>
            <w:tcW w:w="954" w:type="dxa"/>
            <w:vMerge w:val="restart"/>
            <w:vAlign w:val="center"/>
          </w:tcPr>
          <w:p>
            <w:pPr>
              <w:spacing w:line="340" w:lineRule="exact"/>
              <w:rPr>
                <w:rFonts w:hint="default" w:ascii="Times New Roman" w:hAnsi="Times New Roman" w:eastAsia="黑体" w:cs="Times New Roman"/>
                <w:b w:val="0"/>
                <w:bCs/>
                <w:sz w:val="28"/>
                <w:szCs w:val="28"/>
              </w:rPr>
            </w:pPr>
            <w:r>
              <w:rPr>
                <w:rFonts w:hint="default" w:ascii="Times New Roman" w:hAnsi="Times New Roman" w:eastAsia="黑体" w:cs="Times New Roman"/>
                <w:bCs/>
                <w:sz w:val="28"/>
                <w:szCs w:val="28"/>
              </w:rPr>
              <w:t>三、坚持对外开放，加快推进商贸物流</w:t>
            </w:r>
          </w:p>
        </w:tc>
        <w:tc>
          <w:tcPr>
            <w:tcW w:w="1230" w:type="dxa"/>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（一）启动物流园区建设</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北部湾海铁联运皇马现代综合物流园详细规划，采用PPP模式推进物流园区及配套基础设施项目建设，着力打造集大宗商品物流、农产品物流、制造业和新型建材物流中心等于一体的大型现代物流园区，搭建布局合理、技术先进、便捷高效、绿色环保、安全有序的现代物流服务体系，推动现代物流发展。</w:t>
            </w:r>
          </w:p>
        </w:tc>
        <w:tc>
          <w:tcPr>
            <w:tcW w:w="2168" w:type="dxa"/>
            <w:vAlign w:val="center"/>
          </w:tcPr>
          <w:p>
            <w:pPr>
              <w:spacing w:line="340" w:lineRule="exact"/>
              <w:jc w:val="center"/>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皇马工管委</w:t>
            </w:r>
          </w:p>
        </w:tc>
        <w:tc>
          <w:tcPr>
            <w:tcW w:w="2279"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区招商促进局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15"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（二）加快旅游商贸发展</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以点带面，大力打造贵台至大寺乡村振兴生态康养旅游示范带，启动九溪禅心谷康养文化旅游开发项目，提档升级望海岭国际滑翔伞基地低空体验项目。</w:t>
            </w:r>
          </w:p>
        </w:tc>
        <w:tc>
          <w:tcPr>
            <w:tcW w:w="2168"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区</w:t>
            </w:r>
            <w:r>
              <w:rPr>
                <w:rFonts w:hint="default" w:ascii="Times New Roman" w:hAnsi="Times New Roman" w:eastAsia="仿宋_GB2312" w:cs="Times New Roman"/>
                <w:spacing w:val="-6"/>
                <w:sz w:val="24"/>
                <w:szCs w:val="24"/>
                <w:lang w:val="en-US" w:eastAsia="zh-CN"/>
              </w:rPr>
              <w:t>文化</w:t>
            </w:r>
            <w:r>
              <w:rPr>
                <w:rFonts w:hint="default" w:ascii="Times New Roman" w:hAnsi="Times New Roman" w:eastAsia="仿宋_GB2312" w:cs="Times New Roman"/>
                <w:spacing w:val="-6"/>
                <w:sz w:val="24"/>
                <w:szCs w:val="24"/>
              </w:rPr>
              <w:t>广电体育</w:t>
            </w:r>
          </w:p>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6"/>
                <w:sz w:val="24"/>
                <w:szCs w:val="24"/>
              </w:rPr>
              <w:t>旅游局</w:t>
            </w:r>
          </w:p>
          <w:p>
            <w:pPr>
              <w:spacing w:line="320" w:lineRule="exact"/>
              <w:jc w:val="center"/>
              <w:rPr>
                <w:rFonts w:hint="default" w:ascii="Times New Roman" w:hAnsi="Times New Roman" w:eastAsia="仿宋_GB2312" w:cs="Times New Roman"/>
                <w:spacing w:val="-6"/>
                <w:sz w:val="24"/>
                <w:szCs w:val="24"/>
                <w:lang w:val="en-US" w:eastAsia="zh-CN"/>
              </w:rPr>
            </w:pPr>
            <w:r>
              <w:rPr>
                <w:rFonts w:hint="default" w:ascii="Times New Roman" w:hAnsi="Times New Roman" w:eastAsia="仿宋_GB2312" w:cs="Times New Roman"/>
                <w:spacing w:val="-6"/>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2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发展以九佰垌农业公园、牧歌田园等为龙头的休闲农业观光，以娥眉湾生态园、翠湖田园等为龙头的山水健康养生观光，加快推进鹰山温泉旅游度假区等旅游项目建设。</w:t>
            </w:r>
          </w:p>
        </w:tc>
        <w:tc>
          <w:tcPr>
            <w:tcW w:w="2168" w:type="dxa"/>
            <w:vAlign w:val="center"/>
          </w:tcPr>
          <w:p>
            <w:pPr>
              <w:spacing w:line="320" w:lineRule="exact"/>
              <w:jc w:val="center"/>
              <w:rPr>
                <w:rFonts w:hint="default" w:ascii="Times New Roman" w:hAnsi="Times New Roman" w:eastAsia="仿宋_GB2312" w:cs="Times New Roman"/>
                <w:color w:val="auto"/>
                <w:spacing w:val="-6"/>
                <w:sz w:val="24"/>
                <w:szCs w:val="24"/>
                <w:highlight w:val="none"/>
              </w:rPr>
            </w:pPr>
            <w:r>
              <w:rPr>
                <w:rFonts w:hint="default" w:ascii="Times New Roman" w:hAnsi="Times New Roman" w:eastAsia="仿宋_GB2312" w:cs="Times New Roman"/>
                <w:color w:val="auto"/>
                <w:spacing w:val="-6"/>
                <w:sz w:val="24"/>
                <w:szCs w:val="24"/>
                <w:highlight w:val="none"/>
              </w:rPr>
              <w:t>区</w:t>
            </w:r>
            <w:r>
              <w:rPr>
                <w:rFonts w:hint="default" w:ascii="Times New Roman" w:hAnsi="Times New Roman" w:eastAsia="仿宋_GB2312" w:cs="Times New Roman"/>
                <w:color w:val="auto"/>
                <w:spacing w:val="-6"/>
                <w:sz w:val="24"/>
                <w:szCs w:val="24"/>
                <w:highlight w:val="none"/>
                <w:lang w:val="en-US" w:eastAsia="zh-CN"/>
              </w:rPr>
              <w:t>文化</w:t>
            </w:r>
            <w:r>
              <w:rPr>
                <w:rFonts w:hint="default" w:ascii="Times New Roman" w:hAnsi="Times New Roman" w:eastAsia="仿宋_GB2312" w:cs="Times New Roman"/>
                <w:color w:val="auto"/>
                <w:spacing w:val="-6"/>
                <w:sz w:val="24"/>
                <w:szCs w:val="24"/>
                <w:highlight w:val="none"/>
              </w:rPr>
              <w:t>广电体育</w:t>
            </w:r>
          </w:p>
          <w:p>
            <w:pPr>
              <w:spacing w:line="320" w:lineRule="exact"/>
              <w:jc w:val="center"/>
              <w:rPr>
                <w:rFonts w:hint="default" w:ascii="Times New Roman" w:hAnsi="Times New Roman" w:eastAsia="仿宋_GB2312" w:cs="Times New Roman"/>
                <w:color w:val="auto"/>
                <w:spacing w:val="-11"/>
                <w:sz w:val="24"/>
                <w:szCs w:val="24"/>
                <w:highlight w:val="none"/>
              </w:rPr>
            </w:pPr>
            <w:r>
              <w:rPr>
                <w:rFonts w:hint="default" w:ascii="Times New Roman" w:hAnsi="Times New Roman" w:eastAsia="仿宋_GB2312" w:cs="Times New Roman"/>
                <w:color w:val="auto"/>
                <w:spacing w:val="-6"/>
                <w:sz w:val="24"/>
                <w:szCs w:val="24"/>
                <w:highlight w:val="none"/>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color w:val="auto"/>
                <w:spacing w:val="-11"/>
                <w:sz w:val="24"/>
                <w:szCs w:val="24"/>
                <w:highlight w:val="none"/>
              </w:rPr>
              <w:t>区农业农村局</w:t>
            </w:r>
          </w:p>
        </w:tc>
        <w:tc>
          <w:tcPr>
            <w:tcW w:w="2279" w:type="dxa"/>
            <w:vAlign w:val="center"/>
          </w:tcPr>
          <w:p>
            <w:pPr>
              <w:spacing w:line="320" w:lineRule="exact"/>
              <w:jc w:val="center"/>
              <w:rPr>
                <w:rFonts w:hint="default" w:ascii="Times New Roman" w:hAnsi="Times New Roman" w:eastAsia="仿宋_GB2312" w:cs="Times New Roman"/>
                <w:spacing w:val="-6"/>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2"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举办“爱我钦北”系列活动，充分利用节假日举办美食节、汽车展等营销活动，活跃城乡市场促进消费稳增长。</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区文化广电体育</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旅游局</w:t>
            </w:r>
          </w:p>
          <w:p>
            <w:pPr>
              <w:spacing w:line="340" w:lineRule="exact"/>
              <w:jc w:val="center"/>
              <w:rPr>
                <w:rFonts w:hint="default" w:ascii="Times New Roman" w:hAnsi="Times New Roman" w:cs="Times New Roman"/>
              </w:rPr>
            </w:pPr>
            <w:r>
              <w:rPr>
                <w:rFonts w:hint="default" w:ascii="Times New Roman" w:hAnsi="Times New Roman" w:eastAsia="仿宋_GB2312" w:cs="Times New Roman"/>
                <w:spacing w:val="-11"/>
                <w:sz w:val="24"/>
                <w:szCs w:val="24"/>
              </w:rPr>
              <w:t>区发展改革局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954" w:type="dxa"/>
            <w:vMerge w:val="continue"/>
            <w:vAlign w:val="center"/>
          </w:tcPr>
          <w:p>
            <w:pPr>
              <w:spacing w:line="340" w:lineRule="exact"/>
              <w:rPr>
                <w:rFonts w:hint="default" w:ascii="Times New Roman" w:hAnsi="Times New Roman" w:eastAsia="黑体" w:cs="Times New Roman"/>
                <w:b w:val="0"/>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拓宽农产品品牌营销渠道，积极打造农村电商产业，完善“新村淘”电商销售平台，带动农民增收。</w:t>
            </w:r>
          </w:p>
        </w:tc>
        <w:tc>
          <w:tcPr>
            <w:tcW w:w="2168" w:type="dxa"/>
            <w:vAlign w:val="center"/>
          </w:tcPr>
          <w:p>
            <w:pPr>
              <w:spacing w:line="340" w:lineRule="exact"/>
              <w:jc w:val="center"/>
              <w:rPr>
                <w:rFonts w:hint="default" w:ascii="Times New Roman" w:hAnsi="Times New Roman" w:eastAsia="仿宋_GB2312" w:cs="Times New Roman"/>
                <w:sz w:val="24"/>
                <w:szCs w:val="24"/>
                <w:highlight w:val="none"/>
              </w:rPr>
            </w:pPr>
            <w:r>
              <w:rPr>
                <w:rFonts w:hint="default" w:ascii="Times New Roman" w:hAnsi="Times New Roman" w:eastAsia="仿宋_GB2312" w:cs="Times New Roman"/>
                <w:sz w:val="24"/>
                <w:szCs w:val="24"/>
                <w:highlight w:val="none"/>
              </w:rPr>
              <w:t>区农业农村局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highlight w:val="none"/>
              </w:rPr>
              <w:t>区发展改革局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lang w:val="en-US" w:eastAsia="zh-CN"/>
              </w:rPr>
            </w:pPr>
            <w:r>
              <w:rPr>
                <w:rFonts w:hint="default" w:ascii="Times New Roman" w:hAnsi="Times New Roman" w:eastAsia="黑体" w:cs="Times New Roman"/>
                <w:bCs/>
                <w:sz w:val="28"/>
                <w:szCs w:val="28"/>
              </w:rPr>
              <w:t>三、坚持对外开放，加快推进商贸物流</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（三）激发市场主体活力</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推进皇马资产集团公司改革，加快转型升级，强化资产盘活处置，提升造血功能。</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区财政局（国资办）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皇马工管委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推行“一窗受理、集成服务”，实行“前台综合受理、后台分类审批、综合窗口出件”服务模式，全面建成政务服务“一张网”。</w:t>
            </w:r>
          </w:p>
        </w:tc>
        <w:tc>
          <w:tcPr>
            <w:tcW w:w="2168" w:type="dxa"/>
            <w:vAlign w:val="center"/>
          </w:tcPr>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区政务服务监管局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推行“不见面”审批，线上业务“网上办”，清理、精简涉及民间投资管理的行政审批事项和涉企收费，着力解决企业融资难</w:t>
            </w:r>
            <w:r>
              <w:rPr>
                <w:rFonts w:hint="default" w:ascii="Times New Roman" w:hAnsi="Times New Roman" w:eastAsia="仿宋_GB2312" w:cs="Times New Roman"/>
                <w:bCs/>
                <w:sz w:val="24"/>
                <w:szCs w:val="24"/>
                <w:lang w:eastAsia="zh-CN"/>
              </w:rPr>
              <w:t>、</w:t>
            </w:r>
            <w:r>
              <w:rPr>
                <w:rFonts w:hint="default" w:ascii="Times New Roman" w:hAnsi="Times New Roman" w:eastAsia="仿宋_GB2312" w:cs="Times New Roman"/>
                <w:bCs/>
                <w:sz w:val="24"/>
                <w:szCs w:val="24"/>
              </w:rPr>
              <w:t>融资贵问题。</w:t>
            </w:r>
          </w:p>
        </w:tc>
        <w:tc>
          <w:tcPr>
            <w:tcW w:w="2168" w:type="dxa"/>
            <w:vAlign w:val="center"/>
          </w:tcPr>
          <w:p>
            <w:pPr>
              <w:spacing w:line="32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区政务服务监管局</w:t>
            </w:r>
          </w:p>
          <w:p>
            <w:pPr>
              <w:spacing w:line="32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区发展改革局</w:t>
            </w:r>
          </w:p>
          <w:p>
            <w:pPr>
              <w:spacing w:line="32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区财政局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5" w:hRule="atLeast"/>
          <w:jc w:val="center"/>
        </w:trPr>
        <w:tc>
          <w:tcPr>
            <w:tcW w:w="954" w:type="dxa"/>
            <w:vMerge w:val="continue"/>
            <w:vAlign w:val="center"/>
          </w:tcPr>
          <w:p>
            <w:pPr>
              <w:numPr>
                <w:ilvl w:val="0"/>
                <w:numId w:val="0"/>
              </w:numPr>
              <w:spacing w:line="340" w:lineRule="exact"/>
              <w:jc w:val="both"/>
              <w:rPr>
                <w:rFonts w:hint="default" w:ascii="Times New Roman" w:hAnsi="Times New Roman" w:eastAsia="楷体_GB2312" w:cs="Times New Roman"/>
                <w:bCs/>
                <w:sz w:val="28"/>
                <w:szCs w:val="28"/>
                <w:lang w:val="en-US" w:eastAsia="zh-CN"/>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进一步降低企业税费负担，积极落实好增值税、所得税等各项减税降费政策，降低企业用电用气用水价格。</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区财政局</w:t>
            </w:r>
          </w:p>
          <w:p>
            <w:pPr>
              <w:spacing w:line="340" w:lineRule="exact"/>
              <w:jc w:val="center"/>
              <w:rPr>
                <w:rFonts w:hint="default" w:ascii="Times New Roman" w:hAnsi="Times New Roman" w:cs="Times New Roman" w:eastAsiaTheme="minorEastAsia"/>
                <w:kern w:val="2"/>
                <w:sz w:val="21"/>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区发展改革局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jc w:val="center"/>
        </w:trPr>
        <w:tc>
          <w:tcPr>
            <w:tcW w:w="954" w:type="dxa"/>
            <w:vMerge w:val="restart"/>
            <w:vAlign w:val="center"/>
          </w:tcPr>
          <w:p>
            <w:pPr>
              <w:numPr>
                <w:ilvl w:val="0"/>
                <w:numId w:val="0"/>
              </w:numPr>
              <w:spacing w:line="340" w:lineRule="exact"/>
              <w:jc w:val="both"/>
              <w:rPr>
                <w:rFonts w:hint="default" w:ascii="Times New Roman" w:hAnsi="Times New Roman" w:eastAsia="黑体" w:cs="Times New Roman"/>
                <w:b w:val="0"/>
                <w:bCs/>
                <w:sz w:val="28"/>
                <w:szCs w:val="28"/>
              </w:rPr>
            </w:pPr>
          </w:p>
          <w:p>
            <w:pPr>
              <w:numPr>
                <w:ilvl w:val="0"/>
                <w:numId w:val="0"/>
              </w:numPr>
              <w:spacing w:line="340" w:lineRule="exact"/>
              <w:jc w:val="both"/>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Cs/>
                <w:sz w:val="28"/>
                <w:szCs w:val="28"/>
              </w:rPr>
              <w:t>施乡村振兴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（一）坚决打赢脱贫攻坚战</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完成2039贫困人口脱贫，板城镇那芳村、青塘镇那路村2个贫困村出列。</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解决“两不愁三保障”突出问题，全力打好产业扶贫、村集体经济发展、基础设施建设“三场硬仗”，深入推进发展壮大村集体经济三年行动计划，大力扶持发展区级“5+2”、村级“3+1”特色产业，确保村集体经济年收入全部达到5万元以上。</w:t>
            </w:r>
          </w:p>
        </w:tc>
        <w:tc>
          <w:tcPr>
            <w:tcW w:w="2168" w:type="dxa"/>
            <w:vAlign w:val="center"/>
          </w:tcPr>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区农业农村局</w:t>
            </w:r>
          </w:p>
          <w:p>
            <w:pPr>
              <w:shd w:val="clea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区扶贫办</w:t>
            </w:r>
          </w:p>
          <w:p>
            <w:pPr>
              <w:shd w:val="clear"/>
              <w:spacing w:line="340" w:lineRule="exact"/>
              <w:jc w:val="center"/>
              <w:rPr>
                <w:rFonts w:hint="default" w:ascii="Times New Roman" w:hAnsi="Times New Roman" w:eastAsia="仿宋_GB2312" w:cs="Times New Roman"/>
                <w:lang w:val="en-US" w:eastAsia="zh-CN"/>
              </w:rPr>
            </w:pPr>
            <w:r>
              <w:rPr>
                <w:rFonts w:hint="default" w:ascii="Times New Roman" w:hAnsi="Times New Roman" w:eastAsia="仿宋_GB2312" w:cs="Times New Roman"/>
                <w:sz w:val="24"/>
                <w:szCs w:val="24"/>
                <w:highlight w:val="none"/>
                <w:lang w:val="en-US" w:eastAsia="zh-CN"/>
              </w:rPr>
              <w:t>区委组织部</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完善城镇基础设施，开工建设板城、新棠污水处理厂，提升城镇品质。</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皇马资产集团公司</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2"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实现建档立卡贫困人口城乡居民基本医疗保险参保率、住房保障率100%。</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区税务局</w:t>
            </w:r>
          </w:p>
          <w:p>
            <w:pPr>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建立贫困监测预警和巡诊机制，开展脱贫人口的“回头看”，对有致贫风险的低收入边缘户和有返贫风险的脱贫户纳入动态监测范围，稳定扶贫政策，严格执行落实“四不摘”要求，巩固脱贫成效。</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区扶贫办</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 w:val="0"/>
                <w:bCs/>
                <w:sz w:val="28"/>
                <w:szCs w:val="28"/>
                <w:lang w:val="en-US" w:eastAsia="zh-CN"/>
              </w:rPr>
              <w:t>四、</w:t>
            </w:r>
            <w:r>
              <w:rPr>
                <w:rFonts w:hint="default" w:ascii="Times New Roman" w:hAnsi="Times New Roman" w:eastAsia="黑体" w:cs="Times New Roman"/>
                <w:b w:val="0"/>
                <w:bCs/>
                <w:sz w:val="28"/>
                <w:szCs w:val="28"/>
              </w:rPr>
              <w:t>决战决胜脱贫攻坚，深入实</w:t>
            </w:r>
            <w:r>
              <w:rPr>
                <w:rFonts w:hint="default" w:ascii="Times New Roman" w:hAnsi="Times New Roman" w:eastAsia="黑体" w:cs="Times New Roman"/>
                <w:b w:val="0"/>
                <w:bCs/>
                <w:spacing w:val="-17"/>
                <w:sz w:val="28"/>
                <w:szCs w:val="28"/>
              </w:rPr>
              <w:t>施</w:t>
            </w:r>
            <w:r>
              <w:rPr>
                <w:rFonts w:hint="default" w:ascii="Times New Roman" w:hAnsi="Times New Roman" w:eastAsia="黑体" w:cs="Times New Roman"/>
                <w:bCs/>
                <w:sz w:val="28"/>
                <w:szCs w:val="28"/>
              </w:rPr>
              <w:t>乡村振兴</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（二）培育发展特色农业产业</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深化“龙头企业+基地+产品”发展模式，扩大富硒米、荔枝、火龙果等特色产业规模，加强农产品品牌建设，抓好“三品一标”产品认证。</w:t>
            </w:r>
          </w:p>
        </w:tc>
        <w:tc>
          <w:tcPr>
            <w:tcW w:w="2168" w:type="dxa"/>
            <w:vMerge w:val="restart"/>
            <w:vAlign w:val="center"/>
          </w:tcPr>
          <w:p>
            <w:pPr>
              <w:jc w:val="center"/>
              <w:rPr>
                <w:rFonts w:hint="default" w:ascii="Times New Roman" w:hAnsi="Times New Roman" w:eastAsia="仿宋_GB2312" w:cs="Times New Roman"/>
                <w:kern w:val="2"/>
                <w:sz w:val="21"/>
                <w:szCs w:val="24"/>
                <w:lang w:val="en-US" w:eastAsia="zh-CN" w:bidi="ar-SA"/>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restart"/>
            <w:vAlign w:val="center"/>
          </w:tcPr>
          <w:p>
            <w:pPr>
              <w:jc w:val="center"/>
              <w:rPr>
                <w:rFonts w:hint="default" w:ascii="Times New Roman" w:hAnsi="Times New Roman" w:eastAsia="仿宋_GB2312" w:cs="Times New Roman"/>
                <w:spacing w:val="-11"/>
                <w:sz w:val="24"/>
                <w:szCs w:val="24"/>
                <w:highlight w:val="none"/>
                <w:lang w:val="en-US" w:eastAsia="zh-CN"/>
              </w:rPr>
            </w:pPr>
            <w:r>
              <w:rPr>
                <w:rFonts w:hint="default" w:ascii="Times New Roman" w:hAnsi="Times New Roman" w:eastAsia="仿宋_GB2312" w:cs="Times New Roman"/>
                <w:spacing w:val="-11"/>
                <w:sz w:val="24"/>
                <w:szCs w:val="24"/>
                <w:highlight w:val="none"/>
                <w:lang w:val="en-US" w:eastAsia="zh-CN"/>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highlight w:val="none"/>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加快推进那蒙特色苗木产业示范区、众森东方中草药种植示范区建设。</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年内创建</w:t>
            </w:r>
            <w:r>
              <w:rPr>
                <w:rFonts w:hint="default" w:ascii="Times New Roman" w:hAnsi="Times New Roman" w:eastAsia="仿宋_GB2312" w:cs="Times New Roman"/>
                <w:bCs/>
                <w:color w:val="auto"/>
                <w:sz w:val="24"/>
                <w:szCs w:val="24"/>
                <w:highlight w:val="none"/>
              </w:rPr>
              <w:t>县级示范区2个</w:t>
            </w:r>
            <w:r>
              <w:rPr>
                <w:rFonts w:hint="default" w:ascii="Times New Roman" w:hAnsi="Times New Roman" w:eastAsia="仿宋_GB2312" w:cs="Times New Roman"/>
                <w:bCs/>
                <w:sz w:val="24"/>
                <w:szCs w:val="24"/>
              </w:rPr>
              <w:t>、乡级示范园9个、村级示范点60个。</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lang w:val="en-US" w:eastAsia="zh-CN"/>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注重培育农业新型经营主体队伍，</w:t>
            </w:r>
            <w:r>
              <w:rPr>
                <w:rFonts w:hint="default" w:ascii="Times New Roman" w:hAnsi="Times New Roman" w:eastAsia="仿宋_GB2312" w:cs="Times New Roman"/>
                <w:bCs/>
                <w:sz w:val="24"/>
                <w:szCs w:val="24"/>
                <w:highlight w:val="none"/>
              </w:rPr>
              <w:t>实施高素质农民培育</w:t>
            </w:r>
            <w:r>
              <w:rPr>
                <w:rFonts w:hint="default" w:ascii="Times New Roman" w:hAnsi="Times New Roman" w:eastAsia="仿宋_GB2312" w:cs="Times New Roman"/>
                <w:bCs/>
                <w:sz w:val="24"/>
                <w:szCs w:val="24"/>
              </w:rPr>
              <w:t>、跟踪服务素质提升培训500人以上，发展农民专业合作社10个、家庭农场5个以上。</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区农业农村局</w:t>
            </w:r>
          </w:p>
        </w:tc>
        <w:tc>
          <w:tcPr>
            <w:tcW w:w="2279" w:type="dxa"/>
            <w:vAlign w:val="center"/>
          </w:tcPr>
          <w:p>
            <w:pPr>
              <w:spacing w:line="340" w:lineRule="exact"/>
              <w:jc w:val="center"/>
              <w:rPr>
                <w:rFonts w:hint="default" w:ascii="Times New Roman" w:hAnsi="Times New Roman" w:eastAsia="仿宋_GB2312" w:cs="Times New Roman"/>
                <w:spacing w:val="-17"/>
                <w:sz w:val="24"/>
                <w:szCs w:val="24"/>
              </w:rPr>
            </w:pPr>
            <w:r>
              <w:rPr>
                <w:rFonts w:hint="default" w:ascii="Times New Roman" w:hAnsi="Times New Roman" w:eastAsia="仿宋_GB2312" w:cs="Times New Roman"/>
                <w:spacing w:val="-17"/>
                <w:sz w:val="24"/>
                <w:szCs w:val="24"/>
                <w:lang w:eastAsia="zh-CN"/>
              </w:rPr>
              <w:t>区</w:t>
            </w:r>
            <w:r>
              <w:rPr>
                <w:rFonts w:hint="default" w:ascii="Times New Roman" w:hAnsi="Times New Roman" w:eastAsia="仿宋_GB2312" w:cs="Times New Roman"/>
                <w:spacing w:val="-17"/>
                <w:sz w:val="24"/>
                <w:szCs w:val="24"/>
              </w:rPr>
              <w:t>人力资源社会保障局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区扶贫办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lang w:eastAsia="zh-CN"/>
              </w:rPr>
              <w:t>（</w:t>
            </w:r>
            <w:r>
              <w:rPr>
                <w:rFonts w:hint="default" w:ascii="Times New Roman" w:hAnsi="Times New Roman" w:eastAsia="楷体_GB2312" w:cs="Times New Roman"/>
                <w:bCs/>
                <w:sz w:val="24"/>
                <w:szCs w:val="24"/>
              </w:rPr>
              <w:t>三）强化农村环境整治</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深入开展农村人居环境整治行动、“三清三拆”乡村风貌提升行动，持续推进“美丽钦北”乡村建设，开展美丽村屯示范点创建。</w:t>
            </w:r>
          </w:p>
        </w:tc>
        <w:tc>
          <w:tcPr>
            <w:tcW w:w="2168"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区农业农村局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区乡村办</w:t>
            </w:r>
          </w:p>
          <w:p>
            <w:pPr>
              <w:spacing w:line="340" w:lineRule="exact"/>
              <w:jc w:val="center"/>
              <w:rPr>
                <w:rFonts w:hint="default" w:ascii="Times New Roman" w:hAnsi="Times New Roman" w:eastAsia="仿宋_GB2312" w:cs="Times New Roman"/>
                <w:sz w:val="24"/>
                <w:szCs w:val="24"/>
                <w:lang w:val="en-US" w:eastAsia="zh-CN"/>
              </w:rPr>
            </w:pP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区委组织部</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区自然资源局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区发展改革局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区财政局</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区文化广电体育</w:t>
            </w:r>
          </w:p>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旅游局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lang w:val="en-US" w:eastAsia="zh-CN"/>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重点推进自然村屯生活污水、垃圾处理等人居环境整治，构建村镇区垃圾清运体系。</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区住房城乡建设局</w:t>
            </w: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区农业农村局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推进农村“厕所</w:t>
            </w:r>
            <w:r>
              <w:rPr>
                <w:rFonts w:hint="default" w:ascii="Times New Roman" w:hAnsi="Times New Roman" w:eastAsia="仿宋_GB2312" w:cs="Times New Roman"/>
                <w:bCs/>
                <w:sz w:val="24"/>
                <w:szCs w:val="24"/>
                <w:highlight w:val="none"/>
                <w:shd w:val="clear"/>
              </w:rPr>
              <w:t>革命”，完成农村家庭改厕200座。</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区乡村办</w:t>
            </w:r>
          </w:p>
        </w:tc>
        <w:tc>
          <w:tcPr>
            <w:tcW w:w="2279" w:type="dxa"/>
            <w:vAlign w:val="center"/>
          </w:tcPr>
          <w:p>
            <w:pPr>
              <w:spacing w:line="340" w:lineRule="exact"/>
              <w:jc w:val="center"/>
              <w:rPr>
                <w:rFonts w:hint="default" w:ascii="Times New Roman" w:hAnsi="Times New Roman" w:eastAsia="仿宋_GB2312" w:cs="Times New Roman"/>
                <w:spacing w:val="-11"/>
                <w:sz w:val="24"/>
                <w:szCs w:val="24"/>
                <w:lang w:val="en-US" w:eastAsia="zh-CN"/>
              </w:rPr>
            </w:pPr>
            <w:r>
              <w:rPr>
                <w:rFonts w:hint="default" w:ascii="Times New Roman" w:hAnsi="Times New Roman" w:eastAsia="仿宋_GB2312" w:cs="Times New Roman"/>
                <w:spacing w:val="-11"/>
                <w:sz w:val="24"/>
                <w:szCs w:val="24"/>
                <w:lang w:val="en-US" w:eastAsia="zh-CN"/>
              </w:rPr>
              <w:t>区住房城乡建设局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区卫生健康局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kern w:val="0"/>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推进畜禽养殖废弃物资源化利用，完善规模畜禽养殖设施设备。</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区农业农村局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钦北生态环境局</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2"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w:t>
            </w:r>
            <w:r>
              <w:rPr>
                <w:rFonts w:hint="default" w:ascii="Times New Roman" w:hAnsi="Times New Roman" w:eastAsia="黑体" w:cs="Times New Roman"/>
                <w:b w:val="0"/>
                <w:bCs/>
                <w:spacing w:val="0"/>
                <w:sz w:val="28"/>
                <w:szCs w:val="28"/>
              </w:rPr>
              <w:t>事业蓬勃发展</w:t>
            </w:r>
          </w:p>
        </w:tc>
        <w:tc>
          <w:tcPr>
            <w:tcW w:w="1230" w:type="dxa"/>
            <w:vMerge w:val="restart"/>
            <w:vAlign w:val="center"/>
          </w:tcPr>
          <w:p>
            <w:pPr>
              <w:spacing w:line="340" w:lineRule="exact"/>
              <w:rPr>
                <w:rFonts w:hint="default" w:ascii="Times New Roman" w:hAnsi="Times New Roman" w:eastAsia="楷体_GB2312" w:cs="Times New Roman"/>
                <w:bCs/>
                <w:kern w:val="0"/>
                <w:sz w:val="24"/>
                <w:szCs w:val="24"/>
              </w:rPr>
            </w:pPr>
            <w:r>
              <w:rPr>
                <w:rFonts w:hint="default" w:ascii="Times New Roman" w:hAnsi="Times New Roman" w:eastAsia="楷体_GB2312" w:cs="Times New Roman"/>
                <w:bCs/>
                <w:sz w:val="24"/>
                <w:szCs w:val="24"/>
              </w:rPr>
              <w:t>（一）办好优质公平教育</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推进义务教育基本均衡发展，确保顺利通过国家评估认定。</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逐步破解“择校热”、努力消除“大班额”，不断缩小城乡、区域、校际间差距。</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各镇人民政府</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（街道办事处）</w:t>
            </w:r>
          </w:p>
          <w:p>
            <w:pPr>
              <w:spacing w:line="340" w:lineRule="exact"/>
              <w:jc w:val="center"/>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力争建成市第四十三小学，加快推进市第八幼儿园、第十幼儿园、小董中学迁建项目建设，启动东升学校二期建设，续建市第十六中学，改扩建市第八小学、市第三十九小学，全区义务教育巩固率达到95%以上。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区审计局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加快推进普及高中阶段教育，确保全区高中阶段教育毛入学率达到90%以上，普</w:t>
            </w:r>
            <w:r>
              <w:rPr>
                <w:rFonts w:hint="default" w:ascii="Times New Roman" w:hAnsi="Times New Roman" w:eastAsia="仿宋_GB2312" w:cs="Times New Roman"/>
                <w:bCs/>
                <w:sz w:val="24"/>
                <w:szCs w:val="24"/>
                <w:lang w:eastAsia="zh-CN"/>
              </w:rPr>
              <w:t>及</w:t>
            </w:r>
            <w:r>
              <w:rPr>
                <w:rFonts w:hint="default" w:ascii="Times New Roman" w:hAnsi="Times New Roman" w:eastAsia="仿宋_GB2312" w:cs="Times New Roman"/>
                <w:bCs/>
                <w:sz w:val="24"/>
                <w:szCs w:val="24"/>
              </w:rPr>
              <w:t>比达到自治区平均水平。</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highlight w:val="none"/>
                <w:lang w:val="en-US" w:eastAsia="zh-CN"/>
              </w:rPr>
              <w:t>区直各有关部门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kern w:val="0"/>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实施学前教育行动计划，推动小区配套幼儿园、普惠性公益幼儿园建设，积极创建学前教育示范区，普惠幼儿园覆盖率达到80%。</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各镇人民政府</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pacing w:val="-11"/>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推进医疗卫生项目建设，新建区人民医院传染病住院楼、区中医医院门诊综合楼、医技楼业务用房。</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推进“三医联动”改革，加强医疗联合体规划建设，持续深化公立医院改革。</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区发展改革局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区市场监管局</w:t>
            </w:r>
          </w:p>
          <w:p>
            <w:pPr>
              <w:spacing w:line="340" w:lineRule="exact"/>
              <w:jc w:val="center"/>
              <w:rPr>
                <w:rFonts w:hint="default" w:ascii="Times New Roman" w:hAnsi="Times New Roman" w:eastAsia="仿宋_GB2312" w:cs="Times New Roman"/>
                <w:color w:val="auto"/>
                <w:sz w:val="24"/>
                <w:szCs w:val="24"/>
                <w:highlight w:val="none"/>
                <w:lang w:val="en-US" w:eastAsia="zh-CN"/>
              </w:rPr>
            </w:pPr>
            <w:r>
              <w:rPr>
                <w:rFonts w:hint="default" w:ascii="Times New Roman" w:hAnsi="Times New Roman" w:eastAsia="仿宋_GB2312" w:cs="Times New Roman"/>
                <w:color w:val="auto"/>
                <w:sz w:val="24"/>
                <w:szCs w:val="24"/>
                <w:highlight w:val="none"/>
                <w:lang w:val="en-US" w:eastAsia="zh-CN"/>
              </w:rPr>
              <w:t>区医保局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实施常规管理与宣传教育相结合，加强艾滋病、结核病防治，巩固国家慢性病综合防控示范区建设。</w:t>
            </w:r>
          </w:p>
        </w:tc>
        <w:tc>
          <w:tcPr>
            <w:tcW w:w="2168" w:type="dxa"/>
            <w:vMerge w:val="restart"/>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区卫生健康局</w:t>
            </w:r>
          </w:p>
        </w:tc>
        <w:tc>
          <w:tcPr>
            <w:tcW w:w="2279" w:type="dxa"/>
            <w:vMerge w:val="restart"/>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规范家庭医生签约服务，逐步提高居民家庭医生服务水平。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954" w:type="dxa"/>
            <w:vMerge w:val="continue"/>
            <w:vAlign w:val="center"/>
          </w:tcPr>
          <w:p>
            <w:pPr>
              <w:adjustRightInd w:val="0"/>
              <w:snapToGrid w:val="0"/>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jc w:val="left"/>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加强中医药文化建设，提升医疗机构中医药服务能力水平。</w:t>
            </w:r>
          </w:p>
        </w:tc>
        <w:tc>
          <w:tcPr>
            <w:tcW w:w="2168" w:type="dxa"/>
            <w:vMerge w:val="continue"/>
            <w:vAlign w:val="center"/>
          </w:tcPr>
          <w:p>
            <w:pPr>
              <w:spacing w:line="340" w:lineRule="exact"/>
              <w:jc w:val="center"/>
              <w:rPr>
                <w:rFonts w:hint="default" w:ascii="Times New Roman" w:hAnsi="Times New Roman" w:eastAsia="仿宋_GB2312" w:cs="Times New Roman"/>
                <w:sz w:val="24"/>
                <w:szCs w:val="24"/>
              </w:rPr>
            </w:pPr>
          </w:p>
        </w:tc>
        <w:tc>
          <w:tcPr>
            <w:tcW w:w="2279" w:type="dxa"/>
            <w:vMerge w:val="continue"/>
            <w:vAlign w:val="center"/>
          </w:tcPr>
          <w:p>
            <w:pPr>
              <w:spacing w:line="340" w:lineRule="exact"/>
              <w:jc w:val="center"/>
              <w:rPr>
                <w:rFonts w:hint="default" w:ascii="Times New Roman" w:hAnsi="Times New Roman" w:eastAsia="仿宋_GB2312" w:cs="Times New Roman"/>
                <w:spacing w:val="-1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restart"/>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w:t>
            </w:r>
            <w:r>
              <w:rPr>
                <w:rFonts w:hint="default" w:ascii="Times New Roman" w:hAnsi="Times New Roman" w:eastAsia="黑体" w:cs="Times New Roman"/>
                <w:bCs/>
                <w:spacing w:val="0"/>
                <w:sz w:val="28"/>
                <w:szCs w:val="28"/>
              </w:rPr>
              <w:t>会事业蓬勃发展</w:t>
            </w:r>
          </w:p>
        </w:tc>
        <w:tc>
          <w:tcPr>
            <w:tcW w:w="1230" w:type="dxa"/>
            <w:vMerge w:val="restart"/>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（二）提升医疗服务水平</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完成城乡居民医疗保险费征缴，做好医疗保障各项服务。</w:t>
            </w:r>
          </w:p>
        </w:tc>
        <w:tc>
          <w:tcPr>
            <w:tcW w:w="2168" w:type="dxa"/>
            <w:vAlign w:val="center"/>
          </w:tcPr>
          <w:p>
            <w:pPr>
              <w:spacing w:line="340" w:lineRule="exact"/>
              <w:ind w:firstLine="480" w:firstLineChars="200"/>
              <w:jc w:val="both"/>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区医保局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区税务局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改革完善全科医生培养与使用激励机制，为钦北卫生与健康事业发展提供人才支撑。</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pacing w:val="-11"/>
                <w:kern w:val="2"/>
                <w:sz w:val="24"/>
                <w:szCs w:val="24"/>
                <w:lang w:val="en-US" w:eastAsia="zh-CN" w:bidi="ar-SA"/>
              </w:rPr>
            </w:pPr>
            <w:r>
              <w:rPr>
                <w:rFonts w:hint="default" w:ascii="Times New Roman" w:hAnsi="Times New Roman" w:eastAsia="仿宋_GB2312" w:cs="Times New Roman"/>
                <w:spacing w:val="-11"/>
                <w:sz w:val="24"/>
                <w:szCs w:val="24"/>
              </w:rPr>
              <w:t>区卫生健康局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（三）提升就业和社会保障水平</w:t>
            </w:r>
          </w:p>
        </w:tc>
        <w:tc>
          <w:tcPr>
            <w:tcW w:w="8591" w:type="dxa"/>
            <w:vAlign w:val="center"/>
          </w:tcPr>
          <w:p>
            <w:pPr>
              <w:spacing w:line="340" w:lineRule="exact"/>
              <w:ind w:firstLine="480" w:firstLineChars="200"/>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bCs/>
                <w:sz w:val="24"/>
                <w:szCs w:val="24"/>
              </w:rPr>
              <w:t>实施积极的就业政策，加大职业培训力度，统筹做好农民工、高校毕业生、退役军人、残疾人等重点群体就业。</w:t>
            </w:r>
          </w:p>
        </w:tc>
        <w:tc>
          <w:tcPr>
            <w:tcW w:w="2168" w:type="dxa"/>
            <w:vAlign w:val="center"/>
          </w:tcPr>
          <w:p>
            <w:pPr>
              <w:spacing w:line="340" w:lineRule="exact"/>
              <w:jc w:val="center"/>
              <w:rPr>
                <w:rFonts w:hint="default" w:ascii="Times New Roman" w:hAnsi="Times New Roman" w:eastAsia="仿宋_GB2312" w:cs="Times New Roman"/>
                <w:spacing w:val="-11"/>
                <w:sz w:val="24"/>
                <w:szCs w:val="24"/>
              </w:rPr>
            </w:pPr>
            <w:r>
              <w:rPr>
                <w:rFonts w:hint="default" w:ascii="Times New Roman" w:hAnsi="Times New Roman" w:eastAsia="仿宋_GB2312" w:cs="Times New Roman"/>
                <w:spacing w:val="-11"/>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11"/>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rPr>
              <w:t>区退役军人</w:t>
            </w:r>
            <w:r>
              <w:rPr>
                <w:rFonts w:hint="default" w:ascii="Times New Roman" w:hAnsi="Times New Roman" w:eastAsia="仿宋_GB2312" w:cs="Times New Roman"/>
                <w:sz w:val="24"/>
                <w:szCs w:val="24"/>
                <w:lang w:val="en-US" w:eastAsia="zh-CN"/>
              </w:rPr>
              <w:t>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区残联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加强就业创业平台建设，加快推进农民工创业园、小微企业创业基地、创业孵化基地建设。</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区科技局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推进全民参保计划，抓好社会保险扩面征缴。</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提升困难群众基本生活保障水平，全面资助特困人员、孤儿、低保对象参加基本医疗保险。</w:t>
            </w:r>
          </w:p>
        </w:tc>
        <w:tc>
          <w:tcPr>
            <w:tcW w:w="2168"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区民政局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区医保局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完善屯周、小江社区、白水塘社区居家养老服务中心运营，建成大路村、沙坡社区居家养老服务中心。</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区民政局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0"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开展农民工工资支付专项整治，维护劳动者合法权益。</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区人力资源社会</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保障局</w:t>
            </w:r>
          </w:p>
        </w:tc>
        <w:tc>
          <w:tcPr>
            <w:tcW w:w="2279" w:type="dxa"/>
            <w:vAlign w:val="center"/>
          </w:tcPr>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区直各有关部门</w:t>
            </w:r>
          </w:p>
          <w:p>
            <w:pPr>
              <w:spacing w:line="340" w:lineRule="exact"/>
              <w:jc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pacing w:val="0"/>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建成小董至那蒙、青塘绕城线等二级公路，完成窄路加宽、危桥改造、安防等项目建设。</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54" w:type="dxa"/>
            <w:vMerge w:val="continue"/>
            <w:vAlign w:val="center"/>
          </w:tcPr>
          <w:p>
            <w:pPr>
              <w:spacing w:line="340" w:lineRule="exact"/>
              <w:rPr>
                <w:rFonts w:hint="default" w:ascii="Times New Roman" w:hAnsi="Times New Roman" w:eastAsia="黑体"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加快建设皇马工业园区至钦北进城路口（钦州汽车北站）二级公路。建成南宁大塘至浦北高速路钦北段、沙坪至大塘二级公路钦北段，加快325国道钦北段的建设。</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皇马</w:t>
            </w:r>
            <w:r>
              <w:rPr>
                <w:rFonts w:hint="default" w:ascii="Times New Roman" w:hAnsi="Times New Roman" w:eastAsia="仿宋_GB2312" w:cs="Times New Roman"/>
                <w:sz w:val="24"/>
                <w:szCs w:val="24"/>
                <w:lang w:val="en-US" w:eastAsia="zh-CN"/>
              </w:rPr>
              <w:t>资产集团公司</w:t>
            </w:r>
          </w:p>
        </w:tc>
        <w:tc>
          <w:tcPr>
            <w:tcW w:w="2279"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区财政局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954" w:type="dxa"/>
            <w:vAlign w:val="center"/>
          </w:tcPr>
          <w:p>
            <w:pPr>
              <w:spacing w:line="340" w:lineRule="exact"/>
              <w:rPr>
                <w:rFonts w:hint="default" w:ascii="Times New Roman" w:hAnsi="Times New Roman" w:eastAsia="黑体" w:cs="Times New Roman"/>
                <w:bCs/>
                <w:sz w:val="28"/>
                <w:szCs w:val="28"/>
              </w:rPr>
            </w:pPr>
            <w:r>
              <w:rPr>
                <w:rFonts w:hint="default" w:ascii="Times New Roman" w:hAnsi="Times New Roman" w:eastAsia="黑体" w:cs="Times New Roman"/>
                <w:bCs/>
                <w:sz w:val="28"/>
                <w:szCs w:val="28"/>
              </w:rPr>
              <w:t>五、办好民生实事，推动社会事</w:t>
            </w:r>
            <w:r>
              <w:rPr>
                <w:rFonts w:hint="default" w:ascii="Times New Roman" w:hAnsi="Times New Roman" w:eastAsia="黑体" w:cs="Times New Roman"/>
                <w:bCs/>
                <w:spacing w:val="0"/>
                <w:sz w:val="28"/>
                <w:szCs w:val="28"/>
              </w:rPr>
              <w:t>业蓬勃发展</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pacing w:val="-17"/>
                <w:sz w:val="24"/>
                <w:szCs w:val="24"/>
              </w:rPr>
              <w:t>（四）加大交通水利设施建设</w:t>
            </w:r>
          </w:p>
        </w:tc>
        <w:tc>
          <w:tcPr>
            <w:tcW w:w="8591" w:type="dxa"/>
            <w:vAlign w:val="center"/>
          </w:tcPr>
          <w:p>
            <w:pPr>
              <w:spacing w:line="340" w:lineRule="exact"/>
              <w:ind w:firstLine="480" w:firstLineChars="200"/>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大力推进王岗山水库工程项目，完成7座水库除险加固工程。</w:t>
            </w:r>
          </w:p>
        </w:tc>
        <w:tc>
          <w:tcPr>
            <w:tcW w:w="2168" w:type="dxa"/>
            <w:vAlign w:val="center"/>
          </w:tcPr>
          <w:p>
            <w:pPr>
              <w:spacing w:line="340" w:lineRule="exact"/>
              <w:jc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val="en-US" w:eastAsia="zh-CN"/>
              </w:rPr>
              <w:t>水利</w:t>
            </w:r>
            <w:r>
              <w:rPr>
                <w:rFonts w:hint="default" w:ascii="Times New Roman" w:hAnsi="Times New Roman" w:eastAsia="仿宋_GB2312" w:cs="Times New Roman"/>
                <w:sz w:val="24"/>
                <w:szCs w:val="24"/>
              </w:rPr>
              <w:t>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区自然资源局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皇马资产集团公司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highlight w:val="none"/>
                <w:lang w:val="en-US" w:eastAsia="zh-CN"/>
              </w:rPr>
              <w:t>区清源供水公司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区发展改革局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区征收中心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区水库和扶贫易地安置中心</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w:t>
            </w:r>
            <w:r>
              <w:rPr>
                <w:rFonts w:hint="default" w:ascii="Times New Roman" w:hAnsi="Times New Roman" w:eastAsia="黑体" w:cs="Times New Roman"/>
                <w:bCs/>
                <w:spacing w:val="0"/>
                <w:sz w:val="28"/>
                <w:szCs w:val="28"/>
              </w:rPr>
              <w:t>安和谐社会</w:t>
            </w:r>
          </w:p>
        </w:tc>
        <w:tc>
          <w:tcPr>
            <w:tcW w:w="1230" w:type="dxa"/>
            <w:vMerge w:val="restart"/>
            <w:vAlign w:val="center"/>
          </w:tcPr>
          <w:p>
            <w:pPr>
              <w:spacing w:line="340" w:lineRule="exact"/>
              <w:rPr>
                <w:rFonts w:hint="default" w:ascii="Times New Roman" w:hAnsi="Times New Roman" w:eastAsia="仿宋_GB2312" w:cs="Times New Roman"/>
                <w:bCs/>
                <w:kern w:val="0"/>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全面完成中央环保督查“回头看”反馈意见整改任务。</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区工业和信息化局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区交通运输局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区水利局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区农业农村局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8"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全面落实“河长制”， 深入推进钦江、茅岭江等重点流域、水源保护区综合整治，严厉打击取缔非法采砂、洗砂场，严控主要污染物排放，继续清理整治全区123条河流88座水库“四乱”问题，改善江河湖库面貌。</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cs="Times New Roman"/>
              </w:rPr>
            </w:pPr>
            <w:r>
              <w:rPr>
                <w:rFonts w:hint="default" w:ascii="Times New Roman" w:hAnsi="Times New Roman" w:eastAsia="仿宋_GB2312" w:cs="Times New Roman"/>
                <w:sz w:val="24"/>
                <w:szCs w:val="24"/>
                <w:lang w:val="en-US" w:eastAsia="zh-CN"/>
              </w:rPr>
              <w:t>区水利局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区自然资源局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公安钦北分局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各镇人民政府</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54" w:type="dxa"/>
            <w:vMerge w:val="continue"/>
            <w:vAlign w:val="center"/>
          </w:tcPr>
          <w:p>
            <w:pPr>
              <w:spacing w:line="340" w:lineRule="exact"/>
              <w:rPr>
                <w:rFonts w:hint="default" w:ascii="Times New Roman" w:hAnsi="Times New Roman" w:eastAsia="楷体_GB2312" w:cs="Times New Roman"/>
                <w:bCs/>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spacing w:line="340" w:lineRule="exact"/>
              <w:ind w:firstLine="480" w:firstLineChars="200"/>
              <w:rPr>
                <w:rFonts w:hint="default" w:ascii="Times New Roman" w:hAnsi="Times New Roman" w:eastAsia="仿宋_GB2312" w:cs="Times New Roman"/>
                <w:bCs/>
                <w:sz w:val="24"/>
                <w:szCs w:val="24"/>
              </w:rPr>
            </w:pPr>
            <w:r>
              <w:rPr>
                <w:rFonts w:hint="default" w:ascii="Times New Roman" w:hAnsi="Times New Roman" w:eastAsia="仿宋_GB2312" w:cs="Times New Roman"/>
                <w:bCs/>
                <w:sz w:val="24"/>
                <w:szCs w:val="24"/>
              </w:rPr>
              <w:t>积极协助市加快钦州主城区（钦北辖区）污水截流工程建设，完善钦北区经济技术开发区污水管网建设，启动钦北新城污水治理工程。</w:t>
            </w:r>
          </w:p>
        </w:tc>
        <w:tc>
          <w:tcPr>
            <w:tcW w:w="2168" w:type="dxa"/>
            <w:vAlign w:val="center"/>
          </w:tcPr>
          <w:p>
            <w:pPr>
              <w:spacing w:line="340" w:lineRule="exact"/>
              <w:jc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钦北生态环境局</w:t>
            </w:r>
          </w:p>
          <w:p>
            <w:pPr>
              <w:keepNext w:val="0"/>
              <w:keepLines w:val="0"/>
              <w:pageBreakBefore w:val="0"/>
              <w:widowControl w:val="0"/>
              <w:kinsoku/>
              <w:wordWrap/>
              <w:overflowPunct/>
              <w:topLinePunct w:val="0"/>
              <w:autoSpaceDE/>
              <w:autoSpaceDN/>
              <w:bidi w:val="0"/>
              <w:adjustRightInd/>
              <w:snapToGrid/>
              <w:spacing w:line="320" w:lineRule="exact"/>
              <w:ind w:right="46" w:rightChars="22"/>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 w:hRule="atLeast"/>
          <w:jc w:val="center"/>
        </w:trPr>
        <w:tc>
          <w:tcPr>
            <w:tcW w:w="954" w:type="dxa"/>
            <w:vMerge w:val="restart"/>
            <w:vAlign w:val="center"/>
          </w:tcPr>
          <w:p>
            <w:pPr>
              <w:spacing w:line="340" w:lineRule="exact"/>
              <w:rPr>
                <w:rFonts w:hint="default" w:ascii="Times New Roman" w:hAnsi="Times New Roman" w:eastAsia="楷体_GB2312" w:cs="Times New Roman"/>
                <w:bCs/>
                <w:kern w:val="0"/>
                <w:sz w:val="28"/>
                <w:szCs w:val="28"/>
              </w:rPr>
            </w:pPr>
            <w:r>
              <w:rPr>
                <w:rFonts w:hint="default" w:ascii="Times New Roman" w:hAnsi="Times New Roman" w:eastAsia="黑体" w:cs="Times New Roman"/>
                <w:bCs/>
                <w:sz w:val="28"/>
                <w:szCs w:val="28"/>
              </w:rPr>
              <w:t>六、改善生态环境，构建平安和</w:t>
            </w:r>
            <w:r>
              <w:rPr>
                <w:rFonts w:hint="default" w:ascii="Times New Roman" w:hAnsi="Times New Roman" w:eastAsia="黑体" w:cs="Times New Roman"/>
                <w:bCs/>
                <w:spacing w:val="0"/>
                <w:sz w:val="28"/>
                <w:szCs w:val="28"/>
              </w:rPr>
              <w:t>谐社会</w:t>
            </w:r>
          </w:p>
        </w:tc>
        <w:tc>
          <w:tcPr>
            <w:tcW w:w="1230" w:type="dxa"/>
            <w:vAlign w:val="center"/>
          </w:tcPr>
          <w:p>
            <w:pPr>
              <w:spacing w:line="340" w:lineRule="exact"/>
              <w:rPr>
                <w:rFonts w:hint="default" w:ascii="Times New Roman" w:hAnsi="Times New Roman" w:eastAsia="仿宋_GB2312" w:cs="Times New Roman"/>
                <w:bCs/>
                <w:sz w:val="24"/>
                <w:szCs w:val="24"/>
              </w:rPr>
            </w:pPr>
            <w:r>
              <w:rPr>
                <w:rFonts w:hint="default" w:ascii="Times New Roman" w:hAnsi="Times New Roman" w:eastAsia="楷体_GB2312" w:cs="Times New Roman"/>
                <w:bCs/>
                <w:sz w:val="24"/>
                <w:szCs w:val="24"/>
              </w:rPr>
              <w:t>（一）加强生态环境保护</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加快镇级污水处理及配套工程建设，完善钦江沿线镇级污水处理厂、污水管网建设，提升镇级污水处理设施运行水平。</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区住房城乡建设局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皇马工管委</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皇马资产</w:t>
            </w:r>
            <w:r>
              <w:rPr>
                <w:rFonts w:hint="default" w:ascii="Times New Roman" w:hAnsi="Times New Roman" w:eastAsia="仿宋_GB2312" w:cs="Times New Roman"/>
                <w:sz w:val="24"/>
                <w:szCs w:val="24"/>
                <w:lang w:eastAsia="zh-CN"/>
              </w:rPr>
              <w:t>集团</w:t>
            </w:r>
            <w:r>
              <w:rPr>
                <w:rFonts w:hint="default" w:ascii="Times New Roman" w:hAnsi="Times New Roman" w:eastAsia="仿宋_GB2312" w:cs="Times New Roman"/>
                <w:sz w:val="24"/>
                <w:szCs w:val="24"/>
              </w:rPr>
              <w:t>公司</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各镇人民政府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（二）强化社会综合治理</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深入开展扫黑除恶“六清”行动，重拳整治宗族黑恶势力，深挖“关系网”“保护伞”，重点打击农村和服务行业中的黑恶势力。</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pacing w:val="-6"/>
                <w:sz w:val="24"/>
                <w:szCs w:val="24"/>
              </w:rPr>
              <w:t>公安钦北分局</w:t>
            </w:r>
          </w:p>
        </w:tc>
        <w:tc>
          <w:tcPr>
            <w:tcW w:w="227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r>
              <w:rPr>
                <w:rFonts w:hint="default" w:ascii="Times New Roman" w:hAnsi="Times New Roman" w:eastAsia="仿宋_GB2312" w:cs="Times New Roman"/>
                <w:sz w:val="24"/>
                <w:szCs w:val="24"/>
              </w:rPr>
              <w:t>区</w:t>
            </w:r>
            <w:r>
              <w:rPr>
                <w:rFonts w:hint="default" w:ascii="Times New Roman" w:hAnsi="Times New Roman" w:eastAsia="仿宋_GB2312" w:cs="Times New Roman"/>
                <w:sz w:val="24"/>
                <w:szCs w:val="24"/>
                <w:lang w:eastAsia="zh-CN"/>
              </w:rPr>
              <w:t>人民</w:t>
            </w:r>
            <w:r>
              <w:rPr>
                <w:rFonts w:hint="default" w:ascii="Times New Roman" w:hAnsi="Times New Roman" w:eastAsia="仿宋_GB2312" w:cs="Times New Roman"/>
                <w:sz w:val="24"/>
                <w:szCs w:val="24"/>
              </w:rPr>
              <w:t>政府办</w:t>
            </w:r>
            <w:r>
              <w:rPr>
                <w:rFonts w:hint="default" w:ascii="Times New Roman" w:hAnsi="Times New Roman" w:eastAsia="仿宋_GB2312" w:cs="Times New Roman"/>
                <w:sz w:val="24"/>
                <w:szCs w:val="24"/>
                <w:lang w:eastAsia="zh-CN"/>
              </w:rPr>
              <w:t>公室</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区教育局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区司法局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区财政局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区信访局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巩固禁毒重点整治成果，大力开展“吸毒人员管控年”专项行动，切实维护社会持续稳定。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坚持和发展新时代“枫桥经验”，不断完善社会治安防控一体化建设，扎实推进综治中心信息化、网格化建设，部署推进“村安工程”“雪亮工程”建设。</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严厉打击“两抢一盗”、传销、涉枪涉爆、网络电信诈骗等违法犯罪，全力提升群众安全感满意度。</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开展各类矛盾纠纷专项排查，力争将矛盾纠纷化解在基层。</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楷体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妥善处置信访问题，严防突发性群体性事件发生，保障社会和谐稳定。</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restart"/>
            <w:vAlign w:val="center"/>
          </w:tcPr>
          <w:p>
            <w:pPr>
              <w:spacing w:line="340" w:lineRule="exact"/>
              <w:rPr>
                <w:rFonts w:hint="default" w:ascii="Times New Roman" w:hAnsi="Times New Roman" w:eastAsia="楷体_GB2312" w:cs="Times New Roman"/>
                <w:bCs/>
                <w:sz w:val="24"/>
                <w:szCs w:val="24"/>
              </w:rPr>
            </w:pPr>
            <w:r>
              <w:rPr>
                <w:rFonts w:hint="default" w:ascii="Times New Roman" w:hAnsi="Times New Roman" w:eastAsia="楷体_GB2312" w:cs="Times New Roman"/>
                <w:bCs/>
                <w:sz w:val="24"/>
                <w:szCs w:val="24"/>
              </w:rPr>
              <w:t>（三）压实安全生产责任</w:t>
            </w: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开展安全生产“强监管严执法年”专项行动，严格落实对危险化学品、工贸行业、烟花爆竹等高危领域的安全生产监管。</w:t>
            </w:r>
          </w:p>
        </w:tc>
        <w:tc>
          <w:tcPr>
            <w:tcW w:w="216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spacing w:val="-6"/>
                <w:sz w:val="24"/>
                <w:szCs w:val="24"/>
              </w:rPr>
              <w:t>区应急局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区司法局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深化重点行业领域安全隐患专项整治，加强安全生产、减灾救灾，坚决防范遏制重特大事故的发生，全力维护人民群众生命财产安全。</w:t>
            </w:r>
          </w:p>
        </w:tc>
        <w:tc>
          <w:tcPr>
            <w:tcW w:w="216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区市场监管局</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1"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持续推进高铁环境安全综合治理，全面排查整治突出问题，切实消除安全隐患，提升高铁沿线环境品质。</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color w:val="auto"/>
                <w:sz w:val="24"/>
                <w:szCs w:val="24"/>
                <w:lang w:eastAsia="zh-CN"/>
              </w:rPr>
            </w:pPr>
            <w:r>
              <w:rPr>
                <w:rFonts w:hint="default" w:ascii="Times New Roman" w:hAnsi="Times New Roman" w:eastAsia="仿宋_GB2312" w:cs="Times New Roman"/>
                <w:color w:val="auto"/>
                <w:sz w:val="24"/>
                <w:szCs w:val="24"/>
              </w:rPr>
              <w:t>区</w:t>
            </w:r>
            <w:r>
              <w:rPr>
                <w:rFonts w:hint="default" w:ascii="Times New Roman" w:hAnsi="Times New Roman" w:eastAsia="仿宋_GB2312" w:cs="Times New Roman"/>
                <w:color w:val="auto"/>
                <w:sz w:val="24"/>
                <w:szCs w:val="24"/>
                <w:lang w:val="en-US" w:eastAsia="zh-CN"/>
              </w:rPr>
              <w:t>护路办</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区交通运输局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各镇人民政府</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val="en-US" w:eastAsia="zh-CN"/>
              </w:rPr>
              <w:t>（街道办事处）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954" w:type="dxa"/>
            <w:vMerge w:val="continue"/>
            <w:vAlign w:val="center"/>
          </w:tcPr>
          <w:p>
            <w:pPr>
              <w:spacing w:line="340" w:lineRule="exact"/>
              <w:rPr>
                <w:rFonts w:hint="default" w:ascii="Times New Roman" w:hAnsi="Times New Roman" w:eastAsia="楷体_GB2312" w:cs="Times New Roman"/>
                <w:bCs/>
                <w:kern w:val="0"/>
                <w:sz w:val="28"/>
                <w:szCs w:val="28"/>
              </w:rPr>
            </w:pPr>
          </w:p>
        </w:tc>
        <w:tc>
          <w:tcPr>
            <w:tcW w:w="1230" w:type="dxa"/>
            <w:vMerge w:val="continue"/>
            <w:vAlign w:val="center"/>
          </w:tcPr>
          <w:p>
            <w:pPr>
              <w:spacing w:line="340" w:lineRule="exact"/>
              <w:rPr>
                <w:rFonts w:hint="default" w:ascii="Times New Roman" w:hAnsi="Times New Roman" w:eastAsia="仿宋_GB2312" w:cs="Times New Roman"/>
                <w:bCs/>
                <w:sz w:val="24"/>
                <w:szCs w:val="24"/>
              </w:rPr>
            </w:pPr>
          </w:p>
        </w:tc>
        <w:tc>
          <w:tcPr>
            <w:tcW w:w="8591"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80" w:firstLineChars="200"/>
              <w:textAlignment w:val="auto"/>
              <w:rPr>
                <w:rFonts w:hint="default" w:ascii="Times New Roman" w:hAnsi="Times New Roman" w:eastAsia="仿宋_GB2312" w:cs="Times New Roman"/>
                <w:bCs/>
                <w:kern w:val="2"/>
                <w:sz w:val="24"/>
                <w:szCs w:val="24"/>
                <w:lang w:val="en-US" w:eastAsia="zh-CN" w:bidi="ar-SA"/>
              </w:rPr>
            </w:pPr>
            <w:r>
              <w:rPr>
                <w:rFonts w:hint="default" w:ascii="Times New Roman" w:hAnsi="Times New Roman" w:eastAsia="仿宋_GB2312" w:cs="Times New Roman"/>
                <w:bCs/>
                <w:sz w:val="24"/>
                <w:szCs w:val="24"/>
              </w:rPr>
              <w:t>积极推进基层市场监督管理机构改革，维护好消费者权益，让人民群众买得放心、用得放心、吃得放心。</w:t>
            </w:r>
          </w:p>
        </w:tc>
        <w:tc>
          <w:tcPr>
            <w:tcW w:w="216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rPr>
              <w:t>区市场监管局</w:t>
            </w:r>
          </w:p>
        </w:tc>
        <w:tc>
          <w:tcPr>
            <w:tcW w:w="2279"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sz w:val="24"/>
                <w:szCs w:val="24"/>
                <w:lang w:eastAsia="zh-CN"/>
              </w:rPr>
              <w:t>——</w:t>
            </w:r>
          </w:p>
        </w:tc>
      </w:tr>
    </w:tbl>
    <w:p>
      <w:pPr>
        <w:pStyle w:val="2"/>
        <w:ind w:left="0" w:leftChars="0" w:firstLine="0" w:firstLineChars="0"/>
        <w:rPr>
          <w:rFonts w:hint="default" w:ascii="仿宋_GB2312" w:hAnsi="仿宋_GB2312" w:eastAsia="仿宋_GB2312" w:cs="仿宋_GB2312"/>
          <w:color w:val="auto"/>
          <w:sz w:val="32"/>
          <w:szCs w:val="32"/>
          <w:lang w:val="en-US" w:eastAsia="zh-CN"/>
        </w:rPr>
        <w:sectPr>
          <w:footerReference r:id="rId3" w:type="default"/>
          <w:pgSz w:w="16838" w:h="11906" w:orient="landscape"/>
          <w:pgMar w:top="720" w:right="720" w:bottom="720" w:left="720" w:header="851" w:footer="992" w:gutter="0"/>
          <w:pgNumType w:fmt="numberInDash"/>
          <w:cols w:space="425" w:num="1"/>
          <w:docGrid w:type="lines" w:linePitch="312" w:charSpace="0"/>
        </w:sectPr>
      </w:pPr>
    </w:p>
    <w:tbl>
      <w:tblPr>
        <w:tblStyle w:val="5"/>
        <w:tblW w:w="10036" w:type="dxa"/>
        <w:tblInd w:w="320" w:type="dxa"/>
        <w:shd w:val="clear" w:color="auto" w:fill="auto"/>
        <w:tblLayout w:type="fixed"/>
        <w:tblCellMar>
          <w:top w:w="0" w:type="dxa"/>
          <w:left w:w="0" w:type="dxa"/>
          <w:bottom w:w="0" w:type="dxa"/>
          <w:right w:w="0" w:type="dxa"/>
        </w:tblCellMar>
      </w:tblPr>
      <w:tblGrid>
        <w:gridCol w:w="2943"/>
        <w:gridCol w:w="718"/>
        <w:gridCol w:w="157"/>
        <w:gridCol w:w="941"/>
        <w:gridCol w:w="777"/>
        <w:gridCol w:w="995"/>
        <w:gridCol w:w="109"/>
        <w:gridCol w:w="860"/>
        <w:gridCol w:w="463"/>
        <w:gridCol w:w="1078"/>
        <w:gridCol w:w="995"/>
      </w:tblGrid>
      <w:tr>
        <w:tblPrEx>
          <w:shd w:val="clear" w:color="auto" w:fill="auto"/>
          <w:tblCellMar>
            <w:top w:w="0" w:type="dxa"/>
            <w:left w:w="0" w:type="dxa"/>
            <w:bottom w:w="0" w:type="dxa"/>
            <w:right w:w="0" w:type="dxa"/>
          </w:tblCellMar>
        </w:tblPrEx>
        <w:trPr>
          <w:trHeight w:val="434" w:hRule="atLeast"/>
        </w:trPr>
        <w:tc>
          <w:tcPr>
            <w:tcW w:w="10036" w:type="dxa"/>
            <w:gridSpan w:val="11"/>
            <w:tcBorders>
              <w:top w:val="nil"/>
              <w:left w:val="nil"/>
              <w:bottom w:val="nil"/>
              <w:right w:val="nil"/>
            </w:tcBorders>
            <w:shd w:val="clear" w:color="auto" w:fill="auto"/>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w:t>
            </w:r>
          </w:p>
        </w:tc>
      </w:tr>
      <w:tr>
        <w:tblPrEx>
          <w:tblCellMar>
            <w:top w:w="0" w:type="dxa"/>
            <w:left w:w="0" w:type="dxa"/>
            <w:bottom w:w="0" w:type="dxa"/>
            <w:right w:w="0" w:type="dxa"/>
          </w:tblCellMar>
        </w:tblPrEx>
        <w:trPr>
          <w:trHeight w:val="601" w:hRule="atLeast"/>
        </w:trPr>
        <w:tc>
          <w:tcPr>
            <w:tcW w:w="10036" w:type="dxa"/>
            <w:gridSpan w:val="11"/>
            <w:vMerge w:val="restart"/>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钦北区2020年主要经济社会发展指标目标任务表</w:t>
            </w:r>
            <w:r>
              <w:rPr>
                <w:rFonts w:hint="eastAsia" w:ascii="方正小标宋简体" w:hAnsi="方正小标宋简体" w:eastAsia="方正小标宋简体" w:cs="方正小标宋简体"/>
                <w:i w:val="0"/>
                <w:color w:val="000000"/>
                <w:kern w:val="0"/>
                <w:sz w:val="36"/>
                <w:szCs w:val="36"/>
                <w:u w:val="none"/>
                <w:lang w:val="en-US" w:eastAsia="zh-CN" w:bidi="ar"/>
              </w:rPr>
              <w:t xml:space="preserve"> </w:t>
            </w:r>
            <w:r>
              <w:rPr>
                <w:rFonts w:hint="eastAsia" w:ascii="方正小标宋简体" w:hAnsi="方正小标宋简体" w:eastAsia="方正小标宋简体" w:cs="方正小标宋简体"/>
                <w:i w:val="0"/>
                <w:color w:val="000000"/>
                <w:kern w:val="0"/>
                <w:sz w:val="40"/>
                <w:szCs w:val="40"/>
                <w:u w:val="none"/>
                <w:lang w:val="en-US" w:eastAsia="zh-CN" w:bidi="ar"/>
              </w:rPr>
              <w:t xml:space="preserve">   </w:t>
            </w: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nil"/>
              <w:right w:val="nil"/>
            </w:tcBorders>
            <w:shd w:val="clear" w:color="auto" w:fill="auto"/>
            <w:noWrap/>
            <w:tcMar>
              <w:top w:w="15" w:type="dxa"/>
              <w:left w:w="15" w:type="dxa"/>
              <w:right w:w="15" w:type="dxa"/>
            </w:tcMar>
            <w:vAlign w:val="center"/>
          </w:tcPr>
          <w:p>
            <w:pPr>
              <w:jc w:val="center"/>
              <w:rPr>
                <w:rFonts w:hint="eastAsia" w:ascii="方正小标宋简体" w:hAnsi="方正小标宋简体" w:eastAsia="方正小标宋简体" w:cs="方正小标宋简体"/>
                <w:i w:val="0"/>
                <w:color w:val="000000"/>
                <w:sz w:val="40"/>
                <w:szCs w:val="40"/>
                <w:u w:val="none"/>
              </w:rPr>
            </w:pPr>
          </w:p>
        </w:tc>
      </w:tr>
      <w:tr>
        <w:tblPrEx>
          <w:tblCellMar>
            <w:top w:w="0" w:type="dxa"/>
            <w:left w:w="0" w:type="dxa"/>
            <w:bottom w:w="0" w:type="dxa"/>
            <w:right w:w="0" w:type="dxa"/>
          </w:tblCellMar>
        </w:tblPrEx>
        <w:trPr>
          <w:trHeight w:val="312" w:hRule="atLeast"/>
        </w:trPr>
        <w:tc>
          <w:tcPr>
            <w:tcW w:w="10036" w:type="dxa"/>
            <w:gridSpan w:val="11"/>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right"/>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64" w:hRule="atLeast"/>
        </w:trPr>
        <w:tc>
          <w:tcPr>
            <w:tcW w:w="294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71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单位</w:t>
            </w:r>
          </w:p>
        </w:tc>
        <w:tc>
          <w:tcPr>
            <w:tcW w:w="18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8"/>
                <w:lang w:val="en-US" w:eastAsia="zh-CN" w:bidi="ar"/>
              </w:rPr>
              <w:t>年实际</w:t>
            </w:r>
          </w:p>
        </w:tc>
        <w:tc>
          <w:tcPr>
            <w:tcW w:w="196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8"/>
                <w:lang w:val="en-US" w:eastAsia="zh-CN" w:bidi="ar"/>
              </w:rPr>
              <w:t>年目标</w:t>
            </w:r>
          </w:p>
        </w:tc>
        <w:tc>
          <w:tcPr>
            <w:tcW w:w="1541" w:type="dxa"/>
            <w:gridSpan w:val="2"/>
            <w:vMerge w:val="restart"/>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2"/>
                <w:szCs w:val="22"/>
                <w:u w:val="none"/>
              </w:rPr>
            </w:pPr>
            <w:r>
              <w:rPr>
                <w:rFonts w:hint="eastAsia" w:ascii="黑体" w:hAnsi="宋体" w:eastAsia="黑体" w:cs="黑体"/>
                <w:i w:val="0"/>
                <w:color w:val="000000"/>
                <w:kern w:val="0"/>
                <w:sz w:val="22"/>
                <w:szCs w:val="22"/>
                <w:u w:val="none"/>
                <w:lang w:val="en-US" w:eastAsia="zh-CN" w:bidi="ar"/>
              </w:rPr>
              <w:t>责任</w:t>
            </w:r>
            <w:r>
              <w:rPr>
                <w:rStyle w:val="9"/>
                <w:rFonts w:eastAsia="黑体"/>
                <w:lang w:val="en-US" w:eastAsia="zh-CN" w:bidi="ar"/>
              </w:rPr>
              <w:br w:type="textWrapping"/>
            </w:r>
            <w:r>
              <w:rPr>
                <w:rStyle w:val="10"/>
                <w:lang w:val="en-US" w:eastAsia="zh-CN" w:bidi="ar"/>
              </w:rPr>
              <w:t>区领导</w:t>
            </w:r>
          </w:p>
        </w:tc>
      </w:tr>
      <w:tr>
        <w:tblPrEx>
          <w:tblCellMar>
            <w:top w:w="0" w:type="dxa"/>
            <w:left w:w="0" w:type="dxa"/>
            <w:bottom w:w="0" w:type="dxa"/>
            <w:right w:w="0" w:type="dxa"/>
          </w:tblCellMar>
        </w:tblPrEx>
        <w:trPr>
          <w:trHeight w:val="464"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实际</w:t>
            </w:r>
          </w:p>
        </w:tc>
        <w:tc>
          <w:tcPr>
            <w:tcW w:w="77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10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计划</w:t>
            </w:r>
          </w:p>
        </w:tc>
        <w:tc>
          <w:tcPr>
            <w:tcW w:w="860" w:type="dxa"/>
            <w:vMerge w:val="restar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11"/>
                <w:rFonts w:eastAsia="黑体"/>
                <w:lang w:val="en-US" w:eastAsia="zh-CN" w:bidi="ar"/>
              </w:rPr>
              <w:t>%</w:t>
            </w: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312" w:hRule="atLeast"/>
        </w:trPr>
        <w:tc>
          <w:tcPr>
            <w:tcW w:w="294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1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9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77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10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860" w:type="dxa"/>
            <w:vMerge w:val="continue"/>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41" w:type="dxa"/>
            <w:gridSpan w:val="2"/>
            <w:vMerge w:val="continue"/>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2"/>
                <w:szCs w:val="22"/>
                <w:u w:val="none"/>
              </w:rPr>
            </w:pPr>
          </w:p>
        </w:tc>
      </w:tr>
      <w:tr>
        <w:tblPrEx>
          <w:tblCellMar>
            <w:top w:w="0" w:type="dxa"/>
            <w:left w:w="0" w:type="dxa"/>
            <w:bottom w:w="0" w:type="dxa"/>
            <w:right w:w="0" w:type="dxa"/>
          </w:tblCellMar>
        </w:tblPrEx>
        <w:trPr>
          <w:trHeight w:val="8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一、地区生产总值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330.6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eastAsia="仿宋_GB2312"/>
                <w:highlight w:val="none"/>
                <w:lang w:eastAsia="zh-CN"/>
              </w:rPr>
            </w:pPr>
            <w:r>
              <w:rPr>
                <w:rFonts w:hint="default" w:ascii="Times New Roman" w:hAnsi="Times New Roman" w:eastAsia="宋体" w:cs="Times New Roman"/>
                <w:i w:val="0"/>
                <w:color w:val="000000"/>
                <w:kern w:val="0"/>
                <w:sz w:val="24"/>
                <w:szCs w:val="24"/>
                <w:highlight w:val="none"/>
                <w:u w:val="none"/>
                <w:lang w:val="en-US" w:eastAsia="zh-CN" w:bidi="ar"/>
              </w:rPr>
              <w:t>6</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8.6</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rPr>
            </w:pPr>
            <w:r>
              <w:rPr>
                <w:rFonts w:hint="default" w:ascii="Times New Roman" w:hAnsi="Times New Roman" w:eastAsia="宋体" w:cs="Times New Roman"/>
                <w:i w:val="0"/>
                <w:color w:val="000000"/>
                <w:kern w:val="0"/>
                <w:sz w:val="24"/>
                <w:szCs w:val="24"/>
                <w:highlight w:val="none"/>
                <w:u w:val="none"/>
                <w:lang w:val="en-US" w:eastAsia="zh-CN" w:bidi="ar"/>
              </w:rPr>
              <w:t>4.7</w:t>
            </w:r>
          </w:p>
        </w:tc>
        <w:tc>
          <w:tcPr>
            <w:tcW w:w="1541" w:type="dxa"/>
            <w:gridSpan w:val="2"/>
            <w:vMerge w:val="restart"/>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17"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一般公共预算收入</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14.24</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1541" w:type="dxa"/>
            <w:gridSpan w:val="2"/>
            <w:vMerge w:val="continue"/>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三、规模以上工业增加值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51.9</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规模以上工业总产值</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192.5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四、固定资产投资</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25.7</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w:t>
            </w:r>
          </w:p>
        </w:tc>
        <w:tc>
          <w:tcPr>
            <w:tcW w:w="718" w:type="dxa"/>
            <w:tcBorders>
              <w:top w:val="nil"/>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186.17</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17.48</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六、外贸进出口总额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3.3</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七、社会消费品零售总额</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132</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15.6</w:t>
            </w:r>
          </w:p>
        </w:tc>
        <w:tc>
          <w:tcPr>
            <w:tcW w:w="1104"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Style w:val="11"/>
                <w:rFonts w:eastAsia="仿宋_GB2312"/>
                <w:lang w:val="en-US" w:eastAsia="zh-CN" w:bidi="ar"/>
              </w:rPr>
              <w:br w:type="textWrapping"/>
            </w:r>
            <w:r>
              <w:rPr>
                <w:rStyle w:val="13"/>
                <w:rFonts w:hAnsi="宋体"/>
                <w:lang w:val="en-US" w:eastAsia="zh-CN" w:bidi="ar"/>
              </w:rPr>
              <w:t>区市场监管局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八、引进国内外到位资金</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亿元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3.4</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p>
        </w:tc>
        <w:tc>
          <w:tcPr>
            <w:tcW w:w="99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9"/>
                <w:rFonts w:eastAsia="仿宋_GB2312"/>
                <w:lang w:val="en-US" w:eastAsia="zh-CN" w:bidi="ar"/>
              </w:rPr>
              <w:br w:type="textWrapping"/>
            </w:r>
            <w:r>
              <w:rPr>
                <w:rStyle w:val="13"/>
                <w:rFonts w:hAnsi="宋体"/>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实际利用外资（商务口径）</w:t>
            </w:r>
          </w:p>
        </w:tc>
        <w:tc>
          <w:tcPr>
            <w:tcW w:w="718"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万美元</w:t>
            </w:r>
          </w:p>
        </w:tc>
        <w:tc>
          <w:tcPr>
            <w:tcW w:w="1098" w:type="dxa"/>
            <w:gridSpan w:val="2"/>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220.5</w:t>
            </w:r>
          </w:p>
        </w:tc>
        <w:tc>
          <w:tcPr>
            <w:tcW w:w="777" w:type="dxa"/>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110.2</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default" w:ascii="Times New Roman" w:hAnsi="Times New Roman" w:eastAsia="宋体" w:cs="Times New Roman"/>
                <w:i w:val="0"/>
                <w:color w:val="auto"/>
                <w:kern w:val="0"/>
                <w:sz w:val="24"/>
                <w:szCs w:val="24"/>
                <w:u w:val="none"/>
                <w:lang w:val="en-US" w:eastAsia="zh-CN" w:bidi="ar"/>
              </w:rPr>
              <w:t>2</w:t>
            </w:r>
            <w:r>
              <w:rPr>
                <w:rFonts w:hint="eastAsia" w:ascii="Times New Roman" w:hAnsi="Times New Roman" w:eastAsia="宋体" w:cs="Times New Roman"/>
                <w:i w:val="0"/>
                <w:color w:val="auto"/>
                <w:kern w:val="0"/>
                <w:sz w:val="24"/>
                <w:szCs w:val="24"/>
                <w:u w:val="none"/>
                <w:lang w:val="en-US" w:eastAsia="zh-CN" w:bidi="ar"/>
              </w:rPr>
              <w:t>00</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color w:val="auto"/>
              </w:rPr>
            </w:pPr>
            <w:r>
              <w:rPr>
                <w:rFonts w:hint="eastAsia" w:ascii="Times New Roman" w:hAnsi="Times New Roman" w:eastAsia="宋体" w:cs="Times New Roman"/>
                <w:i w:val="0"/>
                <w:color w:val="auto"/>
                <w:kern w:val="0"/>
                <w:sz w:val="24"/>
                <w:szCs w:val="24"/>
                <w:u w:val="none"/>
                <w:lang w:val="en-US" w:eastAsia="zh-CN" w:bidi="ar"/>
              </w:rPr>
              <w:t>—</w:t>
            </w:r>
          </w:p>
        </w:tc>
        <w:tc>
          <w:tcPr>
            <w:tcW w:w="1541" w:type="dxa"/>
            <w:gridSpan w:val="2"/>
            <w:tcBorders>
              <w:top w:val="single" w:color="000000" w:sz="4" w:space="0"/>
              <w:left w:val="single" w:color="000000" w:sz="4" w:space="0"/>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区招商促进局</w:t>
            </w:r>
            <w:r>
              <w:rPr>
                <w:rStyle w:val="11"/>
                <w:rFonts w:eastAsia="仿宋_GB2312"/>
                <w:lang w:val="en-US" w:eastAsia="zh-CN" w:bidi="ar"/>
              </w:rPr>
              <w:br w:type="textWrapping"/>
            </w:r>
            <w:r>
              <w:rPr>
                <w:rStyle w:val="13"/>
                <w:rFonts w:hAnsi="宋体"/>
                <w:lang w:val="en-US" w:eastAsia="zh-CN" w:bidi="ar"/>
              </w:rPr>
              <w:t>区发展改革局</w:t>
            </w:r>
          </w:p>
        </w:tc>
        <w:tc>
          <w:tcPr>
            <w:tcW w:w="99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九、城镇新增就业人数</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万人</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0.3784</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0.27</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区人力资源社会保障局</w:t>
            </w:r>
          </w:p>
        </w:tc>
        <w:tc>
          <w:tcPr>
            <w:tcW w:w="9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w:t>
            </w:r>
            <w:r>
              <w:rPr>
                <w:rStyle w:val="13"/>
                <w:rFonts w:hint="eastAsia" w:ascii="楷体_GB2312" w:hAnsi="楷体_GB2312" w:eastAsia="楷体_GB2312" w:cs="楷体_GB2312"/>
                <w:lang w:val="en-US" w:eastAsia="zh-CN" w:bidi="ar"/>
              </w:rPr>
              <w:t>城镇登记失业率</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&lt;4.5</w:t>
            </w:r>
          </w:p>
        </w:tc>
        <w:tc>
          <w:tcPr>
            <w:tcW w:w="86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1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spacing w:val="-6"/>
                <w:kern w:val="0"/>
                <w:sz w:val="24"/>
                <w:szCs w:val="24"/>
                <w:u w:val="none"/>
                <w:lang w:val="en-US" w:eastAsia="zh-CN" w:bidi="ar"/>
              </w:rPr>
              <w:t>十、城镇居民人均可支配收入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35387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37864</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Style w:val="11"/>
                <w:rFonts w:eastAsia="宋体"/>
                <w:color w:val="auto"/>
                <w:lang w:val="en-US" w:eastAsia="zh-CN" w:bidi="ar"/>
              </w:rPr>
              <w:t>7</w:t>
            </w:r>
          </w:p>
        </w:tc>
        <w:tc>
          <w:tcPr>
            <w:tcW w:w="1541"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9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726" w:hRule="atLeast"/>
        </w:trPr>
        <w:tc>
          <w:tcPr>
            <w:tcW w:w="29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十一、农村居民人均可支配收入</w:t>
            </w:r>
          </w:p>
        </w:tc>
        <w:tc>
          <w:tcPr>
            <w:tcW w:w="7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元</w:t>
            </w:r>
          </w:p>
        </w:tc>
        <w:tc>
          <w:tcPr>
            <w:tcW w:w="1098"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14197</w:t>
            </w:r>
          </w:p>
        </w:tc>
        <w:tc>
          <w:tcPr>
            <w:tcW w:w="7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1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15532</w:t>
            </w:r>
          </w:p>
        </w:tc>
        <w:tc>
          <w:tcPr>
            <w:tcW w:w="8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9.4</w:t>
            </w:r>
          </w:p>
        </w:tc>
        <w:tc>
          <w:tcPr>
            <w:tcW w:w="154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9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465"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rPr>
                <w:rFonts w:hint="eastAsia" w:ascii="宋体" w:hAnsi="宋体" w:eastAsia="宋体" w:cs="宋体"/>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附件2-2</w:t>
            </w:r>
          </w:p>
        </w:tc>
      </w:tr>
      <w:tr>
        <w:tblPrEx>
          <w:tblCellMar>
            <w:top w:w="0" w:type="dxa"/>
            <w:left w:w="0" w:type="dxa"/>
            <w:bottom w:w="0" w:type="dxa"/>
            <w:right w:w="0" w:type="dxa"/>
          </w:tblCellMar>
        </w:tblPrEx>
        <w:trPr>
          <w:trHeight w:val="90" w:hRule="atLeast"/>
        </w:trPr>
        <w:tc>
          <w:tcPr>
            <w:tcW w:w="10036" w:type="dxa"/>
            <w:gridSpan w:val="11"/>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钦北区2020年主要经济指标1-4季度进度目标任务表</w:t>
            </w:r>
          </w:p>
        </w:tc>
      </w:tr>
      <w:tr>
        <w:tblPrEx>
          <w:tblCellMar>
            <w:top w:w="0" w:type="dxa"/>
            <w:left w:w="0" w:type="dxa"/>
            <w:bottom w:w="0" w:type="dxa"/>
            <w:right w:w="0" w:type="dxa"/>
          </w:tblCellMar>
        </w:tblPrEx>
        <w:trPr>
          <w:trHeight w:val="435"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shd w:val="clear"/>
                <w:lang w:val="en-US" w:eastAsia="zh-CN" w:bidi="ar"/>
              </w:rPr>
              <w:t>一、地区生产总值（亿元）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69.05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154.8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highlight w:val="none"/>
                <w:u w:val="none"/>
                <w:lang w:val="en-US"/>
              </w:rPr>
            </w:pPr>
            <w:r>
              <w:rPr>
                <w:rFonts w:hint="eastAsia" w:ascii="Times New Roman" w:hAnsi="Times New Roman" w:eastAsia="宋体" w:cs="Times New Roman"/>
                <w:i w:val="0"/>
                <w:color w:val="000000"/>
                <w:kern w:val="0"/>
                <w:sz w:val="24"/>
                <w:szCs w:val="24"/>
                <w:highlight w:val="none"/>
                <w:u w:val="none"/>
                <w:lang w:val="en-US" w:eastAsia="zh-CN" w:bidi="ar"/>
              </w:rPr>
              <w:t>1.4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二、财政收入（亿元）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w:t>
            </w:r>
          </w:p>
        </w:tc>
        <w:tc>
          <w:tcPr>
            <w:tcW w:w="2073"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区财政局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5.64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20.48</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0.9</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#一般公共预算收入（亿元）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35.82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0.2</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5.15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2.84</w:t>
            </w:r>
          </w:p>
        </w:tc>
        <w:tc>
          <w:tcPr>
            <w:tcW w:w="2073"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三、固定资产投资（亿元）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四、规模以上工业总产值（亿元）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-7.05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-37.5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黑体" w:hAnsi="黑体" w:eastAsia="黑体" w:cs="黑体"/>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五、建筑业总产值（亿元）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48.56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53" w:hRule="atLeast"/>
        </w:trPr>
        <w:tc>
          <w:tcPr>
            <w:tcW w:w="381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73" w:hRule="atLeast"/>
        </w:trPr>
        <w:tc>
          <w:tcPr>
            <w:tcW w:w="3818" w:type="dxa"/>
            <w:gridSpan w:val="3"/>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203.</w:t>
            </w:r>
            <w:r>
              <w:rPr>
                <w:rFonts w:hint="eastAsia" w:ascii="Times New Roman" w:hAnsi="Times New Roman" w:eastAsia="宋体" w:cs="Times New Roman"/>
                <w:i w:val="0"/>
                <w:color w:val="000000"/>
                <w:kern w:val="0"/>
                <w:sz w:val="24"/>
                <w:szCs w:val="24"/>
                <w:u w:val="none"/>
                <w:lang w:val="en-US" w:eastAsia="zh-CN" w:bidi="ar"/>
              </w:rPr>
              <w:t>6</w:t>
            </w:r>
          </w:p>
        </w:tc>
        <w:tc>
          <w:tcPr>
            <w:tcW w:w="1432" w:type="dxa"/>
            <w:gridSpan w:val="3"/>
            <w:tcBorders>
              <w:top w:val="single" w:color="000000" w:sz="4" w:space="0"/>
              <w:left w:val="single" w:color="auto"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2073" w:type="dxa"/>
            <w:gridSpan w:val="2"/>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35"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指标名称</w:t>
            </w:r>
          </w:p>
        </w:tc>
        <w:tc>
          <w:tcPr>
            <w:tcW w:w="941" w:type="dxa"/>
            <w:vMerge w:val="restart"/>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季度</w:t>
            </w:r>
          </w:p>
        </w:tc>
        <w:tc>
          <w:tcPr>
            <w:tcW w:w="3204"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全区</w:t>
            </w:r>
          </w:p>
        </w:tc>
        <w:tc>
          <w:tcPr>
            <w:tcW w:w="2073" w:type="dxa"/>
            <w:gridSpan w:val="2"/>
            <w:vMerge w:val="restart"/>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牵头部门</w:t>
            </w:r>
          </w:p>
        </w:tc>
      </w:tr>
      <w:tr>
        <w:tblPrEx>
          <w:tblCellMar>
            <w:top w:w="0" w:type="dxa"/>
            <w:left w:w="0" w:type="dxa"/>
            <w:bottom w:w="0" w:type="dxa"/>
            <w:right w:w="0" w:type="dxa"/>
          </w:tblCellMar>
        </w:tblPrEx>
        <w:trPr>
          <w:trHeight w:val="42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941" w:type="dxa"/>
            <w:vMerge w:val="continue"/>
            <w:tcBorders>
              <w:top w:val="single" w:color="auto"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累计</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Fonts w:hint="default" w:ascii="Times New Roman" w:hAnsi="Times New Roman" w:eastAsia="黑体" w:cs="Times New Roman"/>
                <w:i w:val="0"/>
                <w:color w:val="000000"/>
                <w:kern w:val="0"/>
                <w:sz w:val="24"/>
                <w:szCs w:val="24"/>
                <w:u w:val="none"/>
                <w:lang w:val="en-US" w:eastAsia="zh-CN" w:bidi="ar"/>
              </w:rPr>
              <w:t>%</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40" w:hRule="atLeast"/>
        </w:trPr>
        <w:tc>
          <w:tcPr>
            <w:tcW w:w="3818" w:type="dxa"/>
            <w:gridSpan w:val="3"/>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六、社会消费品零售总额（亿元）</w:t>
            </w:r>
          </w:p>
        </w:tc>
        <w:tc>
          <w:tcPr>
            <w:tcW w:w="941"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28.69</w:t>
            </w:r>
          </w:p>
        </w:tc>
        <w:tc>
          <w:tcPr>
            <w:tcW w:w="1432" w:type="dxa"/>
            <w:gridSpan w:val="3"/>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0.5</w:t>
            </w:r>
          </w:p>
        </w:tc>
        <w:tc>
          <w:tcPr>
            <w:tcW w:w="2073" w:type="dxa"/>
            <w:gridSpan w:val="2"/>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70"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41.41</w:t>
            </w:r>
          </w:p>
        </w:tc>
        <w:tc>
          <w:tcPr>
            <w:tcW w:w="1432" w:type="dxa"/>
            <w:gridSpan w:val="3"/>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2073" w:type="dxa"/>
            <w:gridSpan w:val="2"/>
            <w:vMerge w:val="continue"/>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9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63.86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65" w:hRule="atLeast"/>
        </w:trPr>
        <w:tc>
          <w:tcPr>
            <w:tcW w:w="3818" w:type="dxa"/>
            <w:gridSpan w:val="3"/>
            <w:vMerge w:val="continue"/>
            <w:tcBorders>
              <w:top w:val="single" w:color="auto" w:sz="4" w:space="0"/>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141.24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2073" w:type="dxa"/>
            <w:gridSpan w:val="2"/>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限上批发业销售额（亿元）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29.47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36.5</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23.25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92.99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131.8</w:t>
            </w:r>
            <w:r>
              <w:rPr>
                <w:rFonts w:hint="eastAsia" w:ascii="Times New Roman" w:hAnsi="Times New Roman" w:eastAsia="宋体" w:cs="Times New Roman"/>
                <w:i w:val="0"/>
                <w:color w:val="000000"/>
                <w:kern w:val="0"/>
                <w:sz w:val="24"/>
                <w:szCs w:val="24"/>
                <w:u w:val="none"/>
                <w:lang w:val="en-US" w:eastAsia="zh-CN" w:bidi="ar"/>
              </w:rPr>
              <w:t>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限上零售业销售额（亿元）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11.9</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21.65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6.58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限上住宿业营业额（万元）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0.6</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区市场监管局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4220.7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7355.9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11667.9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限上餐饮业营业额（万元）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2032.2</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4264.9</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6.1</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6889.5</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center"/>
              <w:rPr>
                <w:rFonts w:hint="eastAsia" w:ascii="楷体_GB2312" w:hAnsi="楷体_GB2312" w:eastAsia="楷体_GB2312" w:cs="楷体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8829.1</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楷体_GB2312" w:hAnsi="楷体_GB2312" w:eastAsia="楷体_GB2312" w:cs="楷体_GB2312"/>
                <w:i w:val="0"/>
                <w:color w:val="000000"/>
                <w:sz w:val="24"/>
                <w:szCs w:val="24"/>
                <w:u w:val="none"/>
              </w:rPr>
            </w:pPr>
            <w:r>
              <w:rPr>
                <w:rFonts w:hint="eastAsia" w:ascii="楷体_GB2312" w:hAnsi="楷体_GB2312" w:eastAsia="楷体_GB2312" w:cs="楷体_GB2312"/>
                <w:i w:val="0"/>
                <w:color w:val="000000"/>
                <w:kern w:val="0"/>
                <w:sz w:val="24"/>
                <w:szCs w:val="24"/>
                <w:u w:val="none"/>
                <w:lang w:val="en-US" w:eastAsia="zh-CN" w:bidi="ar"/>
              </w:rPr>
              <w:t>其他营业性服务业营业收入（万元）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6081.3</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115.93</w:t>
            </w:r>
          </w:p>
        </w:tc>
        <w:tc>
          <w:tcPr>
            <w:tcW w:w="207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eastAsia" w:ascii="Times New Roman" w:hAnsi="Times New Roman" w:eastAsia="宋体" w:cs="Times New Roman"/>
                <w:i w:val="0"/>
                <w:color w:val="auto"/>
                <w:kern w:val="0"/>
                <w:sz w:val="24"/>
                <w:szCs w:val="24"/>
                <w:u w:val="none"/>
                <w:lang w:val="en-US" w:eastAsia="zh-CN" w:bidi="ar"/>
              </w:rPr>
              <w:t>——</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lang w:val="en-US"/>
              </w:rPr>
            </w:pPr>
            <w:r>
              <w:rPr>
                <w:rFonts w:hint="eastAsia" w:ascii="Times New Roman" w:hAnsi="Times New Roman" w:eastAsia="宋体" w:cs="Times New Roman"/>
                <w:i w:val="0"/>
                <w:color w:val="auto"/>
                <w:kern w:val="0"/>
                <w:sz w:val="24"/>
                <w:szCs w:val="24"/>
                <w:u w:val="none"/>
                <w:lang w:val="en-US" w:eastAsia="zh-CN" w:bidi="ar"/>
              </w:rPr>
              <w:t>55.28</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21117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28391.7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restart"/>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七、外贸进出口总额（万元）</w:t>
            </w: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一季度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6403.67</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83.67</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7526.68</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1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三季度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25507.04</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18" w:type="dxa"/>
            <w:gridSpan w:val="3"/>
            <w:vMerge w:val="continue"/>
            <w:tcBorders>
              <w:top w:val="single" w:color="auto"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jc w:val="left"/>
              <w:rPr>
                <w:rFonts w:hint="eastAsia" w:ascii="仿宋_GB2312" w:hAnsi="宋体" w:eastAsia="仿宋_GB2312" w:cs="仿宋_GB2312"/>
                <w:i w:val="0"/>
                <w:color w:val="000000"/>
                <w:sz w:val="24"/>
                <w:szCs w:val="24"/>
                <w:u w:val="none"/>
              </w:rPr>
            </w:pPr>
          </w:p>
        </w:tc>
        <w:tc>
          <w:tcPr>
            <w:tcW w:w="9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四季度</w:t>
            </w:r>
          </w:p>
        </w:tc>
        <w:tc>
          <w:tcPr>
            <w:tcW w:w="177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432"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207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bl>
    <w:p>
      <w:pPr>
        <w:rPr>
          <w:rFonts w:hint="default" w:ascii="仿宋_GB2312" w:hAnsi="仿宋_GB2312" w:eastAsia="仿宋_GB2312" w:cs="仿宋_GB2312"/>
          <w:color w:val="auto"/>
          <w:sz w:val="32"/>
          <w:szCs w:val="32"/>
          <w:lang w:val="en-US" w:eastAsia="zh-CN"/>
        </w:rPr>
      </w:pPr>
    </w:p>
    <w:tbl>
      <w:tblPr>
        <w:tblStyle w:val="5"/>
        <w:tblW w:w="9944" w:type="dxa"/>
        <w:tblInd w:w="374" w:type="dxa"/>
        <w:shd w:val="clear" w:color="auto" w:fill="auto"/>
        <w:tblLayout w:type="fixed"/>
        <w:tblCellMar>
          <w:top w:w="0" w:type="dxa"/>
          <w:left w:w="0" w:type="dxa"/>
          <w:bottom w:w="0" w:type="dxa"/>
          <w:right w:w="0" w:type="dxa"/>
        </w:tblCellMar>
      </w:tblPr>
      <w:tblGrid>
        <w:gridCol w:w="3850"/>
        <w:gridCol w:w="1373"/>
        <w:gridCol w:w="3293"/>
        <w:gridCol w:w="1428"/>
      </w:tblGrid>
      <w:tr>
        <w:tblPrEx>
          <w:shd w:val="clear" w:color="auto" w:fill="auto"/>
          <w:tblCellMar>
            <w:top w:w="0" w:type="dxa"/>
            <w:left w:w="0" w:type="dxa"/>
            <w:bottom w:w="0" w:type="dxa"/>
            <w:right w:w="0" w:type="dxa"/>
          </w:tblCellMar>
        </w:tblPrEx>
        <w:trPr>
          <w:trHeight w:val="448"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附件2-3</w:t>
            </w:r>
          </w:p>
        </w:tc>
      </w:tr>
      <w:tr>
        <w:tblPrEx>
          <w:tblCellMar>
            <w:top w:w="0" w:type="dxa"/>
            <w:left w:w="0" w:type="dxa"/>
            <w:bottom w:w="0" w:type="dxa"/>
            <w:right w:w="0" w:type="dxa"/>
          </w:tblCellMar>
        </w:tblPrEx>
        <w:trPr>
          <w:trHeight w:val="420" w:hRule="atLeast"/>
        </w:trPr>
        <w:tc>
          <w:tcPr>
            <w:tcW w:w="9944"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0"/>
                <w:szCs w:val="40"/>
                <w:u w:val="none"/>
              </w:rPr>
            </w:pPr>
            <w:r>
              <w:rPr>
                <w:rStyle w:val="15"/>
                <w:rFonts w:hint="eastAsia" w:ascii="方正小标宋简体" w:hAnsi="方正小标宋简体" w:eastAsia="方正小标宋简体" w:cs="方正小标宋简体"/>
                <w:sz w:val="44"/>
                <w:szCs w:val="44"/>
                <w:lang w:val="en-US" w:eastAsia="zh-CN" w:bidi="ar"/>
              </w:rPr>
              <w:t>钦北区</w:t>
            </w:r>
            <w:r>
              <w:rPr>
                <w:rStyle w:val="16"/>
                <w:rFonts w:hint="eastAsia" w:ascii="方正小标宋简体" w:hAnsi="方正小标宋简体" w:eastAsia="方正小标宋简体" w:cs="方正小标宋简体"/>
                <w:sz w:val="44"/>
                <w:szCs w:val="44"/>
                <w:lang w:val="en-US" w:eastAsia="zh-CN" w:bidi="ar"/>
              </w:rPr>
              <w:t>2020</w:t>
            </w:r>
            <w:r>
              <w:rPr>
                <w:rStyle w:val="15"/>
                <w:rFonts w:hint="eastAsia" w:ascii="方正小标宋简体" w:hAnsi="方正小标宋简体" w:eastAsia="方正小标宋简体" w:cs="方正小标宋简体"/>
                <w:sz w:val="44"/>
                <w:szCs w:val="44"/>
                <w:lang w:val="en-US" w:eastAsia="zh-CN" w:bidi="ar"/>
              </w:rPr>
              <w:t>年第一、二、三产业目标任务表</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600" w:hRule="atLeast"/>
        </w:trPr>
        <w:tc>
          <w:tcPr>
            <w:tcW w:w="3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黑体" w:hAnsi="黑体" w:eastAsia="黑体" w:cs="黑体"/>
                <w:b w:val="0"/>
                <w:bCs/>
                <w:i w:val="0"/>
                <w:color w:val="000000"/>
                <w:sz w:val="24"/>
                <w:szCs w:val="24"/>
                <w:u w:val="none"/>
              </w:rPr>
            </w:pPr>
            <w:r>
              <w:rPr>
                <w:rFonts w:hint="eastAsia" w:ascii="黑体" w:hAnsi="黑体" w:eastAsia="黑体" w:cs="黑体"/>
                <w:b w:val="0"/>
                <w:bCs/>
                <w:i w:val="0"/>
                <w:color w:val="000000"/>
                <w:kern w:val="0"/>
                <w:sz w:val="24"/>
                <w:szCs w:val="24"/>
                <w:u w:val="none"/>
                <w:lang w:val="en-US" w:eastAsia="zh-CN" w:bidi="ar"/>
              </w:rPr>
              <w:t>一、第一产业增加值</w:t>
            </w:r>
          </w:p>
        </w:tc>
        <w:tc>
          <w:tcPr>
            <w:tcW w:w="137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区农业农村局，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600"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12" w:hRule="atLeast"/>
        </w:trPr>
        <w:tc>
          <w:tcPr>
            <w:tcW w:w="3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黑体" w:hAnsi="黑体" w:eastAsia="黑体" w:cs="黑体"/>
                <w:b w:val="0"/>
                <w:bCs/>
                <w:i w:val="0"/>
                <w:color w:val="000000"/>
                <w:sz w:val="24"/>
                <w:szCs w:val="24"/>
                <w:u w:val="none"/>
              </w:rPr>
            </w:pPr>
          </w:p>
        </w:tc>
        <w:tc>
          <w:tcPr>
            <w:tcW w:w="137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黑体" w:hAnsi="黑体" w:eastAsia="黑体" w:cs="黑体"/>
                <w:b w:val="0"/>
                <w:bCs/>
                <w:i w:val="0"/>
                <w:color w:val="auto"/>
                <w:sz w:val="24"/>
                <w:szCs w:val="24"/>
                <w:highlight w:val="none"/>
                <w:u w:val="none"/>
              </w:rPr>
            </w:pPr>
            <w:r>
              <w:rPr>
                <w:rFonts w:hint="eastAsia" w:ascii="黑体" w:hAnsi="黑体" w:eastAsia="黑体" w:cs="黑体"/>
                <w:b w:val="0"/>
                <w:bCs/>
                <w:i w:val="0"/>
                <w:color w:val="auto"/>
                <w:kern w:val="0"/>
                <w:sz w:val="24"/>
                <w:szCs w:val="24"/>
                <w:highlight w:val="none"/>
                <w:u w:val="none"/>
                <w:lang w:val="en-US" w:eastAsia="zh-CN" w:bidi="ar"/>
              </w:rPr>
              <w:t>二、第二产业增加值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1.8</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1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区工业和信息化局、皇马工管委，各镇人民政府、各街道办事处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46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规模以上工业增加值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0.5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建筑业总产值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0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建筑业增加值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19"/>
                <w:rFonts w:hint="eastAsia" w:ascii="黑体" w:hAnsi="黑体" w:eastAsia="黑体" w:cs="黑体"/>
                <w:b w:val="0"/>
                <w:bCs/>
                <w:lang w:val="en-US" w:eastAsia="zh-CN" w:bidi="ar"/>
              </w:rPr>
              <w:t>三、第三产业增加值</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11.8 </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w:t>
            </w:r>
            <w:r>
              <w:rPr>
                <w:rFonts w:hint="eastAsia" w:ascii="仿宋_GB2312" w:hAnsi="仿宋_GB2312" w:eastAsia="仿宋_GB2312" w:cs="仿宋_GB2312"/>
                <w:i w:val="0"/>
                <w:color w:val="000000"/>
                <w:kern w:val="0"/>
                <w:sz w:val="24"/>
                <w:szCs w:val="24"/>
                <w:u w:val="none"/>
                <w:lang w:val="en-US" w:eastAsia="zh-CN" w:bidi="ar"/>
              </w:rPr>
              <w:t>铁路客货运周转量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区交通运输局</w:t>
            </w:r>
          </w:p>
        </w:tc>
        <w:tc>
          <w:tcPr>
            <w:tcW w:w="1428"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黄应春</w:t>
            </w:r>
          </w:p>
        </w:tc>
      </w:tr>
      <w:tr>
        <w:tblPrEx>
          <w:tblCellMar>
            <w:top w:w="0" w:type="dxa"/>
            <w:left w:w="0" w:type="dxa"/>
            <w:bottom w:w="0" w:type="dxa"/>
            <w:right w:w="0" w:type="dxa"/>
          </w:tblCellMar>
        </w:tblPrEx>
        <w:trPr>
          <w:trHeight w:val="4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2.</w:t>
            </w:r>
            <w:r>
              <w:rPr>
                <w:rFonts w:hint="eastAsia" w:ascii="仿宋_GB2312" w:hAnsi="仿宋_GB2312" w:eastAsia="仿宋_GB2312" w:cs="仿宋_GB2312"/>
                <w:i w:val="0"/>
                <w:color w:val="000000"/>
                <w:kern w:val="0"/>
                <w:sz w:val="24"/>
                <w:szCs w:val="24"/>
                <w:u w:val="none"/>
                <w:lang w:val="en-US" w:eastAsia="zh-CN" w:bidi="ar"/>
              </w:rPr>
              <w:t>公路客货运周转量</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3.</w:t>
            </w:r>
            <w:r>
              <w:rPr>
                <w:rFonts w:hint="eastAsia" w:ascii="仿宋_GB2312" w:hAnsi="仿宋_GB2312" w:eastAsia="仿宋_GB2312" w:cs="仿宋_GB2312"/>
                <w:i w:val="0"/>
                <w:color w:val="000000"/>
                <w:kern w:val="0"/>
                <w:sz w:val="24"/>
                <w:szCs w:val="24"/>
                <w:u w:val="none"/>
                <w:lang w:val="en-US" w:eastAsia="zh-CN" w:bidi="ar"/>
              </w:rPr>
              <w:t>管道运输业营业收入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1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4.</w:t>
            </w:r>
            <w:r>
              <w:rPr>
                <w:rFonts w:hint="eastAsia" w:ascii="仿宋_GB2312" w:hAnsi="仿宋_GB2312" w:eastAsia="仿宋_GB2312" w:cs="仿宋_GB2312"/>
                <w:i w:val="0"/>
                <w:color w:val="auto"/>
                <w:kern w:val="0"/>
                <w:sz w:val="24"/>
                <w:szCs w:val="24"/>
                <w:u w:val="none"/>
                <w:lang w:val="en-US" w:eastAsia="zh-CN" w:bidi="ar"/>
              </w:rPr>
              <w:t>限上批发业商品销售额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spacing w:val="-6"/>
                <w:kern w:val="0"/>
                <w:sz w:val="24"/>
                <w:szCs w:val="24"/>
                <w:u w:val="none"/>
                <w:lang w:val="en-US" w:eastAsia="zh-CN" w:bidi="ar"/>
              </w:rPr>
              <w:t>区发展改革局、区消防救援大队</w:t>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441"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20"/>
                <w:rFonts w:hint="eastAsia" w:ascii="仿宋_GB2312" w:hAnsi="仿宋_GB2312" w:eastAsia="仿宋_GB2312" w:cs="仿宋_GB2312"/>
                <w:color w:val="auto"/>
                <w:lang w:val="en-US" w:eastAsia="zh-CN" w:bidi="ar"/>
              </w:rPr>
              <w:t>5.</w:t>
            </w:r>
            <w:r>
              <w:rPr>
                <w:rFonts w:hint="eastAsia" w:ascii="仿宋_GB2312" w:hAnsi="仿宋_GB2312" w:eastAsia="仿宋_GB2312" w:cs="仿宋_GB2312"/>
                <w:i w:val="0"/>
                <w:color w:val="auto"/>
                <w:kern w:val="0"/>
                <w:sz w:val="24"/>
                <w:szCs w:val="24"/>
                <w:u w:val="none"/>
                <w:lang w:val="en-US" w:eastAsia="zh-CN" w:bidi="ar"/>
              </w:rPr>
              <w:t>限上零售业商品销售额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64"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6.</w:t>
            </w:r>
            <w:r>
              <w:rPr>
                <w:rFonts w:hint="eastAsia" w:ascii="仿宋_GB2312" w:hAnsi="仿宋_GB2312" w:eastAsia="仿宋_GB2312" w:cs="仿宋_GB2312"/>
                <w:i w:val="0"/>
                <w:color w:val="auto"/>
                <w:kern w:val="0"/>
                <w:sz w:val="24"/>
                <w:szCs w:val="24"/>
                <w:u w:val="none"/>
                <w:lang w:val="en-US" w:eastAsia="zh-CN" w:bidi="ar"/>
              </w:rPr>
              <w:t>限上住宿业营业额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区市场监管局、区卫监所、</w:t>
            </w:r>
            <w:r>
              <w:rPr>
                <w:rStyle w:val="18"/>
                <w:rFonts w:hint="eastAsia" w:ascii="仿宋_GB2312" w:hAnsi="仿宋_GB2312" w:eastAsia="仿宋_GB2312" w:cs="仿宋_GB2312"/>
                <w:lang w:val="en-US" w:eastAsia="zh-CN" w:bidi="ar"/>
              </w:rPr>
              <w:br w:type="textWrapping"/>
            </w:r>
            <w:r>
              <w:rPr>
                <w:rStyle w:val="18"/>
                <w:rFonts w:hint="eastAsia" w:ascii="仿宋_GB2312" w:hAnsi="仿宋_GB2312" w:eastAsia="仿宋_GB2312" w:cs="仿宋_GB2312"/>
                <w:lang w:val="en-US" w:eastAsia="zh-CN" w:bidi="ar"/>
              </w:rPr>
              <w:t>区</w:t>
            </w:r>
            <w:r>
              <w:rPr>
                <w:rFonts w:hint="eastAsia" w:ascii="仿宋_GB2312" w:hAnsi="仿宋_GB2312" w:eastAsia="仿宋_GB2312" w:cs="仿宋_GB2312"/>
                <w:i w:val="0"/>
                <w:color w:val="000000"/>
                <w:kern w:val="0"/>
                <w:sz w:val="24"/>
                <w:szCs w:val="24"/>
                <w:u w:val="none"/>
                <w:lang w:val="en-US" w:eastAsia="zh-CN" w:bidi="ar"/>
              </w:rPr>
              <w:t>消防救援大队</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5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auto"/>
                <w:sz w:val="24"/>
                <w:szCs w:val="24"/>
                <w:u w:val="none"/>
              </w:rPr>
            </w:pPr>
            <w:r>
              <w:rPr>
                <w:rStyle w:val="18"/>
                <w:rFonts w:hint="eastAsia" w:ascii="仿宋_GB2312" w:hAnsi="仿宋_GB2312" w:eastAsia="仿宋_GB2312" w:cs="仿宋_GB2312"/>
                <w:color w:val="auto"/>
                <w:lang w:val="en-US" w:eastAsia="zh-CN" w:bidi="ar"/>
              </w:rPr>
              <w:t>7.</w:t>
            </w:r>
            <w:r>
              <w:rPr>
                <w:rFonts w:hint="eastAsia" w:ascii="仿宋_GB2312" w:hAnsi="仿宋_GB2312" w:eastAsia="仿宋_GB2312" w:cs="仿宋_GB2312"/>
                <w:i w:val="0"/>
                <w:color w:val="auto"/>
                <w:kern w:val="0"/>
                <w:sz w:val="24"/>
                <w:szCs w:val="24"/>
                <w:u w:val="none"/>
                <w:lang w:val="en-US" w:eastAsia="zh-CN" w:bidi="ar"/>
              </w:rPr>
              <w:t>限上餐饮业营业额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auto"/>
                <w:sz w:val="24"/>
                <w:szCs w:val="24"/>
                <w:u w:val="none"/>
              </w:rPr>
            </w:pPr>
            <w:r>
              <w:rPr>
                <w:rFonts w:hint="default" w:ascii="Times New Roman" w:hAnsi="Times New Roman" w:eastAsia="宋体" w:cs="Times New Roman"/>
                <w:i w:val="0"/>
                <w:color w:val="auto"/>
                <w:kern w:val="0"/>
                <w:sz w:val="24"/>
                <w:szCs w:val="24"/>
                <w:u w:val="none"/>
                <w:lang w:val="en-US" w:eastAsia="zh-CN" w:bidi="ar"/>
              </w:rPr>
              <w:t>5</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8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8.</w:t>
            </w:r>
            <w:r>
              <w:rPr>
                <w:rFonts w:hint="eastAsia" w:ascii="仿宋_GB2312" w:hAnsi="仿宋_GB2312" w:eastAsia="仿宋_GB2312" w:cs="仿宋_GB2312"/>
                <w:i w:val="0"/>
                <w:color w:val="000000"/>
                <w:kern w:val="0"/>
                <w:sz w:val="24"/>
                <w:szCs w:val="24"/>
                <w:u w:val="none"/>
                <w:lang w:val="en-US" w:eastAsia="zh-CN" w:bidi="ar"/>
              </w:rPr>
              <w:t>人民币贷款余额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32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区财政局（金融办）</w:t>
            </w:r>
          </w:p>
        </w:tc>
        <w:tc>
          <w:tcPr>
            <w:tcW w:w="14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p>
        </w:tc>
      </w:tr>
      <w:tr>
        <w:tblPrEx>
          <w:tblCellMar>
            <w:top w:w="0" w:type="dxa"/>
            <w:left w:w="0" w:type="dxa"/>
            <w:bottom w:w="0" w:type="dxa"/>
            <w:right w:w="0" w:type="dxa"/>
          </w:tblCellMar>
        </w:tblPrEx>
        <w:trPr>
          <w:trHeight w:val="537"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9.</w:t>
            </w:r>
            <w:r>
              <w:rPr>
                <w:rFonts w:hint="eastAsia" w:ascii="仿宋_GB2312" w:hAnsi="仿宋_GB2312" w:eastAsia="仿宋_GB2312" w:cs="仿宋_GB2312"/>
                <w:i w:val="0"/>
                <w:color w:val="000000"/>
                <w:kern w:val="0"/>
                <w:sz w:val="24"/>
                <w:szCs w:val="24"/>
                <w:u w:val="none"/>
                <w:lang w:val="en-US" w:eastAsia="zh-CN" w:bidi="ar"/>
              </w:rPr>
              <w:t>证券交易额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9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10.</w:t>
            </w:r>
            <w:r>
              <w:rPr>
                <w:rFonts w:hint="eastAsia" w:ascii="仿宋_GB2312" w:hAnsi="仿宋_GB2312" w:eastAsia="仿宋_GB2312" w:cs="仿宋_GB2312"/>
                <w:i w:val="0"/>
                <w:color w:val="000000"/>
                <w:kern w:val="0"/>
                <w:sz w:val="24"/>
                <w:szCs w:val="24"/>
                <w:u w:val="none"/>
                <w:lang w:val="en-US" w:eastAsia="zh-CN" w:bidi="ar"/>
              </w:rPr>
              <w:t>保费收入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32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11.</w:t>
            </w:r>
            <w:r>
              <w:rPr>
                <w:rFonts w:hint="eastAsia" w:ascii="仿宋_GB2312" w:hAnsi="仿宋_GB2312" w:eastAsia="仿宋_GB2312" w:cs="仿宋_GB2312"/>
                <w:i w:val="0"/>
                <w:color w:val="000000"/>
                <w:kern w:val="0"/>
                <w:sz w:val="24"/>
                <w:szCs w:val="24"/>
                <w:u w:val="none"/>
                <w:lang w:val="en-US" w:eastAsia="zh-CN" w:bidi="ar"/>
              </w:rPr>
              <w:t>商品房销售面积</w:t>
            </w:r>
          </w:p>
        </w:tc>
        <w:tc>
          <w:tcPr>
            <w:tcW w:w="137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持平</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区住房城乡建设局</w:t>
            </w:r>
          </w:p>
        </w:tc>
        <w:tc>
          <w:tcPr>
            <w:tcW w:w="14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60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Style w:val="18"/>
                <w:rFonts w:hint="eastAsia" w:ascii="仿宋_GB2312" w:hAnsi="仿宋_GB2312" w:eastAsia="仿宋_GB2312" w:cs="仿宋_GB2312"/>
                <w:lang w:val="en-US" w:eastAsia="zh-CN" w:bidi="ar"/>
              </w:rPr>
              <w:t>12.</w:t>
            </w:r>
            <w:r>
              <w:rPr>
                <w:rFonts w:hint="eastAsia" w:ascii="仿宋_GB2312" w:hAnsi="仿宋_GB2312" w:eastAsia="仿宋_GB2312" w:cs="仿宋_GB2312"/>
                <w:i w:val="0"/>
                <w:color w:val="000000"/>
                <w:kern w:val="0"/>
                <w:sz w:val="24"/>
                <w:szCs w:val="24"/>
                <w:u w:val="none"/>
                <w:lang w:val="en-US" w:eastAsia="zh-CN" w:bidi="ar"/>
              </w:rPr>
              <w:t>其他营利性服务业营业收入</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36"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指标名称</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Style w:val="17"/>
                <w:lang w:val="en-US" w:eastAsia="zh-CN" w:bidi="ar"/>
              </w:rPr>
            </w:pPr>
            <w:r>
              <w:rPr>
                <w:rStyle w:val="18"/>
                <w:rFonts w:eastAsia="宋体"/>
                <w:lang w:val="en-US" w:eastAsia="zh-CN" w:bidi="ar"/>
              </w:rPr>
              <w:t>2020</w:t>
            </w:r>
            <w:r>
              <w:rPr>
                <w:rStyle w:val="17"/>
                <w:lang w:val="en-US" w:eastAsia="zh-CN" w:bidi="ar"/>
              </w:rPr>
              <w:t>年</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增长目标</w:t>
            </w:r>
            <w:r>
              <w:rPr>
                <w:rStyle w:val="18"/>
                <w:rFonts w:eastAsia="宋体"/>
                <w:lang w:val="en-US" w:eastAsia="zh-CN" w:bidi="ar"/>
              </w:rPr>
              <w:t>%</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责任部门</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17"/>
                <w:lang w:val="en-US" w:eastAsia="zh-CN" w:bidi="ar"/>
              </w:rPr>
              <w:t>责任区领导</w:t>
            </w:r>
          </w:p>
        </w:tc>
      </w:tr>
      <w:tr>
        <w:tblPrEx>
          <w:tblCellMar>
            <w:top w:w="0" w:type="dxa"/>
            <w:left w:w="0" w:type="dxa"/>
            <w:bottom w:w="0" w:type="dxa"/>
            <w:right w:w="0" w:type="dxa"/>
          </w:tblCellMar>
        </w:tblPrEx>
        <w:trPr>
          <w:trHeight w:val="75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租赁和商务服务业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区财政局、区发展改革局，长田街道办事处、子材街道办事处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潘有南</w:t>
            </w:r>
            <w:r>
              <w:rPr>
                <w:rFonts w:hint="eastAsia" w:ascii="仿宋_GB2312" w:hAnsi="宋体" w:eastAsia="仿宋_GB2312" w:cs="仿宋_GB2312"/>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90"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文化、体育和娱乐业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区文化广电体育旅游局，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各街道办事处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黄荡开</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居民服务、修理和其他服务业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区发展改革局，子材街道办事处、长田街道办事处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谢显鑫</w:t>
            </w:r>
          </w:p>
        </w:tc>
      </w:tr>
      <w:tr>
        <w:tblPrEx>
          <w:tblCellMar>
            <w:top w:w="0" w:type="dxa"/>
            <w:left w:w="0" w:type="dxa"/>
            <w:bottom w:w="0" w:type="dxa"/>
            <w:right w:w="0" w:type="dxa"/>
          </w:tblCellMar>
        </w:tblPrEx>
        <w:trPr>
          <w:trHeight w:val="778"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信息传输、软件和信息技术服务业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r>
        <w:tblPrEx>
          <w:tblCellMar>
            <w:top w:w="0" w:type="dxa"/>
            <w:left w:w="0" w:type="dxa"/>
            <w:bottom w:w="0" w:type="dxa"/>
            <w:right w:w="0" w:type="dxa"/>
          </w:tblCellMar>
        </w:tblPrEx>
        <w:trPr>
          <w:trHeight w:val="723"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科学研究和技术服务业</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区科技局、公安钦北分局，</w:t>
            </w:r>
            <w:r>
              <w:rPr>
                <w:rStyle w:val="20"/>
                <w:rFonts w:eastAsia="宋体"/>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r>
              <w:rPr>
                <w:rStyle w:val="20"/>
                <w:rFonts w:eastAsia="仿宋_GB2312"/>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蒋基勋</w:t>
            </w:r>
          </w:p>
        </w:tc>
      </w:tr>
      <w:tr>
        <w:tblPrEx>
          <w:tblCellMar>
            <w:top w:w="0" w:type="dxa"/>
            <w:left w:w="0" w:type="dxa"/>
            <w:bottom w:w="0" w:type="dxa"/>
            <w:right w:w="0" w:type="dxa"/>
          </w:tblCellMar>
        </w:tblPrEx>
        <w:trPr>
          <w:trHeight w:val="1249" w:hRule="atLeast"/>
        </w:trPr>
        <w:tc>
          <w:tcPr>
            <w:tcW w:w="3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仿宋_GB2312" w:hAnsi="仿宋_GB2312" w:eastAsia="仿宋_GB2312" w:cs="仿宋_GB2312"/>
                <w:i w:val="0"/>
                <w:color w:val="000000"/>
                <w:sz w:val="24"/>
                <w:szCs w:val="24"/>
                <w:u w:val="none"/>
              </w:rPr>
            </w:pPr>
            <w:r>
              <w:rPr>
                <w:rStyle w:val="20"/>
                <w:rFonts w:hint="default" w:ascii="Times New Roman" w:hAnsi="Times New Roman" w:eastAsia="仿宋_GB2312" w:cs="Times New Roman"/>
                <w:spacing w:val="-6"/>
                <w:lang w:val="en-US" w:eastAsia="zh-CN" w:bidi="ar"/>
              </w:rPr>
              <w:t>13.</w:t>
            </w:r>
            <w:r>
              <w:rPr>
                <w:rFonts w:hint="eastAsia" w:ascii="仿宋_GB2312" w:hAnsi="仿宋_GB2312" w:eastAsia="仿宋_GB2312" w:cs="仿宋_GB2312"/>
                <w:i w:val="0"/>
                <w:color w:val="000000"/>
                <w:spacing w:val="-6"/>
                <w:kern w:val="0"/>
                <w:sz w:val="24"/>
                <w:szCs w:val="24"/>
                <w:u w:val="none"/>
                <w:lang w:val="en-US" w:eastAsia="zh-CN" w:bidi="ar"/>
              </w:rPr>
              <w:t>非营利性服务业从业人员工资总额</w:t>
            </w:r>
          </w:p>
        </w:tc>
        <w:tc>
          <w:tcPr>
            <w:tcW w:w="13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32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区财政局、区教育局、区卫生健康局、区科技局、区水利局、区文化广电体育旅游局</w:t>
            </w:r>
          </w:p>
        </w:tc>
        <w:tc>
          <w:tcPr>
            <w:tcW w:w="14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潘有南</w:t>
            </w:r>
          </w:p>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黄应春</w:t>
            </w:r>
          </w:p>
          <w:p>
            <w:pPr>
              <w:keepNext w:val="0"/>
              <w:keepLines w:val="0"/>
              <w:widowControl/>
              <w:suppressLineNumbers w:val="0"/>
              <w:jc w:val="center"/>
              <w:textAlignment w:val="center"/>
              <w:rPr>
                <w:rFonts w:hint="eastAsia"/>
                <w:lang w:val="en-US" w:eastAsia="zh-CN"/>
              </w:rPr>
            </w:pPr>
            <w:r>
              <w:rPr>
                <w:rFonts w:hint="eastAsia" w:ascii="仿宋_GB2312" w:hAnsi="宋体" w:eastAsia="仿宋_GB2312" w:cs="仿宋_GB2312"/>
                <w:i w:val="0"/>
                <w:color w:val="000000"/>
                <w:kern w:val="0"/>
                <w:sz w:val="24"/>
                <w:szCs w:val="24"/>
                <w:u w:val="none"/>
                <w:lang w:val="en-US" w:eastAsia="zh-CN" w:bidi="ar"/>
              </w:rPr>
              <w:t>黄荡开</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潘运精</w:t>
            </w:r>
          </w:p>
        </w:tc>
      </w:tr>
    </w:tbl>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tbl>
      <w:tblPr>
        <w:tblStyle w:val="5"/>
        <w:tblW w:w="9846" w:type="dxa"/>
        <w:tblInd w:w="522" w:type="dxa"/>
        <w:shd w:val="clear" w:color="auto" w:fill="auto"/>
        <w:tblLayout w:type="fixed"/>
        <w:tblCellMar>
          <w:top w:w="0" w:type="dxa"/>
          <w:left w:w="0" w:type="dxa"/>
          <w:bottom w:w="0" w:type="dxa"/>
          <w:right w:w="0" w:type="dxa"/>
        </w:tblCellMar>
      </w:tblPr>
      <w:tblGrid>
        <w:gridCol w:w="2441"/>
        <w:gridCol w:w="436"/>
        <w:gridCol w:w="846"/>
        <w:gridCol w:w="1377"/>
        <w:gridCol w:w="2168"/>
        <w:gridCol w:w="1991"/>
        <w:gridCol w:w="587"/>
      </w:tblGrid>
      <w:tr>
        <w:tblPrEx>
          <w:shd w:val="clear" w:color="auto" w:fill="auto"/>
          <w:tblCellMar>
            <w:top w:w="0" w:type="dxa"/>
            <w:left w:w="0" w:type="dxa"/>
            <w:bottom w:w="0" w:type="dxa"/>
            <w:right w:w="0" w:type="dxa"/>
          </w:tblCellMar>
        </w:tblPrEx>
        <w:trPr>
          <w:trHeight w:val="557"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附件2-4</w:t>
            </w:r>
          </w:p>
        </w:tc>
      </w:tr>
      <w:tr>
        <w:tblPrEx>
          <w:tblCellMar>
            <w:top w:w="0" w:type="dxa"/>
            <w:left w:w="0" w:type="dxa"/>
            <w:bottom w:w="0" w:type="dxa"/>
            <w:right w:w="0" w:type="dxa"/>
          </w:tblCellMar>
        </w:tblPrEx>
        <w:trPr>
          <w:trHeight w:val="503" w:hRule="atLeast"/>
        </w:trPr>
        <w:tc>
          <w:tcPr>
            <w:tcW w:w="9846" w:type="dxa"/>
            <w:gridSpan w:val="7"/>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Style w:val="21"/>
                <w:rFonts w:hint="eastAsia" w:ascii="方正小标宋简体" w:hAnsi="方正小标宋简体" w:eastAsia="方正小标宋简体" w:cs="方正小标宋简体"/>
                <w:sz w:val="44"/>
                <w:szCs w:val="44"/>
                <w:lang w:val="en-US" w:eastAsia="zh-CN" w:bidi="ar"/>
              </w:rPr>
              <w:t>钦北区</w:t>
            </w:r>
            <w:r>
              <w:rPr>
                <w:rFonts w:hint="eastAsia" w:ascii="方正小标宋简体" w:hAnsi="方正小标宋简体" w:eastAsia="方正小标宋简体" w:cs="方正小标宋简体"/>
                <w:i w:val="0"/>
                <w:color w:val="000000"/>
                <w:kern w:val="0"/>
                <w:sz w:val="44"/>
                <w:szCs w:val="44"/>
                <w:u w:val="none"/>
                <w:lang w:val="en-US" w:eastAsia="zh-CN" w:bidi="ar"/>
              </w:rPr>
              <w:t>2020</w:t>
            </w:r>
            <w:r>
              <w:rPr>
                <w:rStyle w:val="21"/>
                <w:rFonts w:hint="eastAsia" w:ascii="方正小标宋简体" w:hAnsi="方正小标宋简体" w:eastAsia="方正小标宋简体" w:cs="方正小标宋简体"/>
                <w:sz w:val="44"/>
                <w:szCs w:val="44"/>
                <w:lang w:val="en-US" w:eastAsia="zh-CN" w:bidi="ar"/>
              </w:rPr>
              <w:t>年固定资产投资目标任务表</w:t>
            </w:r>
          </w:p>
        </w:tc>
      </w:tr>
      <w:tr>
        <w:tblPrEx>
          <w:tblCellMar>
            <w:top w:w="0" w:type="dxa"/>
            <w:left w:w="0" w:type="dxa"/>
            <w:bottom w:w="0" w:type="dxa"/>
            <w:right w:w="0" w:type="dxa"/>
          </w:tblCellMar>
        </w:tblPrEx>
        <w:trPr>
          <w:trHeight w:val="38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行业类别</w:t>
            </w:r>
          </w:p>
        </w:tc>
        <w:tc>
          <w:tcPr>
            <w:tcW w:w="128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2019年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增速%</w:t>
            </w:r>
          </w:p>
        </w:tc>
        <w:tc>
          <w:tcPr>
            <w:tcW w:w="137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2020年</w:t>
            </w:r>
            <w:r>
              <w:rPr>
                <w:rFonts w:hint="default" w:ascii="Times New Roman" w:hAnsi="Times New Roman" w:eastAsia="黑体" w:cs="Times New Roman"/>
                <w:i w:val="0"/>
                <w:color w:val="000000"/>
                <w:kern w:val="0"/>
                <w:sz w:val="24"/>
                <w:szCs w:val="24"/>
                <w:u w:val="none"/>
                <w:lang w:val="en-US" w:eastAsia="zh-CN" w:bidi="ar"/>
              </w:rPr>
              <w:br w:type="textWrapping"/>
            </w:r>
            <w:r>
              <w:rPr>
                <w:rFonts w:hint="default" w:ascii="Times New Roman" w:hAnsi="Times New Roman" w:eastAsia="黑体" w:cs="Times New Roman"/>
                <w:i w:val="0"/>
                <w:color w:val="000000"/>
                <w:kern w:val="0"/>
                <w:sz w:val="24"/>
                <w:szCs w:val="24"/>
                <w:u w:val="none"/>
                <w:lang w:val="en-US" w:eastAsia="zh-CN" w:bidi="ar"/>
              </w:rPr>
              <w:t>目标增速%</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责任单位</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所属辖区</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责任单位</w:t>
            </w:r>
          </w:p>
        </w:tc>
      </w:tr>
      <w:tr>
        <w:tblPrEx>
          <w:tblCellMar>
            <w:top w:w="0" w:type="dxa"/>
            <w:left w:w="0" w:type="dxa"/>
            <w:bottom w:w="0" w:type="dxa"/>
            <w:right w:w="0" w:type="dxa"/>
          </w:tblCellMar>
        </w:tblPrEx>
        <w:trPr>
          <w:trHeight w:val="34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37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固定资产投资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25.7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w:t>
            </w:r>
          </w:p>
        </w:tc>
        <w:tc>
          <w:tcPr>
            <w:tcW w:w="21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val="0"/>
                <w:bCs/>
                <w:i w:val="0"/>
                <w:color w:val="000000"/>
                <w:sz w:val="24"/>
                <w:szCs w:val="24"/>
                <w:u w:val="none"/>
              </w:rPr>
            </w:pPr>
            <w:r>
              <w:rPr>
                <w:rStyle w:val="22"/>
                <w:rFonts w:hint="eastAsia" w:ascii="黑体" w:hAnsi="黑体" w:eastAsia="黑体" w:cs="黑体"/>
                <w:b w:val="0"/>
                <w:bCs/>
                <w:sz w:val="24"/>
                <w:szCs w:val="24"/>
                <w:lang w:val="en-US" w:eastAsia="zh-CN" w:bidi="ar"/>
              </w:rPr>
              <w:t>一、工业投资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区工业和信息化局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大寺镇、大垌镇、那蒙镇、青塘镇人民政府，长田街道办事处</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制造业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19.5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3.5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3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技改投资（全口径）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二、交通投资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2.4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-15.0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295"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仿宋_GB2312" w:hAnsi="仿宋_GB2312" w:eastAsia="仿宋_GB2312" w:cs="仿宋_GB2312"/>
                <w:i w:val="0"/>
                <w:color w:val="000000"/>
                <w:kern w:val="0"/>
                <w:sz w:val="24"/>
                <w:szCs w:val="24"/>
                <w:u w:val="none"/>
                <w:lang w:val="en-US" w:eastAsia="zh-CN" w:bidi="ar"/>
              </w:rPr>
              <w:t>公路</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11.2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-18.1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区交通运输局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小董镇、大寺镇、板城镇、大垌镇、那蒙镇、青塘镇、新棠镇、长滩镇人民政府，长田街道办事处</w:t>
            </w:r>
          </w:p>
        </w:tc>
      </w:tr>
      <w:tr>
        <w:tblPrEx>
          <w:tblCellMar>
            <w:top w:w="0" w:type="dxa"/>
            <w:left w:w="0" w:type="dxa"/>
            <w:bottom w:w="0" w:type="dxa"/>
            <w:right w:w="0" w:type="dxa"/>
          </w:tblCellMar>
        </w:tblPrEx>
        <w:trPr>
          <w:trHeight w:val="1224"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三、基础设施（主要包括市政道路、污水及垃圾处理、供水、公园、绿化亮化等项目）</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2.7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区住房城乡建设局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p>
        </w:tc>
      </w:tr>
      <w:tr>
        <w:tblPrEx>
          <w:tblCellMar>
            <w:top w:w="0" w:type="dxa"/>
            <w:left w:w="0" w:type="dxa"/>
            <w:bottom w:w="0" w:type="dxa"/>
            <w:right w:w="0" w:type="dxa"/>
          </w:tblCellMar>
        </w:tblPrEx>
        <w:trPr>
          <w:trHeight w:val="9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四、房地产投资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11.7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大寺镇人民政府、</w:t>
            </w:r>
          </w:p>
          <w:p>
            <w:pPr>
              <w:keepNext w:val="0"/>
              <w:keepLines w:val="0"/>
              <w:widowControl/>
              <w:suppressLineNumbers w:val="0"/>
              <w:jc w:val="center"/>
              <w:textAlignment w:val="center"/>
              <w:rPr>
                <w:rFonts w:hint="eastAsia" w:ascii="Times New Roman" w:hAnsi="Times New Roman" w:eastAsia="仿宋_GB2312" w:cs="Times New Roman"/>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长田街道办事处、</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子材街道办事处</w:t>
            </w:r>
          </w:p>
        </w:tc>
      </w:tr>
      <w:tr>
        <w:tblPrEx>
          <w:tblCellMar>
            <w:top w:w="0" w:type="dxa"/>
            <w:left w:w="0" w:type="dxa"/>
            <w:bottom w:w="0" w:type="dxa"/>
            <w:right w:w="0" w:type="dxa"/>
          </w:tblCellMar>
        </w:tblPrEx>
        <w:trPr>
          <w:trHeight w:val="48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五、商贸投资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区发展改革局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Style w:val="22"/>
                <w:rFonts w:hint="eastAsia" w:ascii="黑体" w:hAnsi="黑体" w:eastAsia="黑体" w:cs="黑体"/>
                <w:b w:val="0"/>
                <w:bCs/>
                <w:sz w:val="24"/>
                <w:szCs w:val="24"/>
                <w:lang w:val="en-US" w:eastAsia="zh-CN" w:bidi="ar"/>
              </w:rPr>
            </w:pPr>
            <w:r>
              <w:rPr>
                <w:rStyle w:val="22"/>
                <w:rFonts w:hint="eastAsia" w:ascii="黑体" w:hAnsi="黑体" w:eastAsia="黑体" w:cs="黑体"/>
                <w:b w:val="0"/>
                <w:bCs/>
                <w:sz w:val="24"/>
                <w:szCs w:val="24"/>
                <w:lang w:val="en-US" w:eastAsia="zh-CN" w:bidi="ar"/>
              </w:rPr>
              <w:t>六、社会事业投资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5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（一）教育</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67.9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6.8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区教育局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长田街道办事处、</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仿宋_GB2312" w:hAnsi="Times New Roman" w:eastAsia="仿宋_GB2312" w:cs="仿宋_GB2312"/>
                <w:i w:val="0"/>
                <w:color w:val="000000"/>
                <w:kern w:val="0"/>
                <w:sz w:val="24"/>
                <w:szCs w:val="24"/>
                <w:u w:val="none"/>
                <w:lang w:val="en-US" w:eastAsia="zh-CN" w:bidi="ar"/>
              </w:rPr>
              <w:t>鸿亭街道办事处</w:t>
            </w: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（二）卫生</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区卫生健康局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（三）文化</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区文化广电体育</w:t>
            </w:r>
          </w:p>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旅游局</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6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（四）党政机关团体投资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宋体" w:eastAsia="仿宋_GB2312" w:cs="仿宋_GB2312"/>
                <w:b/>
                <w:i w:val="0"/>
                <w:color w:val="000000"/>
                <w:sz w:val="24"/>
                <w:szCs w:val="24"/>
                <w:u w:val="none"/>
              </w:rPr>
            </w:pPr>
            <w:r>
              <w:rPr>
                <w:rStyle w:val="22"/>
                <w:rFonts w:hint="eastAsia" w:ascii="黑体" w:hAnsi="黑体" w:eastAsia="黑体" w:cs="黑体"/>
                <w:b w:val="0"/>
                <w:bCs/>
                <w:sz w:val="24"/>
                <w:szCs w:val="24"/>
                <w:lang w:val="en-US" w:eastAsia="zh-CN" w:bidi="ar"/>
              </w:rPr>
              <w:t>七、农林牧渔业投资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40.5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2.5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（一）农业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30.6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1.0 </w:t>
            </w:r>
          </w:p>
        </w:tc>
        <w:tc>
          <w:tcPr>
            <w:tcW w:w="21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区农业农村局</w:t>
            </w:r>
          </w:p>
        </w:tc>
        <w:tc>
          <w:tcPr>
            <w:tcW w:w="257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trHeight w:val="42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（二）林业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（三）畜牧业+渔业</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21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宋体" w:eastAsia="仿宋_GB2312" w:cs="仿宋_GB2312"/>
                <w:i w:val="0"/>
                <w:color w:val="000000"/>
                <w:sz w:val="24"/>
                <w:szCs w:val="24"/>
                <w:u w:val="none"/>
              </w:rPr>
            </w:pPr>
          </w:p>
        </w:tc>
        <w:tc>
          <w:tcPr>
            <w:tcW w:w="257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0"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八、水利投资</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9.6 </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7.9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区水利局</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小董镇、大寺镇、大直镇</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宋体" w:eastAsia="仿宋_GB2312" w:cs="仿宋_GB2312"/>
                <w:i w:val="0"/>
                <w:color w:val="000000"/>
                <w:kern w:val="0"/>
                <w:sz w:val="24"/>
                <w:szCs w:val="24"/>
                <w:u w:val="none"/>
                <w:lang w:val="en-US" w:eastAsia="zh-CN" w:bidi="ar"/>
              </w:rPr>
              <w:t>人民政府</w:t>
            </w:r>
          </w:p>
        </w:tc>
      </w:tr>
      <w:tr>
        <w:tblPrEx>
          <w:tblCellMar>
            <w:top w:w="0" w:type="dxa"/>
            <w:left w:w="0" w:type="dxa"/>
            <w:bottom w:w="0" w:type="dxa"/>
            <w:right w:w="0" w:type="dxa"/>
          </w:tblCellMar>
        </w:tblPrEx>
        <w:trPr>
          <w:trHeight w:val="1313" w:hRule="atLeast"/>
        </w:trPr>
        <w:tc>
          <w:tcPr>
            <w:tcW w:w="24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Times New Roman" w:hAnsi="Times New Roman" w:eastAsia="宋体" w:cs="Times New Roman"/>
                <w:b/>
                <w:i w:val="0"/>
                <w:color w:val="000000"/>
                <w:sz w:val="24"/>
                <w:szCs w:val="24"/>
                <w:u w:val="none"/>
              </w:rPr>
            </w:pPr>
            <w:r>
              <w:rPr>
                <w:rStyle w:val="22"/>
                <w:rFonts w:hint="eastAsia" w:ascii="黑体" w:hAnsi="黑体" w:eastAsia="黑体" w:cs="黑体"/>
                <w:b w:val="0"/>
                <w:bCs/>
                <w:sz w:val="24"/>
                <w:szCs w:val="24"/>
                <w:lang w:val="en-US" w:eastAsia="zh-CN" w:bidi="ar"/>
              </w:rPr>
              <w:t>九、其他投资（包括建筑业、邮政业、金融业、生态保护和环境治理业、社会工作等）</w:t>
            </w:r>
          </w:p>
        </w:tc>
        <w:tc>
          <w:tcPr>
            <w:tcW w:w="1282"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p>
        </w:tc>
        <w:tc>
          <w:tcPr>
            <w:tcW w:w="1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42.9 </w:t>
            </w:r>
          </w:p>
        </w:tc>
        <w:tc>
          <w:tcPr>
            <w:tcW w:w="21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各项目建设单位</w:t>
            </w:r>
          </w:p>
        </w:tc>
        <w:tc>
          <w:tcPr>
            <w:tcW w:w="257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r>
              <w:rPr>
                <w:rFonts w:hint="eastAsia" w:ascii="仿宋_GB2312" w:hAnsi="Times New Roman" w:eastAsia="仿宋_GB2312" w:cs="仿宋_GB2312"/>
                <w:i w:val="0"/>
                <w:color w:val="000000"/>
                <w:kern w:val="0"/>
                <w:sz w:val="24"/>
                <w:szCs w:val="24"/>
                <w:u w:val="none"/>
                <w:lang w:val="en-US" w:eastAsia="zh-CN" w:bidi="ar"/>
              </w:rPr>
              <w:t>个镇人民政府</w:t>
            </w:r>
          </w:p>
        </w:tc>
      </w:tr>
      <w:tr>
        <w:tblPrEx>
          <w:tblCellMar>
            <w:top w:w="0" w:type="dxa"/>
            <w:left w:w="0" w:type="dxa"/>
            <w:bottom w:w="0" w:type="dxa"/>
            <w:right w:w="0" w:type="dxa"/>
          </w:tblCellMar>
        </w:tblPrEx>
        <w:trPr>
          <w:gridAfter w:val="1"/>
          <w:wAfter w:w="587" w:type="dxa"/>
          <w:trHeight w:val="90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jc w:val="both"/>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2-5</w:t>
            </w:r>
          </w:p>
        </w:tc>
      </w:tr>
      <w:tr>
        <w:tblPrEx>
          <w:tblCellMar>
            <w:top w:w="0" w:type="dxa"/>
            <w:left w:w="0" w:type="dxa"/>
            <w:bottom w:w="0" w:type="dxa"/>
            <w:right w:w="0" w:type="dxa"/>
          </w:tblCellMar>
        </w:tblPrEx>
        <w:trPr>
          <w:gridAfter w:val="1"/>
          <w:wAfter w:w="587" w:type="dxa"/>
          <w:trHeight w:val="63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36"/>
                <w:szCs w:val="36"/>
                <w:u w:val="none"/>
              </w:rPr>
            </w:pPr>
            <w:r>
              <w:rPr>
                <w:rFonts w:hint="eastAsia" w:ascii="方正小标宋简体" w:hAnsi="方正小标宋简体" w:eastAsia="方正小标宋简体" w:cs="方正小标宋简体"/>
                <w:i w:val="0"/>
                <w:color w:val="000000"/>
                <w:spacing w:val="-6"/>
                <w:kern w:val="0"/>
                <w:sz w:val="44"/>
                <w:szCs w:val="44"/>
                <w:u w:val="none"/>
                <w:lang w:val="en-US" w:eastAsia="zh-CN" w:bidi="ar"/>
              </w:rPr>
              <w:t>钦北区2020年各镇（街道）税收收入目标任务表</w:t>
            </w:r>
          </w:p>
        </w:tc>
      </w:tr>
      <w:tr>
        <w:tblPrEx>
          <w:tblCellMar>
            <w:top w:w="0" w:type="dxa"/>
            <w:left w:w="0" w:type="dxa"/>
            <w:bottom w:w="0" w:type="dxa"/>
            <w:right w:w="0" w:type="dxa"/>
          </w:tblCellMar>
        </w:tblPrEx>
        <w:trPr>
          <w:gridAfter w:val="1"/>
          <w:wAfter w:w="587" w:type="dxa"/>
          <w:trHeight w:val="540" w:hRule="atLeast"/>
        </w:trPr>
        <w:tc>
          <w:tcPr>
            <w:tcW w:w="925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 xml:space="preserve">                                                                   单位：万元</w:t>
            </w:r>
          </w:p>
        </w:tc>
      </w:tr>
      <w:tr>
        <w:tblPrEx>
          <w:tblCellMar>
            <w:top w:w="0" w:type="dxa"/>
            <w:left w:w="0" w:type="dxa"/>
            <w:bottom w:w="0" w:type="dxa"/>
            <w:right w:w="0" w:type="dxa"/>
          </w:tblCellMar>
        </w:tblPrEx>
        <w:trPr>
          <w:gridAfter w:val="1"/>
          <w:wAfter w:w="587" w:type="dxa"/>
          <w:trHeight w:val="630" w:hRule="atLeast"/>
        </w:trPr>
        <w:tc>
          <w:tcPr>
            <w:tcW w:w="2877"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6382" w:type="dxa"/>
            <w:gridSpan w:val="4"/>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税收</w:t>
            </w:r>
          </w:p>
        </w:tc>
      </w:tr>
      <w:tr>
        <w:tblPrEx>
          <w:tblCellMar>
            <w:top w:w="0" w:type="dxa"/>
            <w:left w:w="0" w:type="dxa"/>
            <w:bottom w:w="0" w:type="dxa"/>
            <w:right w:w="0" w:type="dxa"/>
          </w:tblCellMar>
        </w:tblPrEx>
        <w:trPr>
          <w:gridAfter w:val="1"/>
          <w:wAfter w:w="587" w:type="dxa"/>
          <w:trHeight w:val="240" w:hRule="atLeast"/>
        </w:trPr>
        <w:tc>
          <w:tcPr>
            <w:tcW w:w="2877"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6382" w:type="dxa"/>
            <w:gridSpan w:val="4"/>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2968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636</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1369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2549</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530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15400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78</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21700</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其他</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20345</w:t>
            </w:r>
          </w:p>
        </w:tc>
      </w:tr>
      <w:tr>
        <w:tblPrEx>
          <w:tblCellMar>
            <w:top w:w="0" w:type="dxa"/>
            <w:left w:w="0" w:type="dxa"/>
            <w:bottom w:w="0" w:type="dxa"/>
            <w:right w:w="0" w:type="dxa"/>
          </w:tblCellMar>
        </w:tblPrEx>
        <w:trPr>
          <w:gridAfter w:val="1"/>
          <w:wAfter w:w="587" w:type="dxa"/>
          <w:trHeight w:val="714" w:hRule="exact"/>
        </w:trPr>
        <w:tc>
          <w:tcPr>
            <w:tcW w:w="287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382" w:type="dxa"/>
            <w:gridSpan w:val="4"/>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74000</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23" w:type="dxa"/>
        <w:tblInd w:w="851" w:type="dxa"/>
        <w:shd w:val="clear" w:color="auto" w:fill="auto"/>
        <w:tblLayout w:type="fixed"/>
        <w:tblCellMar>
          <w:top w:w="0" w:type="dxa"/>
          <w:left w:w="0" w:type="dxa"/>
          <w:bottom w:w="0" w:type="dxa"/>
          <w:right w:w="0" w:type="dxa"/>
        </w:tblCellMar>
      </w:tblPr>
      <w:tblGrid>
        <w:gridCol w:w="2441"/>
        <w:gridCol w:w="1514"/>
        <w:gridCol w:w="2550"/>
        <w:gridCol w:w="2618"/>
      </w:tblGrid>
      <w:tr>
        <w:tblPrEx>
          <w:shd w:val="clear" w:color="auto" w:fill="auto"/>
          <w:tblCellMar>
            <w:top w:w="0" w:type="dxa"/>
            <w:left w:w="0" w:type="dxa"/>
            <w:bottom w:w="0" w:type="dxa"/>
            <w:right w:w="0" w:type="dxa"/>
          </w:tblCellMar>
        </w:tblPrEx>
        <w:trPr>
          <w:trHeight w:val="57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8"/>
                <w:szCs w:val="28"/>
                <w:u w:val="none"/>
                <w:lang w:val="en-US" w:eastAsia="zh-CN" w:bidi="ar"/>
              </w:rPr>
              <w:t>附件</w:t>
            </w:r>
            <w:r>
              <w:rPr>
                <w:rFonts w:hint="default" w:ascii="Times New Roman" w:hAnsi="Times New Roman" w:eastAsia="黑体" w:cs="Times New Roman"/>
                <w:i w:val="0"/>
                <w:color w:val="000000"/>
                <w:kern w:val="0"/>
                <w:sz w:val="28"/>
                <w:szCs w:val="28"/>
                <w:u w:val="none"/>
                <w:lang w:val="en-US" w:eastAsia="zh-CN" w:bidi="ar"/>
              </w:rPr>
              <w:t>2-6</w:t>
            </w:r>
          </w:p>
        </w:tc>
      </w:tr>
      <w:tr>
        <w:tblPrEx>
          <w:tblCellMar>
            <w:top w:w="0" w:type="dxa"/>
            <w:left w:w="0" w:type="dxa"/>
            <w:bottom w:w="0" w:type="dxa"/>
            <w:right w:w="0" w:type="dxa"/>
          </w:tblCellMar>
        </w:tblPrEx>
        <w:trPr>
          <w:trHeight w:val="5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both"/>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钦北区2020年各镇规模以上工业企业目标任务表</w:t>
            </w:r>
          </w:p>
        </w:tc>
      </w:tr>
      <w:tr>
        <w:tblPrEx>
          <w:tblCellMar>
            <w:top w:w="0" w:type="dxa"/>
            <w:left w:w="0" w:type="dxa"/>
            <w:bottom w:w="0" w:type="dxa"/>
            <w:right w:w="0" w:type="dxa"/>
          </w:tblCellMar>
        </w:tblPrEx>
        <w:trPr>
          <w:trHeight w:val="460" w:hRule="atLeast"/>
        </w:trPr>
        <w:tc>
          <w:tcPr>
            <w:tcW w:w="9123" w:type="dxa"/>
            <w:gridSpan w:val="4"/>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b/>
                <w:i w:val="0"/>
                <w:color w:val="000000"/>
                <w:sz w:val="24"/>
                <w:szCs w:val="24"/>
                <w:u w:val="none"/>
              </w:rPr>
            </w:pPr>
            <w:r>
              <w:rPr>
                <w:rFonts w:hint="eastAsia" w:ascii="仿宋_GB2312" w:hAnsi="宋体" w:eastAsia="仿宋_GB2312" w:cs="仿宋_GB2312"/>
                <w:b w:val="0"/>
                <w:bCs/>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600" w:hRule="atLeast"/>
        </w:trPr>
        <w:tc>
          <w:tcPr>
            <w:tcW w:w="2441"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Style w:val="23"/>
                <w:rFonts w:eastAsia="黑体"/>
                <w:lang w:val="en-US" w:eastAsia="zh-CN" w:bidi="ar"/>
              </w:rPr>
              <w:t>/</w:t>
            </w:r>
            <w:r>
              <w:rPr>
                <w:rFonts w:hint="eastAsia" w:ascii="黑体" w:hAnsi="宋体" w:eastAsia="黑体" w:cs="黑体"/>
                <w:i w:val="0"/>
                <w:color w:val="000000"/>
                <w:kern w:val="0"/>
                <w:sz w:val="24"/>
                <w:szCs w:val="24"/>
                <w:u w:val="none"/>
                <w:lang w:val="en-US" w:eastAsia="zh-CN" w:bidi="ar"/>
              </w:rPr>
              <w:t>街道</w:t>
            </w:r>
          </w:p>
        </w:tc>
        <w:tc>
          <w:tcPr>
            <w:tcW w:w="4064"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年规上产值</w:t>
            </w:r>
          </w:p>
        </w:tc>
        <w:tc>
          <w:tcPr>
            <w:tcW w:w="261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年新增规上</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企业（个）</w:t>
            </w:r>
          </w:p>
        </w:tc>
      </w:tr>
      <w:tr>
        <w:tblPrEx>
          <w:tblCellMar>
            <w:top w:w="0" w:type="dxa"/>
            <w:left w:w="0" w:type="dxa"/>
            <w:bottom w:w="0" w:type="dxa"/>
            <w:right w:w="0" w:type="dxa"/>
          </w:tblCellMar>
        </w:tblPrEx>
        <w:trPr>
          <w:trHeight w:val="720" w:hRule="atLeast"/>
        </w:trPr>
        <w:tc>
          <w:tcPr>
            <w:tcW w:w="2441"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预期目标</w:t>
            </w:r>
          </w:p>
        </w:tc>
        <w:tc>
          <w:tcPr>
            <w:tcW w:w="25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增长</w:t>
            </w:r>
            <w:r>
              <w:rPr>
                <w:rStyle w:val="23"/>
                <w:rFonts w:eastAsia="黑体"/>
                <w:lang w:val="en-US" w:eastAsia="zh-CN" w:bidi="ar"/>
              </w:rPr>
              <w:t>%</w:t>
            </w:r>
          </w:p>
        </w:tc>
        <w:tc>
          <w:tcPr>
            <w:tcW w:w="261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2.00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16</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lang w:eastAsia="zh-CN"/>
              </w:rPr>
            </w:pPr>
            <w:r>
              <w:rPr>
                <w:rFonts w:hint="eastAsia" w:ascii="仿宋_GB2312" w:hAnsi="宋体" w:eastAsia="仿宋_GB2312" w:cs="仿宋_GB2312"/>
                <w:i w:val="0"/>
                <w:color w:val="000000"/>
                <w:kern w:val="0"/>
                <w:sz w:val="24"/>
                <w:szCs w:val="24"/>
                <w:u w:val="none"/>
                <w:lang w:val="en-US" w:eastAsia="zh-CN" w:bidi="ar"/>
              </w:rPr>
              <w:t>长田街道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53.99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151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-12.55 </w:t>
            </w:r>
          </w:p>
        </w:tc>
        <w:tc>
          <w:tcPr>
            <w:tcW w:w="2618"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-14.86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小董镇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-50.09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那蒙镇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47.56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大直镇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42.45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大寺镇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-50.36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46.14 </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贵台镇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板城镇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长滩镇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新棠镇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r>
        <w:tblPrEx>
          <w:tblCellMar>
            <w:top w:w="0" w:type="dxa"/>
            <w:left w:w="0" w:type="dxa"/>
            <w:bottom w:w="0" w:type="dxa"/>
            <w:right w:w="0" w:type="dxa"/>
          </w:tblCellMar>
        </w:tblPrEx>
        <w:trPr>
          <w:trHeight w:val="709" w:hRule="exact"/>
        </w:trPr>
        <w:tc>
          <w:tcPr>
            <w:tcW w:w="244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青塘镇</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w:t>
            </w:r>
          </w:p>
        </w:tc>
        <w:tc>
          <w:tcPr>
            <w:tcW w:w="25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Times New Roman" w:hAnsi="Times New Roman" w:eastAsia="宋体" w:cs="Times New Roman"/>
                <w:i w:val="0"/>
                <w:color w:val="000000"/>
                <w:sz w:val="24"/>
                <w:szCs w:val="24"/>
                <w:u w:val="none"/>
                <w:lang w:eastAsia="zh-CN"/>
              </w:rPr>
            </w:pPr>
            <w:r>
              <w:rPr>
                <w:rFonts w:hint="eastAsia" w:ascii="Times New Roman" w:hAnsi="Times New Roman" w:eastAsia="宋体" w:cs="Times New Roman"/>
                <w:i w:val="0"/>
                <w:color w:val="000000"/>
                <w:sz w:val="24"/>
                <w:szCs w:val="24"/>
                <w:u w:val="none"/>
                <w:lang w:eastAsia="zh-CN"/>
              </w:rPr>
              <w:t>——</w:t>
            </w:r>
          </w:p>
        </w:tc>
        <w:tc>
          <w:tcPr>
            <w:tcW w:w="261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273" w:type="dxa"/>
        <w:tblInd w:w="647" w:type="dxa"/>
        <w:shd w:val="clear" w:color="auto" w:fill="auto"/>
        <w:tblLayout w:type="fixed"/>
        <w:tblCellMar>
          <w:top w:w="0" w:type="dxa"/>
          <w:left w:w="0" w:type="dxa"/>
          <w:bottom w:w="0" w:type="dxa"/>
          <w:right w:w="0" w:type="dxa"/>
        </w:tblCellMar>
      </w:tblPr>
      <w:tblGrid>
        <w:gridCol w:w="2203"/>
        <w:gridCol w:w="2079"/>
        <w:gridCol w:w="1254"/>
        <w:gridCol w:w="2127"/>
        <w:gridCol w:w="1610"/>
      </w:tblGrid>
      <w:tr>
        <w:tblPrEx>
          <w:shd w:val="clear" w:color="auto" w:fill="auto"/>
          <w:tblCellMar>
            <w:top w:w="0" w:type="dxa"/>
            <w:left w:w="0" w:type="dxa"/>
            <w:bottom w:w="0" w:type="dxa"/>
            <w:right w:w="0" w:type="dxa"/>
          </w:tblCellMar>
        </w:tblPrEx>
        <w:trPr>
          <w:trHeight w:val="503"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附件2-7</w:t>
            </w:r>
          </w:p>
        </w:tc>
      </w:tr>
      <w:tr>
        <w:tblPrEx>
          <w:tblCellMar>
            <w:top w:w="0" w:type="dxa"/>
            <w:left w:w="0" w:type="dxa"/>
            <w:bottom w:w="0" w:type="dxa"/>
            <w:right w:w="0" w:type="dxa"/>
          </w:tblCellMar>
        </w:tblPrEx>
        <w:trPr>
          <w:trHeight w:val="904"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钦北区2020年各镇（街道）外贸进出口</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总额目标任务表</w:t>
            </w:r>
          </w:p>
        </w:tc>
      </w:tr>
      <w:tr>
        <w:tblPrEx>
          <w:tblCellMar>
            <w:top w:w="0" w:type="dxa"/>
            <w:left w:w="0" w:type="dxa"/>
            <w:bottom w:w="0" w:type="dxa"/>
            <w:right w:w="0" w:type="dxa"/>
          </w:tblCellMar>
        </w:tblPrEx>
        <w:trPr>
          <w:trHeight w:val="489" w:hRule="atLeast"/>
        </w:trPr>
        <w:tc>
          <w:tcPr>
            <w:tcW w:w="9273" w:type="dxa"/>
            <w:gridSpan w:val="5"/>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4"/>
                <w:szCs w:val="24"/>
                <w:u w:val="none"/>
                <w:lang w:val="en-US" w:eastAsia="zh-CN" w:bidi="ar"/>
              </w:rPr>
              <w:t>单位：万元</w:t>
            </w:r>
          </w:p>
        </w:tc>
      </w:tr>
      <w:tr>
        <w:tblPrEx>
          <w:tblCellMar>
            <w:top w:w="0" w:type="dxa"/>
            <w:left w:w="0" w:type="dxa"/>
            <w:bottom w:w="0" w:type="dxa"/>
            <w:right w:w="0" w:type="dxa"/>
          </w:tblCellMar>
        </w:tblPrEx>
        <w:trPr>
          <w:trHeight w:val="1390" w:hRule="atLeas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镇</w:t>
            </w:r>
            <w:r>
              <w:rPr>
                <w:rFonts w:hint="default" w:ascii="Times New Roman" w:hAnsi="Times New Roman" w:eastAsia="黑体" w:cs="Times New Roman"/>
                <w:i w:val="0"/>
                <w:color w:val="000000"/>
                <w:kern w:val="0"/>
                <w:sz w:val="24"/>
                <w:szCs w:val="24"/>
                <w:u w:val="none"/>
                <w:lang w:val="en-US" w:eastAsia="zh-CN" w:bidi="ar"/>
              </w:rPr>
              <w:t>/</w:t>
            </w:r>
            <w:r>
              <w:rPr>
                <w:rStyle w:val="24"/>
                <w:lang w:val="en-US" w:eastAsia="zh-CN" w:bidi="ar"/>
              </w:rPr>
              <w:t>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2019</w:t>
            </w:r>
            <w:r>
              <w:rPr>
                <w:rStyle w:val="24"/>
                <w:lang w:val="en-US" w:eastAsia="zh-CN" w:bidi="ar"/>
              </w:rPr>
              <w:t>年实际数</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t>32986</w:t>
            </w:r>
            <w:r>
              <w:rPr>
                <w:rFonts w:hint="eastAsia" w:ascii="黑体" w:hAnsi="宋体" w:eastAsia="黑体" w:cs="黑体"/>
                <w:i w:val="0"/>
                <w:color w:val="000000"/>
                <w:kern w:val="0"/>
                <w:sz w:val="24"/>
                <w:szCs w:val="24"/>
                <w:u w:val="none"/>
                <w:lang w:val="en-US" w:eastAsia="zh-CN" w:bidi="ar"/>
              </w:rPr>
              <w:t>）</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c>
          <w:tcPr>
            <w:tcW w:w="212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Style w:val="24"/>
                <w:lang w:val="en-US" w:eastAsia="zh-CN" w:bidi="ar"/>
              </w:rPr>
              <w:t>年</w:t>
            </w:r>
            <w:r>
              <w:rPr>
                <w:rStyle w:val="24"/>
                <w:rFonts w:hint="eastAsia"/>
                <w:lang w:val="en-US" w:eastAsia="zh-CN" w:bidi="ar"/>
              </w:rPr>
              <w:t>目标</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Times New Roman" w:hAnsi="Times New Roman" w:eastAsia="宋体" w:cs="Times New Roman"/>
                <w:i w:val="0"/>
                <w:color w:val="000000"/>
                <w:kern w:val="0"/>
                <w:sz w:val="24"/>
                <w:szCs w:val="24"/>
                <w:u w:val="none"/>
                <w:lang w:val="en-US" w:eastAsia="zh-CN" w:bidi="ar"/>
              </w:rPr>
              <w:t>（33645.72）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增速</w:t>
            </w:r>
            <w:r>
              <w:rPr>
                <w:rFonts w:hint="default" w:ascii="Times New Roman" w:hAnsi="Times New Roman" w:eastAsia="黑体" w:cs="Times New Roman"/>
                <w:i w:val="0"/>
                <w:color w:val="000000"/>
                <w:kern w:val="0"/>
                <w:sz w:val="24"/>
                <w:szCs w:val="24"/>
                <w:u w:val="none"/>
                <w:lang w:val="en-US" w:eastAsia="zh-CN" w:bidi="ar"/>
              </w:rPr>
              <w:t>%</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大垌镇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887</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904.74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平吉镇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2462</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2511.24</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那蒙镇</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729</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743.58</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Times New Roman" w:hAnsi="Times New Roman" w:eastAsia="宋体" w:cs="Times New Roman"/>
                <w:i w:val="0"/>
                <w:color w:val="000000"/>
                <w:kern w:val="2"/>
                <w:sz w:val="24"/>
                <w:szCs w:val="24"/>
                <w:u w:val="none"/>
                <w:lang w:val="en-US" w:eastAsia="zh-CN" w:bidi="ar-SA"/>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长田街道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4991</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5090.82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子材街道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4733</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4827.66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鸿亭街道</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19186</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19569.72</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1157" w:hRule="exact"/>
        </w:trPr>
        <w:tc>
          <w:tcPr>
            <w:tcW w:w="220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仿宋_GB2312" w:hAnsi="仿宋_GB2312" w:eastAsia="仿宋_GB2312" w:cs="仿宋_GB2312"/>
                <w:b w:val="0"/>
                <w:bCs/>
                <w:i w:val="0"/>
                <w:color w:val="000000"/>
                <w:kern w:val="0"/>
                <w:sz w:val="24"/>
                <w:szCs w:val="24"/>
                <w:u w:val="none"/>
                <w:lang w:val="en-US" w:eastAsia="zh-CN" w:bidi="ar"/>
              </w:rPr>
              <w:t>合计</w:t>
            </w:r>
          </w:p>
        </w:tc>
        <w:tc>
          <w:tcPr>
            <w:tcW w:w="20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32988</w:t>
            </w:r>
          </w:p>
        </w:tc>
        <w:tc>
          <w:tcPr>
            <w:tcW w:w="12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21.3</w:t>
            </w:r>
          </w:p>
        </w:tc>
        <w:tc>
          <w:tcPr>
            <w:tcW w:w="21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33647.76</w:t>
            </w:r>
          </w:p>
        </w:tc>
        <w:tc>
          <w:tcPr>
            <w:tcW w:w="16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2</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spacing w:line="560" w:lineRule="exact"/>
        <w:rPr>
          <w:rFonts w:hint="eastAsia" w:ascii="黑体" w:hAnsi="黑体" w:eastAsia="黑体" w:cs="黑体"/>
          <w:sz w:val="28"/>
          <w:szCs w:val="28"/>
          <w:lang w:val="en-US" w:eastAsia="zh-CN"/>
        </w:rPr>
      </w:pPr>
      <w:r>
        <w:rPr>
          <w:rFonts w:hint="eastAsia" w:ascii="黑体" w:hAnsi="黑体" w:eastAsia="黑体" w:cs="黑体"/>
          <w:sz w:val="28"/>
          <w:szCs w:val="28"/>
        </w:rPr>
        <w:t>附件</w:t>
      </w:r>
      <w:r>
        <w:rPr>
          <w:rFonts w:hint="eastAsia" w:ascii="黑体" w:hAnsi="黑体" w:eastAsia="黑体" w:cs="黑体"/>
          <w:sz w:val="28"/>
          <w:szCs w:val="28"/>
          <w:lang w:val="en-US" w:eastAsia="zh-CN"/>
        </w:rPr>
        <w:t>2-8</w:t>
      </w: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钦北区20</w:t>
      </w:r>
      <w:r>
        <w:rPr>
          <w:rFonts w:hint="eastAsia" w:ascii="方正小标宋简体" w:hAnsi="方正小标宋简体" w:eastAsia="方正小标宋简体" w:cs="方正小标宋简体"/>
          <w:sz w:val="44"/>
          <w:szCs w:val="44"/>
          <w:lang w:val="en-US" w:eastAsia="zh-CN"/>
        </w:rPr>
        <w:t>20</w:t>
      </w:r>
      <w:r>
        <w:rPr>
          <w:rFonts w:hint="eastAsia" w:ascii="方正小标宋简体" w:hAnsi="方正小标宋简体" w:eastAsia="方正小标宋简体" w:cs="方正小标宋简体"/>
          <w:sz w:val="44"/>
          <w:szCs w:val="44"/>
        </w:rPr>
        <w:t>年招商引资目标</w:t>
      </w:r>
      <w:r>
        <w:rPr>
          <w:rFonts w:hint="eastAsia" w:ascii="方正小标宋简体" w:hAnsi="方正小标宋简体" w:eastAsia="方正小标宋简体" w:cs="方正小标宋简体"/>
          <w:sz w:val="44"/>
          <w:szCs w:val="44"/>
          <w:lang w:eastAsia="zh-CN"/>
        </w:rPr>
        <w:t>任务</w:t>
      </w:r>
      <w:r>
        <w:rPr>
          <w:rFonts w:hint="eastAsia" w:ascii="方正小标宋简体" w:hAnsi="方正小标宋简体" w:eastAsia="方正小标宋简体" w:cs="方正小标宋简体"/>
          <w:sz w:val="44"/>
          <w:szCs w:val="44"/>
        </w:rPr>
        <w:t>表</w:t>
      </w:r>
    </w:p>
    <w:tbl>
      <w:tblPr>
        <w:tblStyle w:val="5"/>
        <w:tblpPr w:leftFromText="180" w:rightFromText="180" w:vertAnchor="text" w:horzAnchor="page" w:tblpX="1702" w:tblpY="421"/>
        <w:tblOverlap w:val="never"/>
        <w:tblW w:w="86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2224"/>
        <w:gridCol w:w="52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58" w:type="dxa"/>
            <w:vMerge w:val="restart"/>
            <w:noWrap w:val="0"/>
            <w:vAlign w:val="center"/>
          </w:tcPr>
          <w:p>
            <w:pPr>
              <w:widowControl/>
              <w:jc w:val="center"/>
              <w:textAlignment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序号</w:t>
            </w:r>
          </w:p>
        </w:tc>
        <w:tc>
          <w:tcPr>
            <w:tcW w:w="2224" w:type="dxa"/>
            <w:vMerge w:val="restart"/>
            <w:noWrap w:val="0"/>
            <w:vAlign w:val="center"/>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color w:val="000000"/>
                <w:kern w:val="0"/>
                <w:sz w:val="24"/>
                <w:szCs w:val="24"/>
                <w:lang w:bidi="ar"/>
              </w:rPr>
              <w:t>镇（街道）</w:t>
            </w:r>
          </w:p>
        </w:tc>
        <w:tc>
          <w:tcPr>
            <w:tcW w:w="5256" w:type="dxa"/>
            <w:noWrap w:val="0"/>
            <w:vAlign w:val="top"/>
          </w:tcPr>
          <w:p>
            <w:pPr>
              <w:spacing w:line="56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计划目标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58"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2224" w:type="dxa"/>
            <w:vMerge w:val="continue"/>
            <w:noWrap w:val="0"/>
            <w:vAlign w:val="top"/>
          </w:tcPr>
          <w:p>
            <w:pPr>
              <w:spacing w:line="560" w:lineRule="exact"/>
              <w:jc w:val="center"/>
              <w:rPr>
                <w:rFonts w:hint="default" w:ascii="Times New Roman" w:hAnsi="Times New Roman" w:eastAsia="黑体" w:cs="Times New Roman"/>
                <w:bCs/>
                <w:sz w:val="24"/>
                <w:szCs w:val="24"/>
              </w:rPr>
            </w:pPr>
          </w:p>
        </w:tc>
        <w:tc>
          <w:tcPr>
            <w:tcW w:w="5256" w:type="dxa"/>
            <w:noWrap w:val="0"/>
            <w:vAlign w:val="top"/>
          </w:tcPr>
          <w:p>
            <w:pPr>
              <w:spacing w:line="400" w:lineRule="exact"/>
              <w:jc w:val="center"/>
              <w:rPr>
                <w:rFonts w:hint="default" w:ascii="Times New Roman" w:hAnsi="Times New Roman" w:eastAsia="黑体" w:cs="Times New Roman"/>
                <w:bCs/>
                <w:sz w:val="24"/>
                <w:szCs w:val="24"/>
              </w:rPr>
            </w:pPr>
            <w:r>
              <w:rPr>
                <w:rFonts w:hint="default" w:ascii="Times New Roman" w:hAnsi="Times New Roman" w:eastAsia="黑体" w:cs="Times New Roman"/>
                <w:bCs/>
                <w:sz w:val="24"/>
                <w:szCs w:val="24"/>
              </w:rPr>
              <w:t>招商引资实际到位资金（</w:t>
            </w:r>
            <w:r>
              <w:rPr>
                <w:rFonts w:hint="default" w:ascii="Times New Roman" w:hAnsi="Times New Roman" w:eastAsia="黑体" w:cs="Times New Roman"/>
                <w:bCs/>
                <w:sz w:val="24"/>
                <w:szCs w:val="24"/>
                <w:lang w:val="en-US" w:eastAsia="zh-CN"/>
              </w:rPr>
              <w:t>亿</w:t>
            </w:r>
            <w:r>
              <w:rPr>
                <w:rFonts w:hint="default" w:ascii="Times New Roman" w:hAnsi="Times New Roman" w:eastAsia="黑体" w:cs="Times New Roman"/>
                <w:bCs/>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trPr>
        <w:tc>
          <w:tcPr>
            <w:tcW w:w="1158" w:type="dxa"/>
            <w:noWrap w:val="0"/>
            <w:vAlign w:val="center"/>
          </w:tcPr>
          <w:p>
            <w:pPr>
              <w:jc w:val="center"/>
              <w:rPr>
                <w:rFonts w:hint="default" w:ascii="Times New Roman" w:hAnsi="Times New Roman" w:eastAsia="方正小标宋简体" w:cs="Times New Roman"/>
                <w:sz w:val="28"/>
                <w:szCs w:val="28"/>
              </w:rPr>
            </w:pP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合计</w:t>
            </w:r>
          </w:p>
        </w:tc>
        <w:tc>
          <w:tcPr>
            <w:tcW w:w="5256" w:type="dxa"/>
            <w:noWrap w:val="0"/>
            <w:vAlign w:val="center"/>
          </w:tcPr>
          <w:p>
            <w:pPr>
              <w:widowControl/>
              <w:jc w:val="center"/>
              <w:textAlignment w:val="center"/>
              <w:rPr>
                <w:rFonts w:hint="default" w:ascii="Times New Roman" w:hAnsi="Times New Roman" w:eastAsia="方正小标宋简体" w:cs="Times New Roman"/>
                <w:sz w:val="24"/>
                <w:szCs w:val="24"/>
                <w:lang w:val="en-US" w:eastAsia="zh-CN"/>
              </w:rPr>
            </w:pPr>
            <w:r>
              <w:rPr>
                <w:rFonts w:hint="default" w:ascii="Times New Roman" w:hAnsi="Times New Roman" w:eastAsia="宋体" w:cs="Times New Roman"/>
                <w:b w:val="0"/>
                <w:bCs w:val="0"/>
                <w:i w:val="0"/>
                <w:color w:val="000000"/>
                <w:kern w:val="0"/>
                <w:sz w:val="24"/>
                <w:szCs w:val="24"/>
                <w:u w:val="none"/>
                <w:lang w:val="en-US" w:eastAsia="zh-CN" w:bidi="ar"/>
              </w:rPr>
              <w:t>120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小董镇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板城镇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平吉镇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cs="Times New Roman"/>
                <w:color w:val="000000"/>
                <w:kern w:val="0"/>
                <w:sz w:val="24"/>
                <w:szCs w:val="24"/>
                <w:lang w:bidi="ar"/>
              </w:rPr>
            </w:pPr>
            <w:r>
              <w:rPr>
                <w:rFonts w:hint="default" w:ascii="Times New Roman" w:hAnsi="Times New Roman" w:eastAsia="宋体" w:cs="Times New Roman"/>
                <w:b w:val="0"/>
                <w:bCs w:val="0"/>
                <w:i w:val="0"/>
                <w:color w:val="000000"/>
                <w:kern w:val="0"/>
                <w:sz w:val="24"/>
                <w:szCs w:val="24"/>
                <w:u w:val="none"/>
                <w:lang w:val="en-US" w:eastAsia="zh-CN" w:bidi="ar"/>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大直镇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5</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大寺镇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6</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长滩镇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7</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那蒙镇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8</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青塘镇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9</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新棠镇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10</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大垌镇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28.5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11</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贵台镇</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12</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长田街道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30.5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13</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子材街道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9" w:hRule="atLeast"/>
        </w:trPr>
        <w:tc>
          <w:tcPr>
            <w:tcW w:w="1158" w:type="dxa"/>
            <w:noWrap w:val="0"/>
            <w:vAlign w:val="center"/>
          </w:tcPr>
          <w:p>
            <w:pPr>
              <w:widowControl/>
              <w:jc w:val="center"/>
              <w:textAlignment w:val="center"/>
              <w:rPr>
                <w:rFonts w:hint="default" w:ascii="Times New Roman" w:hAnsi="Times New Roman" w:eastAsia="方正小标宋简体" w:cs="Times New Roman"/>
                <w:sz w:val="24"/>
                <w:szCs w:val="24"/>
              </w:rPr>
            </w:pPr>
            <w:r>
              <w:rPr>
                <w:rFonts w:hint="default" w:ascii="Times New Roman" w:hAnsi="Times New Roman" w:eastAsia="仿宋_GB2312" w:cs="Times New Roman"/>
                <w:color w:val="000000"/>
                <w:kern w:val="0"/>
                <w:sz w:val="24"/>
                <w:szCs w:val="24"/>
                <w:lang w:bidi="ar"/>
              </w:rPr>
              <w:t>14</w:t>
            </w:r>
          </w:p>
        </w:tc>
        <w:tc>
          <w:tcPr>
            <w:tcW w:w="2224" w:type="dxa"/>
            <w:noWrap w:val="0"/>
            <w:vAlign w:val="center"/>
          </w:tcPr>
          <w:p>
            <w:pPr>
              <w:widowControl/>
              <w:jc w:val="center"/>
              <w:textAlignment w:val="center"/>
              <w:rPr>
                <w:rFonts w:hint="default" w:ascii="Times New Roman" w:hAnsi="Times New Roman" w:eastAsia="仿宋_GB2312" w:cs="Times New Roman"/>
                <w:color w:val="000000"/>
                <w:kern w:val="0"/>
                <w:sz w:val="24"/>
                <w:szCs w:val="24"/>
                <w:lang w:bidi="ar"/>
              </w:rPr>
            </w:pPr>
            <w:r>
              <w:rPr>
                <w:rFonts w:hint="default" w:ascii="Times New Roman" w:hAnsi="Times New Roman" w:eastAsia="仿宋_GB2312" w:cs="Times New Roman"/>
                <w:color w:val="000000"/>
                <w:kern w:val="0"/>
                <w:sz w:val="24"/>
                <w:szCs w:val="24"/>
                <w:lang w:bidi="ar"/>
              </w:rPr>
              <w:t>鸿亭街道</w:t>
            </w:r>
          </w:p>
        </w:tc>
        <w:tc>
          <w:tcPr>
            <w:tcW w:w="5256" w:type="dxa"/>
            <w:noWrap w:val="0"/>
            <w:vAlign w:val="center"/>
          </w:tcPr>
          <w:p>
            <w:pPr>
              <w:keepNext w:val="0"/>
              <w:keepLines w:val="0"/>
              <w:widowControl/>
              <w:suppressLineNumbers w:val="0"/>
              <w:jc w:val="center"/>
              <w:textAlignment w:val="center"/>
              <w:rPr>
                <w:rFonts w:hint="default" w:ascii="Times New Roman" w:hAnsi="Times New Roman" w:eastAsia="方正小标宋简体" w:cs="Times New Roman"/>
                <w:sz w:val="24"/>
                <w:szCs w:val="24"/>
              </w:rPr>
            </w:pPr>
            <w:r>
              <w:rPr>
                <w:rFonts w:hint="default" w:ascii="Times New Roman" w:hAnsi="Times New Roman" w:eastAsia="宋体" w:cs="Times New Roman"/>
                <w:b w:val="0"/>
                <w:bCs w:val="0"/>
                <w:i w:val="0"/>
                <w:color w:val="000000"/>
                <w:kern w:val="0"/>
                <w:sz w:val="24"/>
                <w:szCs w:val="24"/>
                <w:u w:val="none"/>
                <w:lang w:val="en-US" w:eastAsia="zh-CN" w:bidi="ar"/>
              </w:rPr>
              <w:t>8.5</w:t>
            </w:r>
          </w:p>
        </w:tc>
      </w:tr>
    </w:tbl>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注：统计范围为1.广西壮族自治区行政区外大陆境内的企业，投资合同在500万元</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以上并符合法规的投资项目。2.本年新签约及历年签约但报告期仍在实施的项目。</w:t>
      </w:r>
    </w:p>
    <w:p>
      <w:pPr>
        <w:spacing w:line="440" w:lineRule="exact"/>
        <w:ind w:firstLine="960" w:firstLineChars="400"/>
        <w:jc w:val="left"/>
        <w:rPr>
          <w:rFonts w:hint="default" w:ascii="Times New Roman" w:hAnsi="Times New Roman" w:eastAsia="仿宋_GB2312" w:cs="Times New Roman"/>
          <w:color w:val="auto"/>
          <w:sz w:val="24"/>
          <w:szCs w:val="24"/>
        </w:rPr>
      </w:pPr>
      <w:r>
        <w:rPr>
          <w:rFonts w:hint="default" w:ascii="Times New Roman" w:hAnsi="Times New Roman" w:eastAsia="仿宋_GB2312" w:cs="Times New Roman"/>
          <w:color w:val="auto"/>
          <w:sz w:val="24"/>
          <w:szCs w:val="24"/>
        </w:rPr>
        <w:t>3.全口径利用外资项目的到位资金。</w:t>
      </w:r>
    </w:p>
    <w:p>
      <w:pPr>
        <w:pStyle w:val="2"/>
        <w:rPr>
          <w:rFonts w:hint="eastAsia"/>
        </w:rPr>
      </w:pPr>
    </w:p>
    <w:p>
      <w:pPr>
        <w:pStyle w:val="2"/>
        <w:ind w:left="0" w:leftChars="0" w:firstLine="0" w:firstLineChars="0"/>
        <w:rPr>
          <w:rFonts w:hint="eastAsia"/>
        </w:rPr>
      </w:pPr>
    </w:p>
    <w:tbl>
      <w:tblPr>
        <w:tblStyle w:val="5"/>
        <w:tblW w:w="9682" w:type="dxa"/>
        <w:tblInd w:w="538" w:type="dxa"/>
        <w:shd w:val="clear" w:color="auto" w:fill="auto"/>
        <w:tblLayout w:type="fixed"/>
        <w:tblCellMar>
          <w:top w:w="0" w:type="dxa"/>
          <w:left w:w="0" w:type="dxa"/>
          <w:bottom w:w="0" w:type="dxa"/>
          <w:right w:w="0" w:type="dxa"/>
        </w:tblCellMar>
      </w:tblPr>
      <w:tblGrid>
        <w:gridCol w:w="3077"/>
        <w:gridCol w:w="6605"/>
      </w:tblGrid>
      <w:tr>
        <w:tblPrEx>
          <w:shd w:val="clear" w:color="auto" w:fill="auto"/>
          <w:tblCellMar>
            <w:top w:w="0" w:type="dxa"/>
            <w:left w:w="0" w:type="dxa"/>
            <w:bottom w:w="0" w:type="dxa"/>
            <w:right w:w="0" w:type="dxa"/>
          </w:tblCellMar>
        </w:tblPrEx>
        <w:trPr>
          <w:trHeight w:val="64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附件2-9</w:t>
            </w:r>
          </w:p>
        </w:tc>
      </w:tr>
      <w:tr>
        <w:tblPrEx>
          <w:tblCellMar>
            <w:top w:w="0" w:type="dxa"/>
            <w:left w:w="0" w:type="dxa"/>
            <w:bottom w:w="0" w:type="dxa"/>
            <w:right w:w="0" w:type="dxa"/>
          </w:tblCellMar>
        </w:tblPrEx>
        <w:trPr>
          <w:trHeight w:val="1260"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z w:val="44"/>
                <w:szCs w:val="44"/>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钦北区2020年限上批发业商品销售额目标任务表</w:t>
            </w:r>
          </w:p>
        </w:tc>
      </w:tr>
      <w:tr>
        <w:tblPrEx>
          <w:tblCellMar>
            <w:top w:w="0" w:type="dxa"/>
            <w:left w:w="0" w:type="dxa"/>
            <w:bottom w:w="0" w:type="dxa"/>
            <w:right w:w="0" w:type="dxa"/>
          </w:tblCellMar>
        </w:tblPrEx>
        <w:trPr>
          <w:trHeight w:val="405" w:hRule="atLeast"/>
        </w:trPr>
        <w:tc>
          <w:tcPr>
            <w:tcW w:w="9682"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ascii="仿宋_GB2312" w:hAnsi="宋体" w:eastAsia="仿宋_GB2312" w:cs="仿宋_GB2312"/>
                <w:i w:val="0"/>
                <w:color w:val="000000"/>
                <w:sz w:val="28"/>
                <w:szCs w:val="28"/>
                <w:u w:val="none"/>
              </w:rPr>
            </w:pPr>
            <w:r>
              <w:rPr>
                <w:rFonts w:hint="eastAsia" w:ascii="仿宋_GB2312" w:hAnsi="宋体" w:eastAsia="仿宋_GB2312" w:cs="仿宋_GB2312"/>
                <w:i w:val="0"/>
                <w:color w:val="000000"/>
                <w:kern w:val="0"/>
                <w:sz w:val="28"/>
                <w:szCs w:val="28"/>
                <w:u w:val="none"/>
                <w:lang w:val="en-US" w:eastAsia="zh-CN" w:bidi="ar"/>
              </w:rPr>
              <w:t>单位：亿元</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2020</w:t>
            </w:r>
            <w:r>
              <w:rPr>
                <w:rFonts w:hint="eastAsia" w:ascii="黑体" w:hAnsi="宋体" w:eastAsia="黑体" w:cs="黑体"/>
                <w:i w:val="0"/>
                <w:color w:val="000000"/>
                <w:kern w:val="0"/>
                <w:sz w:val="24"/>
                <w:szCs w:val="24"/>
                <w:u w:val="none"/>
                <w:lang w:val="en-US" w:eastAsia="zh-CN" w:bidi="ar"/>
              </w:rPr>
              <w:t>年总量目标</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19.92</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69</w:t>
            </w:r>
          </w:p>
        </w:tc>
      </w:tr>
      <w:tr>
        <w:tblPrEx>
          <w:tblCellMar>
            <w:top w:w="0" w:type="dxa"/>
            <w:left w:w="0" w:type="dxa"/>
            <w:bottom w:w="0" w:type="dxa"/>
            <w:right w:w="0" w:type="dxa"/>
          </w:tblCellMar>
        </w:tblPrEx>
        <w:trPr>
          <w:trHeight w:val="1125"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42.98</w:t>
            </w:r>
          </w:p>
        </w:tc>
      </w:tr>
      <w:tr>
        <w:tblPrEx>
          <w:tblCellMar>
            <w:top w:w="0" w:type="dxa"/>
            <w:left w:w="0" w:type="dxa"/>
            <w:bottom w:w="0" w:type="dxa"/>
            <w:right w:w="0" w:type="dxa"/>
          </w:tblCellMar>
        </w:tblPrEx>
        <w:trPr>
          <w:trHeight w:val="1000" w:hRule="atLeast"/>
        </w:trPr>
        <w:tc>
          <w:tcPr>
            <w:tcW w:w="30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 xml:space="preserve">131.90 </w:t>
            </w:r>
          </w:p>
        </w:tc>
      </w:tr>
    </w:tbl>
    <w:p>
      <w:pPr>
        <w:pStyle w:val="2"/>
        <w:rPr>
          <w:rFonts w:hint="eastAsia"/>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100" w:type="dxa"/>
        <w:tblInd w:w="620" w:type="dxa"/>
        <w:shd w:val="clear" w:color="auto" w:fill="auto"/>
        <w:tblLayout w:type="fixed"/>
        <w:tblCellMar>
          <w:top w:w="0" w:type="dxa"/>
          <w:left w:w="0" w:type="dxa"/>
          <w:bottom w:w="0" w:type="dxa"/>
          <w:right w:w="0" w:type="dxa"/>
        </w:tblCellMar>
      </w:tblPr>
      <w:tblGrid>
        <w:gridCol w:w="2965"/>
        <w:gridCol w:w="6135"/>
      </w:tblGrid>
      <w:tr>
        <w:tblPrEx>
          <w:tblCellMar>
            <w:top w:w="0" w:type="dxa"/>
            <w:left w:w="0" w:type="dxa"/>
            <w:bottom w:w="0" w:type="dxa"/>
            <w:right w:w="0" w:type="dxa"/>
          </w:tblCellMar>
        </w:tblPrEx>
        <w:trPr>
          <w:trHeight w:val="600"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附件2-10</w:t>
            </w:r>
          </w:p>
        </w:tc>
      </w:tr>
      <w:tr>
        <w:tblPrEx>
          <w:tblCellMar>
            <w:top w:w="0" w:type="dxa"/>
            <w:left w:w="0" w:type="dxa"/>
            <w:bottom w:w="0" w:type="dxa"/>
            <w:right w:w="0" w:type="dxa"/>
          </w:tblCellMar>
        </w:tblPrEx>
        <w:trPr>
          <w:trHeight w:val="94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ascii="方正小标宋简体" w:hAnsi="方正小标宋简体" w:eastAsia="方正小标宋简体" w:cs="方正小标宋简体"/>
                <w:i w:val="0"/>
                <w:color w:val="000000"/>
                <w:spacing w:val="-11"/>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钦北区2020年限上零售业商品销售额目标任务表</w:t>
            </w:r>
          </w:p>
        </w:tc>
      </w:tr>
      <w:tr>
        <w:tblPrEx>
          <w:tblCellMar>
            <w:top w:w="0" w:type="dxa"/>
            <w:left w:w="0" w:type="dxa"/>
            <w:bottom w:w="0" w:type="dxa"/>
            <w:right w:w="0" w:type="dxa"/>
          </w:tblCellMar>
        </w:tblPrEx>
        <w:trPr>
          <w:trHeight w:val="375" w:hRule="atLeast"/>
        </w:trPr>
        <w:tc>
          <w:tcPr>
            <w:tcW w:w="9100" w:type="dxa"/>
            <w:gridSpan w:val="2"/>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right"/>
              <w:textAlignment w:val="center"/>
              <w:rPr>
                <w:rFonts w:hint="default" w:ascii="Times New Roman" w:hAnsi="Times New Roman" w:eastAsia="宋体" w:cs="Times New Roman"/>
                <w:i w:val="0"/>
                <w:color w:val="000000"/>
                <w:sz w:val="28"/>
                <w:szCs w:val="28"/>
                <w:u w:val="none"/>
              </w:rPr>
            </w:pPr>
            <w:r>
              <w:rPr>
                <w:rFonts w:ascii="仿宋_GB2312" w:hAnsi="Times New Roman" w:eastAsia="仿宋_GB2312" w:cs="仿宋_GB2312"/>
                <w:i w:val="0"/>
                <w:color w:val="000000"/>
                <w:kern w:val="0"/>
                <w:sz w:val="28"/>
                <w:szCs w:val="28"/>
                <w:u w:val="none"/>
                <w:lang w:val="en-US" w:eastAsia="zh-CN" w:bidi="ar"/>
              </w:rPr>
              <w:t>单位：万元</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eastAsia" w:ascii="黑体" w:hAnsi="宋体" w:eastAsia="黑体" w:cs="黑体"/>
                <w:i w:val="0"/>
                <w:color w:val="000000"/>
                <w:kern w:val="0"/>
                <w:sz w:val="28"/>
                <w:szCs w:val="28"/>
                <w:u w:val="none"/>
                <w:lang w:val="en-US" w:eastAsia="zh-CN" w:bidi="ar"/>
              </w:rPr>
              <w:t>镇</w:t>
            </w:r>
            <w:r>
              <w:rPr>
                <w:rFonts w:hint="default" w:ascii="Times New Roman" w:hAnsi="Times New Roman" w:eastAsia="宋体" w:cs="Times New Roman"/>
                <w:i w:val="0"/>
                <w:color w:val="000000"/>
                <w:kern w:val="0"/>
                <w:sz w:val="28"/>
                <w:szCs w:val="28"/>
                <w:u w:val="none"/>
                <w:lang w:val="en-US" w:eastAsia="zh-CN" w:bidi="ar"/>
              </w:rPr>
              <w:t>/</w:t>
            </w:r>
            <w:r>
              <w:rPr>
                <w:rFonts w:hint="eastAsia" w:ascii="黑体" w:hAnsi="宋体" w:eastAsia="黑体" w:cs="黑体"/>
                <w:i w:val="0"/>
                <w:color w:val="000000"/>
                <w:kern w:val="0"/>
                <w:sz w:val="28"/>
                <w:szCs w:val="28"/>
                <w:u w:val="none"/>
                <w:lang w:val="en-US" w:eastAsia="zh-CN" w:bidi="ar"/>
              </w:rPr>
              <w:t>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2020</w:t>
            </w:r>
            <w:r>
              <w:rPr>
                <w:rFonts w:hint="eastAsia" w:ascii="黑体" w:hAnsi="宋体" w:eastAsia="黑体" w:cs="黑体"/>
                <w:i w:val="0"/>
                <w:color w:val="000000"/>
                <w:kern w:val="0"/>
                <w:sz w:val="28"/>
                <w:szCs w:val="28"/>
                <w:u w:val="none"/>
                <w:lang w:val="en-US" w:eastAsia="zh-CN" w:bidi="ar"/>
              </w:rPr>
              <w:t>年总量目标</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小董镇</w:t>
            </w:r>
          </w:p>
        </w:tc>
        <w:tc>
          <w:tcPr>
            <w:tcW w:w="61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2335</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长田街道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3226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子材街道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81446</w:t>
            </w:r>
          </w:p>
        </w:tc>
      </w:tr>
      <w:tr>
        <w:tblPrEx>
          <w:tblCellMar>
            <w:top w:w="0" w:type="dxa"/>
            <w:left w:w="0" w:type="dxa"/>
            <w:bottom w:w="0" w:type="dxa"/>
            <w:right w:w="0" w:type="dxa"/>
          </w:tblCellMar>
        </w:tblPrEx>
        <w:trPr>
          <w:trHeight w:val="1035"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kern w:val="2"/>
                <w:sz w:val="24"/>
                <w:szCs w:val="24"/>
                <w:u w:val="none"/>
                <w:lang w:val="en-US" w:eastAsia="zh-CN" w:bidi="ar-SA"/>
              </w:rPr>
            </w:pPr>
            <w:r>
              <w:rPr>
                <w:rFonts w:hint="eastAsia" w:ascii="仿宋_GB2312" w:hAnsi="宋体" w:eastAsia="仿宋_GB2312" w:cs="仿宋_GB2312"/>
                <w:i w:val="0"/>
                <w:color w:val="000000"/>
                <w:kern w:val="0"/>
                <w:sz w:val="24"/>
                <w:szCs w:val="24"/>
                <w:u w:val="none"/>
                <w:lang w:val="en-US" w:eastAsia="zh-CN" w:bidi="ar"/>
              </w:rPr>
              <w:t>鸿亭街道</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kern w:val="2"/>
                <w:sz w:val="24"/>
                <w:szCs w:val="24"/>
                <w:u w:val="none"/>
                <w:lang w:val="en-US" w:eastAsia="zh-CN" w:bidi="ar-SA"/>
              </w:rPr>
            </w:pPr>
            <w:r>
              <w:rPr>
                <w:rFonts w:hint="default" w:ascii="Times New Roman" w:hAnsi="Times New Roman" w:eastAsia="宋体" w:cs="Times New Roman"/>
                <w:i w:val="0"/>
                <w:color w:val="000000"/>
                <w:kern w:val="0"/>
                <w:sz w:val="24"/>
                <w:szCs w:val="24"/>
                <w:u w:val="none"/>
                <w:lang w:val="en-US" w:eastAsia="zh-CN" w:bidi="ar"/>
              </w:rPr>
              <w:t>10119</w:t>
            </w:r>
          </w:p>
        </w:tc>
      </w:tr>
      <w:tr>
        <w:tblPrEx>
          <w:tblCellMar>
            <w:top w:w="0" w:type="dxa"/>
            <w:left w:w="0" w:type="dxa"/>
            <w:bottom w:w="0" w:type="dxa"/>
            <w:right w:w="0" w:type="dxa"/>
          </w:tblCellMar>
        </w:tblPrEx>
        <w:trPr>
          <w:trHeight w:val="870" w:hRule="atLeast"/>
        </w:trPr>
        <w:tc>
          <w:tcPr>
            <w:tcW w:w="296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合计</w:t>
            </w:r>
          </w:p>
        </w:tc>
        <w:tc>
          <w:tcPr>
            <w:tcW w:w="613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97126</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9969" w:type="dxa"/>
        <w:tblInd w:w="210" w:type="dxa"/>
        <w:shd w:val="clear" w:color="auto" w:fill="auto"/>
        <w:tblLayout w:type="fixed"/>
        <w:tblCellMar>
          <w:top w:w="0" w:type="dxa"/>
          <w:left w:w="0" w:type="dxa"/>
          <w:bottom w:w="0" w:type="dxa"/>
          <w:right w:w="0" w:type="dxa"/>
        </w:tblCellMar>
      </w:tblPr>
      <w:tblGrid>
        <w:gridCol w:w="860"/>
        <w:gridCol w:w="627"/>
        <w:gridCol w:w="954"/>
        <w:gridCol w:w="2850"/>
        <w:gridCol w:w="2523"/>
        <w:gridCol w:w="2155"/>
      </w:tblGrid>
      <w:tr>
        <w:tblPrEx>
          <w:shd w:val="clear" w:color="auto" w:fill="auto"/>
          <w:tblCellMar>
            <w:top w:w="0" w:type="dxa"/>
            <w:left w:w="0" w:type="dxa"/>
            <w:bottom w:w="0" w:type="dxa"/>
            <w:right w:w="0" w:type="dxa"/>
          </w:tblCellMar>
        </w:tblPrEx>
        <w:trPr>
          <w:trHeight w:val="630" w:hRule="atLeast"/>
        </w:trPr>
        <w:tc>
          <w:tcPr>
            <w:tcW w:w="9969" w:type="dxa"/>
            <w:gridSpan w:val="6"/>
            <w:tcBorders>
              <w:top w:val="nil"/>
              <w:left w:val="nil"/>
              <w:bottom w:val="nil"/>
              <w:right w:val="nil"/>
            </w:tcBorders>
            <w:shd w:val="clear" w:color="auto" w:fill="auto"/>
            <w:noWrap/>
            <w:tcMar>
              <w:top w:w="15" w:type="dxa"/>
              <w:left w:w="15" w:type="dxa"/>
              <w:right w:w="15" w:type="dxa"/>
            </w:tcMar>
            <w:vAlign w:val="bottom"/>
          </w:tcPr>
          <w:p>
            <w:pPr>
              <w:rPr>
                <w:rFonts w:hint="default" w:ascii="Times New Roman" w:hAnsi="Times New Roman" w:cs="Times New Roman"/>
                <w:i w:val="0"/>
                <w:color w:val="000000"/>
                <w:sz w:val="20"/>
                <w:szCs w:val="20"/>
                <w:u w:val="none"/>
              </w:rPr>
            </w:pPr>
            <w:r>
              <w:rPr>
                <w:rFonts w:hint="eastAsia" w:ascii="黑体" w:hAnsi="宋体" w:eastAsia="黑体" w:cs="黑体"/>
                <w:i w:val="0"/>
                <w:color w:val="000000"/>
                <w:kern w:val="0"/>
                <w:sz w:val="28"/>
                <w:szCs w:val="28"/>
                <w:u w:val="none"/>
                <w:lang w:val="en-US" w:eastAsia="zh-CN" w:bidi="ar"/>
              </w:rPr>
              <w:t>附件2-11</w:t>
            </w:r>
          </w:p>
        </w:tc>
      </w:tr>
      <w:tr>
        <w:tblPrEx>
          <w:tblCellMar>
            <w:top w:w="0" w:type="dxa"/>
            <w:left w:w="0" w:type="dxa"/>
            <w:bottom w:w="0" w:type="dxa"/>
            <w:right w:w="0" w:type="dxa"/>
          </w:tblCellMar>
        </w:tblPrEx>
        <w:trPr>
          <w:trHeight w:val="1100" w:hRule="atLeast"/>
        </w:trPr>
        <w:tc>
          <w:tcPr>
            <w:tcW w:w="9969" w:type="dxa"/>
            <w:gridSpan w:val="6"/>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44"/>
                <w:szCs w:val="44"/>
                <w:u w:val="none"/>
              </w:rPr>
            </w:pPr>
            <w:r>
              <w:rPr>
                <w:rFonts w:hint="eastAsia" w:ascii="方正小标宋简体" w:hAnsi="方正小标宋简体" w:eastAsia="方正小标宋简体" w:cs="方正小标宋简体"/>
                <w:i w:val="0"/>
                <w:color w:val="000000"/>
                <w:spacing w:val="-11"/>
                <w:kern w:val="0"/>
                <w:sz w:val="44"/>
                <w:szCs w:val="44"/>
                <w:u w:val="none"/>
                <w:lang w:val="en-US" w:eastAsia="zh-CN" w:bidi="ar"/>
              </w:rPr>
              <w:t>钦北区2020年其他营利性服务业营业收入目标任务表</w:t>
            </w:r>
          </w:p>
        </w:tc>
      </w:tr>
      <w:tr>
        <w:tblPrEx>
          <w:tblCellMar>
            <w:top w:w="0" w:type="dxa"/>
            <w:left w:w="0" w:type="dxa"/>
            <w:bottom w:w="0" w:type="dxa"/>
            <w:right w:w="0" w:type="dxa"/>
          </w:tblCellMar>
        </w:tblPrEx>
        <w:trPr>
          <w:trHeight w:val="983" w:hRule="atLeast"/>
        </w:trPr>
        <w:tc>
          <w:tcPr>
            <w:tcW w:w="86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仿宋_GB2312" w:hAnsi="Arial" w:eastAsia="仿宋_GB2312" w:cs="仿宋_GB2312"/>
                <w:i w:val="0"/>
                <w:color w:val="000000"/>
                <w:sz w:val="24"/>
                <w:szCs w:val="24"/>
                <w:u w:val="none"/>
              </w:rPr>
            </w:pPr>
            <w:r>
              <w:rPr>
                <w:rFonts w:hint="eastAsia" w:ascii="黑体" w:hAnsi="黑体" w:eastAsia="黑体" w:cs="黑体"/>
                <w:i w:val="0"/>
                <w:color w:val="000000"/>
                <w:kern w:val="0"/>
                <w:sz w:val="24"/>
                <w:szCs w:val="24"/>
                <w:u w:val="none"/>
                <w:lang w:val="en-US" w:eastAsia="zh-CN" w:bidi="ar"/>
              </w:rPr>
              <w:t>其他营业性服务业营业收入</w:t>
            </w:r>
          </w:p>
        </w:tc>
        <w:tc>
          <w:tcPr>
            <w:tcW w:w="6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累计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增长%</w:t>
            </w:r>
          </w:p>
        </w:tc>
        <w:tc>
          <w:tcPr>
            <w:tcW w:w="2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行业大类</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主管部门</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黑体" w:hAnsi="黑体" w:eastAsia="黑体" w:cs="黑体"/>
                <w:i w:val="0"/>
                <w:color w:val="000000"/>
                <w:sz w:val="24"/>
                <w:szCs w:val="24"/>
                <w:u w:val="none"/>
              </w:rPr>
            </w:pPr>
            <w:r>
              <w:rPr>
                <w:rFonts w:hint="eastAsia" w:ascii="黑体" w:hAnsi="黑体" w:eastAsia="黑体" w:cs="黑体"/>
                <w:i w:val="0"/>
                <w:color w:val="000000"/>
                <w:kern w:val="0"/>
                <w:sz w:val="24"/>
                <w:szCs w:val="24"/>
                <w:u w:val="none"/>
                <w:lang w:val="en-US" w:eastAsia="zh-CN" w:bidi="ar"/>
              </w:rPr>
              <w:t>镇（街道）</w:t>
            </w:r>
          </w:p>
        </w:tc>
      </w:tr>
      <w:tr>
        <w:tblPrEx>
          <w:tblCellMar>
            <w:top w:w="0" w:type="dxa"/>
            <w:left w:w="0" w:type="dxa"/>
            <w:bottom w:w="0" w:type="dxa"/>
            <w:right w:w="0" w:type="dxa"/>
          </w:tblCellMar>
        </w:tblPrEx>
        <w:trPr>
          <w:trHeight w:val="8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8"/>
                <w:szCs w:val="28"/>
                <w:u w:val="none"/>
              </w:rPr>
            </w:pPr>
            <w:r>
              <w:rPr>
                <w:rFonts w:hint="default" w:ascii="Times New Roman" w:hAnsi="Times New Roman" w:eastAsia="宋体" w:cs="Times New Roman"/>
                <w:i w:val="0"/>
                <w:color w:val="000000"/>
                <w:kern w:val="0"/>
                <w:sz w:val="28"/>
                <w:szCs w:val="28"/>
                <w:u w:val="none"/>
                <w:lang w:val="en-US" w:eastAsia="zh-CN" w:bidi="ar"/>
              </w:rPr>
              <w:t>—</w:t>
            </w:r>
          </w:p>
        </w:tc>
        <w:tc>
          <w:tcPr>
            <w:tcW w:w="95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rPr>
            </w:pPr>
            <w:r>
              <w:rPr>
                <w:rFonts w:hint="default" w:ascii="Times New Roman" w:hAnsi="Times New Roman" w:cs="Times New Roman"/>
                <w:sz w:val="28"/>
                <w:szCs w:val="28"/>
                <w:lang w:val="en-US" w:eastAsia="zh-CN"/>
              </w:rPr>
              <w:t>30</w:t>
            </w: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租赁和商务服务业</w:t>
            </w:r>
          </w:p>
        </w:tc>
        <w:tc>
          <w:tcPr>
            <w:tcW w:w="2523"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区财政局</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长田街道</w:t>
            </w:r>
            <w:r>
              <w:rPr>
                <w:rFonts w:hint="eastAsia" w:ascii="仿宋_GB2312" w:hAnsi="Arial" w:eastAsia="仿宋_GB2312" w:cs="仿宋_GB2312"/>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6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523"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文化、体育和娱乐业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区文化广电体育旅游局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子材街道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64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居民服务、</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修理和其他服务业</w:t>
            </w:r>
          </w:p>
        </w:tc>
        <w:tc>
          <w:tcPr>
            <w:tcW w:w="252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区发展改革局</w:t>
            </w:r>
          </w:p>
        </w:tc>
        <w:tc>
          <w:tcPr>
            <w:tcW w:w="215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kern w:val="0"/>
                <w:sz w:val="24"/>
                <w:szCs w:val="24"/>
                <w:u w:val="none"/>
                <w:lang w:val="en-US" w:eastAsia="zh-CN" w:bidi="ar"/>
              </w:rPr>
            </w:pPr>
            <w:r>
              <w:rPr>
                <w:rFonts w:hint="eastAsia" w:ascii="仿宋_GB2312" w:hAnsi="Arial" w:eastAsia="仿宋_GB2312" w:cs="仿宋_GB2312"/>
                <w:i w:val="0"/>
                <w:color w:val="000000"/>
                <w:kern w:val="0"/>
                <w:sz w:val="24"/>
                <w:szCs w:val="24"/>
                <w:u w:val="none"/>
                <w:lang w:val="en-US" w:eastAsia="zh-CN" w:bidi="ar"/>
              </w:rPr>
              <w:t>长田街道</w:t>
            </w:r>
          </w:p>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子材街道</w:t>
            </w:r>
          </w:p>
        </w:tc>
      </w:tr>
      <w:tr>
        <w:tblPrEx>
          <w:tblCellMar>
            <w:top w:w="0" w:type="dxa"/>
            <w:left w:w="0" w:type="dxa"/>
            <w:bottom w:w="0" w:type="dxa"/>
            <w:right w:w="0" w:type="dxa"/>
          </w:tblCellMar>
        </w:tblPrEx>
        <w:trPr>
          <w:trHeight w:val="800"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52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215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r>
      <w:tr>
        <w:tblPrEx>
          <w:tblCellMar>
            <w:top w:w="0" w:type="dxa"/>
            <w:left w:w="0" w:type="dxa"/>
            <w:bottom w:w="0" w:type="dxa"/>
            <w:right w:w="0" w:type="dxa"/>
          </w:tblCellMar>
        </w:tblPrEx>
        <w:trPr>
          <w:trHeight w:val="1462"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Times New Roman" w:eastAsia="仿宋_GB2312" w:cs="仿宋_GB2312"/>
                <w:i w:val="0"/>
                <w:color w:val="000000"/>
                <w:kern w:val="0"/>
                <w:sz w:val="24"/>
                <w:szCs w:val="24"/>
                <w:u w:val="none"/>
                <w:lang w:val="en-US" w:eastAsia="zh-CN" w:bidi="ar"/>
              </w:rPr>
            </w:pPr>
            <w:r>
              <w:rPr>
                <w:rFonts w:hint="eastAsia" w:ascii="仿宋_GB2312" w:hAnsi="Times New Roman" w:eastAsia="仿宋_GB2312" w:cs="仿宋_GB2312"/>
                <w:i w:val="0"/>
                <w:color w:val="000000"/>
                <w:kern w:val="0"/>
                <w:sz w:val="24"/>
                <w:szCs w:val="24"/>
                <w:u w:val="none"/>
                <w:lang w:val="en-US" w:eastAsia="zh-CN" w:bidi="ar"/>
              </w:rPr>
              <w:t>信息传输、</w:t>
            </w:r>
          </w:p>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软件和信息技术服务业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区工业和信息化局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r>
        <w:tblPrEx>
          <w:tblCellMar>
            <w:top w:w="0" w:type="dxa"/>
            <w:left w:w="0" w:type="dxa"/>
            <w:bottom w:w="0" w:type="dxa"/>
            <w:right w:w="0" w:type="dxa"/>
          </w:tblCellMar>
        </w:tblPrEx>
        <w:trPr>
          <w:trHeight w:val="1596" w:hRule="atLeast"/>
        </w:trPr>
        <w:tc>
          <w:tcPr>
            <w:tcW w:w="86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仿宋_GB2312" w:hAnsi="Arial" w:eastAsia="仿宋_GB2312" w:cs="仿宋_GB2312"/>
                <w:i w:val="0"/>
                <w:color w:val="000000"/>
                <w:sz w:val="24"/>
                <w:szCs w:val="24"/>
                <w:u w:val="none"/>
              </w:rPr>
            </w:pPr>
          </w:p>
        </w:tc>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8"/>
                <w:szCs w:val="28"/>
                <w:u w:val="none"/>
              </w:rPr>
            </w:pPr>
          </w:p>
        </w:tc>
        <w:tc>
          <w:tcPr>
            <w:tcW w:w="95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cs="Times New Roman"/>
                <w:i w:val="0"/>
                <w:color w:val="000000"/>
                <w:sz w:val="24"/>
                <w:szCs w:val="24"/>
                <w:u w:val="none"/>
              </w:rPr>
            </w:pPr>
          </w:p>
        </w:tc>
        <w:tc>
          <w:tcPr>
            <w:tcW w:w="2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科学研究和技术服务业</w:t>
            </w:r>
          </w:p>
        </w:tc>
        <w:tc>
          <w:tcPr>
            <w:tcW w:w="25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Arial" w:eastAsia="仿宋_GB2312" w:cs="仿宋_GB2312"/>
                <w:i w:val="0"/>
                <w:color w:val="000000"/>
                <w:sz w:val="24"/>
                <w:szCs w:val="24"/>
                <w:u w:val="none"/>
              </w:rPr>
            </w:pPr>
            <w:r>
              <w:rPr>
                <w:rFonts w:hint="eastAsia" w:ascii="仿宋_GB2312" w:hAnsi="Arial" w:eastAsia="仿宋_GB2312" w:cs="仿宋_GB2312"/>
                <w:i w:val="0"/>
                <w:color w:val="000000"/>
                <w:kern w:val="0"/>
                <w:sz w:val="24"/>
                <w:szCs w:val="24"/>
                <w:u w:val="none"/>
                <w:lang w:val="en-US" w:eastAsia="zh-CN" w:bidi="ar"/>
              </w:rPr>
              <w:t>区科技局</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eastAsia" w:ascii="仿宋_GB2312" w:hAnsi="Arial" w:eastAsia="仿宋_GB2312" w:cs="仿宋_GB2312"/>
                <w:i w:val="0"/>
                <w:color w:val="000000"/>
                <w:kern w:val="0"/>
                <w:sz w:val="24"/>
                <w:szCs w:val="24"/>
                <w:u w:val="none"/>
                <w:lang w:val="en-US" w:eastAsia="zh-CN" w:bidi="ar"/>
              </w:rPr>
              <w:t>公安钦北分局</w:t>
            </w:r>
          </w:p>
        </w:tc>
        <w:tc>
          <w:tcPr>
            <w:tcW w:w="2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0364" w:type="dxa"/>
        <w:tblInd w:w="197" w:type="dxa"/>
        <w:shd w:val="clear" w:color="auto" w:fill="auto"/>
        <w:tblLayout w:type="fixed"/>
        <w:tblCellMar>
          <w:top w:w="0" w:type="dxa"/>
          <w:left w:w="0" w:type="dxa"/>
          <w:bottom w:w="0" w:type="dxa"/>
          <w:right w:w="0" w:type="dxa"/>
        </w:tblCellMar>
      </w:tblPr>
      <w:tblGrid>
        <w:gridCol w:w="1459"/>
        <w:gridCol w:w="1091"/>
        <w:gridCol w:w="1650"/>
        <w:gridCol w:w="1582"/>
        <w:gridCol w:w="1691"/>
        <w:gridCol w:w="1418"/>
        <w:gridCol w:w="1473"/>
      </w:tblGrid>
      <w:tr>
        <w:tblPrEx>
          <w:shd w:val="clear" w:color="auto" w:fill="auto"/>
          <w:tblCellMar>
            <w:top w:w="0" w:type="dxa"/>
            <w:left w:w="0" w:type="dxa"/>
            <w:bottom w:w="0" w:type="dxa"/>
            <w:right w:w="0" w:type="dxa"/>
          </w:tblCellMar>
        </w:tblPrEx>
        <w:trPr>
          <w:trHeight w:val="516" w:hRule="atLeast"/>
        </w:trPr>
        <w:tc>
          <w:tcPr>
            <w:tcW w:w="10364" w:type="dxa"/>
            <w:gridSpan w:val="7"/>
            <w:tcBorders>
              <w:top w:val="nil"/>
              <w:left w:val="nil"/>
              <w:bottom w:val="nil"/>
              <w:right w:val="nil"/>
            </w:tcBorders>
            <w:shd w:val="clear" w:color="auto" w:fill="auto"/>
            <w:noWrap/>
            <w:tcMar>
              <w:top w:w="15" w:type="dxa"/>
              <w:left w:w="15" w:type="dxa"/>
              <w:right w:w="15" w:type="dxa"/>
            </w:tcMar>
            <w:vAlign w:val="center"/>
          </w:tcPr>
          <w:p>
            <w:pPr>
              <w:rPr>
                <w:rFonts w:hint="default" w:ascii="Times New Roman" w:hAnsi="Times New Roman" w:eastAsia="宋体" w:cs="Times New Roman"/>
                <w:i w:val="0"/>
                <w:color w:val="000000"/>
                <w:sz w:val="22"/>
                <w:szCs w:val="22"/>
                <w:u w:val="none"/>
              </w:rPr>
            </w:pPr>
            <w:r>
              <w:rPr>
                <w:rFonts w:hint="eastAsia" w:ascii="黑体" w:hAnsi="宋体" w:eastAsia="黑体" w:cs="黑体"/>
                <w:i w:val="0"/>
                <w:color w:val="000000"/>
                <w:kern w:val="0"/>
                <w:sz w:val="28"/>
                <w:szCs w:val="28"/>
                <w:u w:val="none"/>
                <w:lang w:val="en-US" w:eastAsia="zh-CN" w:bidi="ar"/>
              </w:rPr>
              <w:t>附件2-12</w:t>
            </w:r>
          </w:p>
        </w:tc>
      </w:tr>
      <w:tr>
        <w:tblPrEx>
          <w:tblCellMar>
            <w:top w:w="0" w:type="dxa"/>
            <w:left w:w="0" w:type="dxa"/>
            <w:bottom w:w="0" w:type="dxa"/>
            <w:right w:w="0" w:type="dxa"/>
          </w:tblCellMar>
        </w:tblPrEx>
        <w:trPr>
          <w:trHeight w:val="1135" w:hRule="atLeast"/>
        </w:trPr>
        <w:tc>
          <w:tcPr>
            <w:tcW w:w="10364" w:type="dxa"/>
            <w:gridSpan w:val="7"/>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40" w:lineRule="exact"/>
              <w:jc w:val="both"/>
              <w:textAlignment w:val="center"/>
              <w:rPr>
                <w:rFonts w:hint="eastAsia" w:ascii="方正小标宋简体" w:hAnsi="方正小标宋简体" w:eastAsia="方正小标宋简体" w:cs="方正小标宋简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hint="eastAsia" w:ascii="方正小标宋简体" w:hAnsi="方正小标宋简体" w:eastAsia="方正小标宋简体" w:cs="方正小标宋简体"/>
                <w:i w:val="0"/>
                <w:color w:val="000000"/>
                <w:kern w:val="0"/>
                <w:sz w:val="44"/>
                <w:szCs w:val="44"/>
                <w:u w:val="none"/>
                <w:lang w:val="en-US" w:eastAsia="zh-CN" w:bidi="ar"/>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钦北区2020年各镇（街道）社会保险及劳动关系</w:t>
            </w:r>
          </w:p>
          <w:p>
            <w:pPr>
              <w:keepNext w:val="0"/>
              <w:keepLines w:val="0"/>
              <w:pageBreakBefore w:val="0"/>
              <w:widowControl/>
              <w:suppressLineNumbers w:val="0"/>
              <w:kinsoku/>
              <w:wordWrap/>
              <w:overflowPunct/>
              <w:topLinePunct w:val="0"/>
              <w:autoSpaceDE/>
              <w:autoSpaceDN/>
              <w:bidi w:val="0"/>
              <w:adjustRightInd/>
              <w:snapToGrid/>
              <w:spacing w:line="540" w:lineRule="exact"/>
              <w:jc w:val="center"/>
              <w:textAlignment w:val="center"/>
              <w:rPr>
                <w:rFonts w:ascii="方正小标宋简体" w:hAnsi="方正小标宋简体" w:eastAsia="方正小标宋简体" w:cs="方正小标宋简体"/>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协调工作目标任务表</w:t>
            </w:r>
          </w:p>
        </w:tc>
      </w:tr>
      <w:tr>
        <w:tblPrEx>
          <w:tblCellMar>
            <w:top w:w="0" w:type="dxa"/>
            <w:left w:w="0" w:type="dxa"/>
            <w:bottom w:w="0" w:type="dxa"/>
            <w:right w:w="0" w:type="dxa"/>
          </w:tblCellMar>
        </w:tblPrEx>
        <w:trPr>
          <w:trHeight w:val="312" w:hRule="atLeast"/>
        </w:trPr>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hint="default" w:ascii="宋体" w:hAnsi="宋体" w:eastAsia="宋体" w:cs="宋体"/>
                <w:i w:val="0"/>
                <w:color w:val="000000"/>
                <w:kern w:val="0"/>
                <w:sz w:val="24"/>
                <w:szCs w:val="24"/>
                <w:u w:val="none"/>
                <w:lang w:val="en-US" w:eastAsia="zh-CN" w:bidi="ar"/>
              </w:rPr>
            </w:pPr>
            <w:r>
              <w:rPr>
                <w:sz w:val="24"/>
              </w:rPr>
              <mc:AlternateContent>
                <mc:Choice Requires="wps">
                  <w:drawing>
                    <wp:anchor distT="0" distB="0" distL="114300" distR="114300" simplePos="0" relativeHeight="251658240" behindDoc="0" locked="0" layoutInCell="1" allowOverlap="1">
                      <wp:simplePos x="0" y="0"/>
                      <wp:positionH relativeFrom="column">
                        <wp:posOffset>6985</wp:posOffset>
                      </wp:positionH>
                      <wp:positionV relativeFrom="paragraph">
                        <wp:posOffset>5080</wp:posOffset>
                      </wp:positionV>
                      <wp:extent cx="883285" cy="1047750"/>
                      <wp:effectExtent l="3810" t="3175" r="8255" b="15875"/>
                      <wp:wrapNone/>
                      <wp:docPr id="3" name="直接连接符 3"/>
                      <wp:cNvGraphicFramePr/>
                      <a:graphic xmlns:a="http://schemas.openxmlformats.org/drawingml/2006/main">
                        <a:graphicData uri="http://schemas.microsoft.com/office/word/2010/wordprocessingShape">
                          <wps:wsp>
                            <wps:cNvCnPr/>
                            <wps:spPr>
                              <a:xfrm>
                                <a:off x="615950" y="1715770"/>
                                <a:ext cx="883285" cy="1047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0.55pt;margin-top:0.4pt;height:82.5pt;width:69.55pt;z-index:251658240;mso-width-relative:page;mso-height-relative:page;" filled="f" stroked="t" coordsize="21600,21600" o:gfxdata="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OgG3iTTAAAABgEAAA8AAAAAAAAAAQAgAAAAIgAAAGRycy9kb3ducmV2LnhtbFBLAQIUABQAAAAI&#10;AIdO4kB2ZQ628gEAAMEDAAAOAAAAAAAAAAEAIAAAACIBAABkcnMvZTJvRG9jLnhtbFBLBQYAAAAA&#10;BgAGAFkBAACGBQAAAAA=&#10;">
                      <v:fill on="f" focussize="0,0"/>
                      <v:stroke weight="0.5pt" color="#000000 [3200]" miterlimit="8" joinstyle="miter"/>
                      <v:imagedata o:title=""/>
                      <o:lock v:ext="edit" aspectratio="f"/>
                    </v:line>
                  </w:pict>
                </mc:Fallback>
              </mc:AlternateContent>
            </w:r>
            <w:r>
              <w:rPr>
                <w:rFonts w:hint="default" w:ascii="宋体" w:hAnsi="宋体" w:eastAsia="宋体" w:cs="宋体"/>
                <w:i w:val="0"/>
                <w:color w:val="000000"/>
                <w:kern w:val="0"/>
                <w:sz w:val="24"/>
                <w:szCs w:val="24"/>
                <w:u w:val="none"/>
                <w:lang w:val="en-US" w:eastAsia="zh-CN" w:bidi="ar"/>
              </w:rPr>
              <w:t xml:space="preserve">       </w:t>
            </w:r>
          </w:p>
          <w:p>
            <w:pPr>
              <w:keepNext w:val="0"/>
              <w:keepLines w:val="0"/>
              <w:widowControl/>
              <w:suppressLineNumbers w:val="0"/>
              <w:ind w:firstLine="720" w:firstLineChars="300"/>
              <w:jc w:val="left"/>
              <w:textAlignment w:val="center"/>
              <w:rPr>
                <w:rStyle w:val="25"/>
                <w:lang w:val="en-US" w:eastAsia="zh-CN" w:bidi="ar"/>
              </w:rPr>
            </w:pPr>
            <w:r>
              <w:rPr>
                <w:rStyle w:val="25"/>
                <w:lang w:val="en-US" w:eastAsia="zh-CN" w:bidi="ar"/>
              </w:rPr>
              <w:t>项目</w:t>
            </w:r>
          </w:p>
          <w:p>
            <w:pPr>
              <w:keepNext w:val="0"/>
              <w:keepLines w:val="0"/>
              <w:widowControl/>
              <w:suppressLineNumbers w:val="0"/>
              <w:ind w:firstLine="720" w:firstLineChars="300"/>
              <w:jc w:val="left"/>
              <w:textAlignment w:val="center"/>
              <w:rPr>
                <w:rStyle w:val="25"/>
                <w:lang w:val="en-US" w:eastAsia="zh-CN" w:bidi="ar"/>
              </w:rPr>
            </w:pPr>
          </w:p>
          <w:p>
            <w:pPr>
              <w:keepNext w:val="0"/>
              <w:keepLines w:val="0"/>
              <w:widowControl/>
              <w:suppressLineNumbers w:val="0"/>
              <w:ind w:firstLine="240" w:firstLineChars="100"/>
              <w:jc w:val="left"/>
              <w:textAlignment w:val="center"/>
              <w:rPr>
                <w:rStyle w:val="25"/>
                <w:lang w:val="en-US" w:eastAsia="zh-CN" w:bidi="ar"/>
              </w:rPr>
            </w:pPr>
            <w:r>
              <w:rPr>
                <w:rStyle w:val="25"/>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Style w:val="25"/>
                <w:lang w:val="en-US" w:eastAsia="zh-CN" w:bidi="ar"/>
              </w:rPr>
              <w:t>（街道）</w:t>
            </w:r>
          </w:p>
        </w:tc>
        <w:tc>
          <w:tcPr>
            <w:tcW w:w="4323" w:type="dxa"/>
            <w:gridSpan w:val="3"/>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城乡居民基本养老保险</w:t>
            </w:r>
          </w:p>
        </w:tc>
        <w:tc>
          <w:tcPr>
            <w:tcW w:w="169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城镇企业职工基本养老保险</w:t>
            </w:r>
          </w:p>
        </w:tc>
        <w:tc>
          <w:tcPr>
            <w:tcW w:w="141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辖区内企业劳动合同签订率</w:t>
            </w:r>
            <w:r>
              <w:rPr>
                <w:rFonts w:hint="default" w:ascii="Times New Roman" w:hAnsi="Times New Roman" w:eastAsia="黑体" w:cs="Times New Roman"/>
                <w:i w:val="0"/>
                <w:color w:val="000000"/>
                <w:kern w:val="0"/>
                <w:sz w:val="22"/>
                <w:szCs w:val="22"/>
                <w:u w:val="none"/>
                <w:lang w:val="en-US" w:eastAsia="zh-CN" w:bidi="ar"/>
              </w:rPr>
              <w:br w:type="textWrapping"/>
            </w:r>
            <w:r>
              <w:rPr>
                <w:rStyle w:val="25"/>
                <w:rFonts w:hint="default" w:ascii="Times New Roman" w:hAnsi="Times New Roman" w:cs="Times New Roman"/>
                <w:lang w:val="en-US" w:eastAsia="zh-CN" w:bidi="ar"/>
              </w:rPr>
              <w:t>（%）</w:t>
            </w:r>
          </w:p>
        </w:tc>
        <w:tc>
          <w:tcPr>
            <w:tcW w:w="147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kern w:val="0"/>
                <w:sz w:val="22"/>
                <w:szCs w:val="22"/>
                <w:u w:val="none"/>
                <w:lang w:val="en-US" w:eastAsia="zh-CN" w:bidi="ar"/>
              </w:rPr>
            </w:pPr>
            <w:r>
              <w:rPr>
                <w:rFonts w:hint="default" w:ascii="Times New Roman" w:hAnsi="Times New Roman" w:eastAsia="黑体" w:cs="Times New Roman"/>
                <w:i w:val="0"/>
                <w:color w:val="000000"/>
                <w:kern w:val="0"/>
                <w:sz w:val="22"/>
                <w:szCs w:val="22"/>
                <w:u w:val="none"/>
                <w:lang w:val="en-US" w:eastAsia="zh-CN" w:bidi="ar"/>
              </w:rPr>
              <w:t>辖区内劳动人事争议调解</w:t>
            </w:r>
          </w:p>
          <w:p>
            <w:pPr>
              <w:keepNext w:val="0"/>
              <w:keepLines w:val="0"/>
              <w:widowControl/>
              <w:suppressLineNumbers w:val="0"/>
              <w:jc w:val="center"/>
              <w:textAlignment w:val="center"/>
              <w:rPr>
                <w:rFonts w:hint="default" w:ascii="Times New Roman" w:hAnsi="Times New Roman" w:eastAsia="黑体" w:cs="Times New Roman"/>
                <w:i w:val="0"/>
                <w:color w:val="000000"/>
                <w:sz w:val="22"/>
                <w:szCs w:val="22"/>
                <w:u w:val="none"/>
              </w:rPr>
            </w:pPr>
            <w:r>
              <w:rPr>
                <w:rFonts w:hint="default" w:ascii="Times New Roman" w:hAnsi="Times New Roman" w:eastAsia="黑体" w:cs="Times New Roman"/>
                <w:i w:val="0"/>
                <w:color w:val="000000"/>
                <w:kern w:val="0"/>
                <w:sz w:val="22"/>
                <w:szCs w:val="22"/>
                <w:u w:val="none"/>
                <w:lang w:val="en-US" w:eastAsia="zh-CN" w:bidi="ar"/>
              </w:rPr>
              <w:t>成功率</w:t>
            </w:r>
            <w:r>
              <w:rPr>
                <w:rStyle w:val="25"/>
                <w:rFonts w:hint="default" w:ascii="Times New Roman" w:hAnsi="Times New Roman" w:cs="Times New Roman"/>
                <w:lang w:val="en-US" w:eastAsia="zh-CN" w:bidi="ar"/>
              </w:rPr>
              <w:t>（%）</w:t>
            </w:r>
          </w:p>
        </w:tc>
      </w:tr>
      <w:tr>
        <w:tblPrEx>
          <w:tblCellMar>
            <w:top w:w="0" w:type="dxa"/>
            <w:left w:w="0" w:type="dxa"/>
            <w:bottom w:w="0" w:type="dxa"/>
            <w:right w:w="0" w:type="dxa"/>
          </w:tblCellMar>
        </w:tblPrEx>
        <w:trPr>
          <w:trHeight w:val="373"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4323" w:type="dxa"/>
            <w:gridSpan w:val="3"/>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871" w:hRule="atLeast"/>
        </w:trPr>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0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新增参</w:t>
            </w:r>
          </w:p>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保人数</w:t>
            </w:r>
          </w:p>
        </w:tc>
        <w:tc>
          <w:tcPr>
            <w:tcW w:w="1650"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Fonts w:hint="default" w:ascii="Times New Roman" w:hAnsi="Times New Roman" w:eastAsia="黑体" w:cs="Times New Roman"/>
                <w:i w:val="0"/>
                <w:color w:val="000000"/>
                <w:kern w:val="0"/>
                <w:sz w:val="24"/>
                <w:szCs w:val="24"/>
                <w:u w:val="none"/>
                <w:lang w:val="en-US" w:eastAsia="zh-CN" w:bidi="ar"/>
              </w:rPr>
              <w:t>符合条件人员待遇领取率（%）</w:t>
            </w:r>
          </w:p>
        </w:tc>
        <w:tc>
          <w:tcPr>
            <w:tcW w:w="1582"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黑体" w:cs="Times New Roman"/>
                <w:i w:val="0"/>
                <w:color w:val="000000"/>
                <w:sz w:val="24"/>
                <w:szCs w:val="24"/>
                <w:u w:val="none"/>
              </w:rPr>
            </w:pPr>
            <w:r>
              <w:rPr>
                <w:rStyle w:val="25"/>
                <w:rFonts w:hint="default" w:ascii="Times New Roman" w:hAnsi="Times New Roman" w:cs="Times New Roman"/>
                <w:lang w:val="en-US" w:eastAsia="zh-CN" w:bidi="ar"/>
              </w:rPr>
              <w:t>特殊困难</w:t>
            </w:r>
            <w:r>
              <w:rPr>
                <w:rFonts w:hint="default" w:ascii="Times New Roman" w:hAnsi="Times New Roman" w:eastAsia="黑体" w:cs="Times New Roman"/>
                <w:i w:val="0"/>
                <w:color w:val="000000"/>
                <w:kern w:val="0"/>
                <w:sz w:val="24"/>
                <w:szCs w:val="24"/>
                <w:u w:val="none"/>
                <w:lang w:val="en-US" w:eastAsia="zh-CN" w:bidi="ar"/>
              </w:rPr>
              <w:t xml:space="preserve">     </w:t>
            </w:r>
            <w:r>
              <w:rPr>
                <w:rStyle w:val="25"/>
                <w:rFonts w:hint="default" w:ascii="Times New Roman" w:hAnsi="Times New Roman" w:cs="Times New Roman"/>
                <w:lang w:val="en-US" w:eastAsia="zh-CN" w:bidi="ar"/>
              </w:rPr>
              <w:t>人员参保率</w:t>
            </w:r>
            <w:r>
              <w:rPr>
                <w:rFonts w:hint="default" w:ascii="Times New Roman" w:hAnsi="Times New Roman" w:eastAsia="黑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w:t>
            </w:r>
          </w:p>
        </w:tc>
        <w:tc>
          <w:tcPr>
            <w:tcW w:w="169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Style w:val="25"/>
                <w:rFonts w:hint="default" w:ascii="Times New Roman" w:hAnsi="Times New Roman" w:cs="Times New Roman"/>
                <w:lang w:val="en-US" w:eastAsia="zh-CN" w:bidi="ar"/>
              </w:rPr>
              <w:t>新增扩面</w:t>
            </w:r>
            <w:r>
              <w:rPr>
                <w:rFonts w:hint="default" w:ascii="Times New Roman" w:hAnsi="Times New Roman" w:eastAsia="宋体" w:cs="Times New Roman"/>
                <w:i w:val="0"/>
                <w:color w:val="000000"/>
                <w:kern w:val="0"/>
                <w:sz w:val="24"/>
                <w:szCs w:val="24"/>
                <w:u w:val="none"/>
                <w:lang w:val="en-US" w:eastAsia="zh-CN" w:bidi="ar"/>
              </w:rPr>
              <w:br w:type="textWrapping"/>
            </w:r>
            <w:r>
              <w:rPr>
                <w:rStyle w:val="25"/>
                <w:rFonts w:hint="default" w:ascii="Times New Roman" w:hAnsi="Times New Roman" w:cs="Times New Roman"/>
                <w:lang w:val="en-US" w:eastAsia="zh-CN" w:bidi="ar"/>
              </w:rPr>
              <w:t>参保人数</w:t>
            </w:r>
          </w:p>
        </w:tc>
        <w:tc>
          <w:tcPr>
            <w:tcW w:w="141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c>
          <w:tcPr>
            <w:tcW w:w="147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黑体" w:cs="Times New Roman"/>
                <w:i w:val="0"/>
                <w:color w:val="000000"/>
                <w:sz w:val="22"/>
                <w:szCs w:val="22"/>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eastAsia" w:ascii="Times New Roman" w:hAnsi="Times New Roman" w:eastAsia="宋体" w:cs="Times New Roman"/>
                <w:i w:val="0"/>
                <w:color w:val="000000"/>
                <w:kern w:val="0"/>
                <w:sz w:val="24"/>
                <w:szCs w:val="24"/>
                <w:u w:val="none"/>
                <w:lang w:val="en-US" w:eastAsia="zh-CN" w:bidi="ar"/>
              </w:rPr>
              <w:t>60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720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630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lang w:val="en-US"/>
              </w:rPr>
            </w:pPr>
            <w:r>
              <w:rPr>
                <w:rFonts w:hint="default" w:ascii="Times New Roman" w:hAnsi="Times New Roman" w:eastAsia="宋体" w:cs="Times New Roman"/>
                <w:i w:val="0"/>
                <w:color w:val="000000"/>
                <w:kern w:val="0"/>
                <w:sz w:val="24"/>
                <w:szCs w:val="24"/>
                <w:u w:val="none"/>
                <w:lang w:val="en-US" w:eastAsia="zh-CN" w:bidi="ar"/>
              </w:rPr>
              <w:t>9</w:t>
            </w:r>
            <w:r>
              <w:rPr>
                <w:rFonts w:hint="eastAsia" w:ascii="Times New Roman" w:hAnsi="Times New Roman" w:eastAsia="宋体" w:cs="Times New Roman"/>
                <w:i w:val="0"/>
                <w:color w:val="000000"/>
                <w:kern w:val="0"/>
                <w:sz w:val="24"/>
                <w:szCs w:val="24"/>
                <w:u w:val="none"/>
                <w:lang w:val="en-US" w:eastAsia="zh-CN" w:bidi="ar"/>
              </w:rPr>
              <w:t>0</w:t>
            </w: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Times New Roman" w:hAnsi="Times New Roman" w:eastAsia="宋体" w:cs="Times New Roman"/>
                <w:i w:val="0"/>
                <w:color w:val="000000"/>
                <w:kern w:val="0"/>
                <w:sz w:val="24"/>
                <w:szCs w:val="24"/>
                <w:u w:val="none"/>
                <w:lang w:val="en-US" w:eastAsia="zh-CN" w:bidi="ar"/>
              </w:rPr>
              <w:t>6</w:t>
            </w: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其他</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1255</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562" w:hRule="atLeast"/>
        </w:trPr>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0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6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1500</w:t>
            </w:r>
          </w:p>
        </w:tc>
        <w:tc>
          <w:tcPr>
            <w:tcW w:w="14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47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1082" w:hRule="atLeast"/>
        </w:trPr>
        <w:tc>
          <w:tcPr>
            <w:tcW w:w="10364" w:type="dxa"/>
            <w:gridSpan w:val="7"/>
            <w:tcBorders>
              <w:top w:val="single" w:color="000000" w:sz="4" w:space="0"/>
              <w:left w:val="nil"/>
              <w:bottom w:val="nil"/>
              <w:right w:val="nil"/>
            </w:tcBorders>
            <w:shd w:val="clear" w:color="auto" w:fill="auto"/>
            <w:tcMar>
              <w:top w:w="15" w:type="dxa"/>
              <w:left w:w="15" w:type="dxa"/>
              <w:right w:w="15" w:type="dxa"/>
            </w:tcMar>
            <w:vAlign w:val="top"/>
          </w:tcPr>
          <w:p>
            <w:pPr>
              <w:keepNext w:val="0"/>
              <w:keepLines w:val="0"/>
              <w:widowControl/>
              <w:suppressLineNumbers w:val="0"/>
              <w:ind w:left="720" w:hanging="720" w:hangingChars="300"/>
              <w:jc w:val="both"/>
              <w:textAlignment w:val="top"/>
              <w:rPr>
                <w:rFonts w:hint="eastAsia" w:ascii="仿宋_GB2312" w:hAnsi="宋体" w:eastAsia="仿宋_GB2312" w:cs="仿宋_GB2312"/>
                <w:i w:val="0"/>
                <w:color w:val="000000"/>
                <w:kern w:val="0"/>
                <w:sz w:val="24"/>
                <w:szCs w:val="24"/>
                <w:u w:val="none"/>
                <w:lang w:val="en-US" w:eastAsia="zh-CN" w:bidi="ar"/>
              </w:rPr>
            </w:pPr>
            <w:r>
              <w:rPr>
                <w:rFonts w:hint="eastAsia" w:ascii="仿宋_GB2312" w:hAnsi="宋体" w:eastAsia="仿宋_GB2312" w:cs="仿宋_GB2312"/>
                <w:i w:val="0"/>
                <w:color w:val="000000"/>
                <w:kern w:val="0"/>
                <w:sz w:val="24"/>
                <w:szCs w:val="24"/>
                <w:u w:val="none"/>
                <w:lang w:val="en-US" w:eastAsia="zh-CN" w:bidi="ar"/>
              </w:rPr>
              <w:t>备注：（一）符合条件年满</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周岁以上（含</w:t>
            </w:r>
            <w:r>
              <w:rPr>
                <w:rFonts w:hint="default" w:ascii="Times New Roman" w:hAnsi="Times New Roman" w:eastAsia="仿宋_GB2312" w:cs="Times New Roman"/>
                <w:i w:val="0"/>
                <w:color w:val="000000"/>
                <w:kern w:val="0"/>
                <w:sz w:val="24"/>
                <w:szCs w:val="24"/>
                <w:u w:val="none"/>
                <w:lang w:val="en-US" w:eastAsia="zh-CN" w:bidi="ar"/>
              </w:rPr>
              <w:t>60</w:t>
            </w:r>
            <w:r>
              <w:rPr>
                <w:rFonts w:hint="eastAsia" w:ascii="仿宋_GB2312" w:hAnsi="宋体" w:eastAsia="仿宋_GB2312" w:cs="仿宋_GB2312"/>
                <w:i w:val="0"/>
                <w:color w:val="000000"/>
                <w:kern w:val="0"/>
                <w:sz w:val="24"/>
                <w:szCs w:val="24"/>
                <w:u w:val="none"/>
                <w:lang w:val="en-US" w:eastAsia="zh-CN" w:bidi="ar"/>
              </w:rPr>
              <w:t>岁）的城乡居民养老保险待遇领取率必须达到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；建档立卡贫困户、重度残疾人、特困、低保、贫残人员参加城乡居民养老保险比例达到</w:t>
            </w:r>
            <w:r>
              <w:rPr>
                <w:rFonts w:hint="default" w:ascii="Times New Roman" w:hAnsi="Times New Roman" w:eastAsia="仿宋_GB2312" w:cs="Times New Roman"/>
                <w:i w:val="0"/>
                <w:color w:val="000000"/>
                <w:kern w:val="0"/>
                <w:sz w:val="24"/>
                <w:szCs w:val="24"/>
                <w:u w:val="none"/>
                <w:lang w:val="en-US" w:eastAsia="zh-CN" w:bidi="ar"/>
              </w:rPr>
              <w:t>100%</w:t>
            </w:r>
            <w:r>
              <w:rPr>
                <w:rFonts w:hint="eastAsia" w:ascii="仿宋_GB2312" w:hAnsi="宋体" w:eastAsia="仿宋_GB2312" w:cs="仿宋_GB2312"/>
                <w:i w:val="0"/>
                <w:color w:val="000000"/>
                <w:kern w:val="0"/>
                <w:sz w:val="24"/>
                <w:szCs w:val="24"/>
                <w:u w:val="none"/>
                <w:lang w:val="en-US" w:eastAsia="zh-CN" w:bidi="ar"/>
              </w:rPr>
              <w:t>。</w:t>
            </w:r>
          </w:p>
          <w:p>
            <w:pPr>
              <w:keepNext w:val="0"/>
              <w:keepLines w:val="0"/>
              <w:widowControl/>
              <w:suppressLineNumbers w:val="0"/>
              <w:ind w:left="0" w:leftChars="0" w:firstLine="638" w:firstLineChars="266"/>
              <w:jc w:val="both"/>
              <w:textAlignment w:val="top"/>
              <w:rPr>
                <w:rFonts w:hint="eastAsia" w:ascii="仿宋_GB2312" w:hAnsi="宋体" w:eastAsia="仿宋_GB2312" w:cs="仿宋_GB2312"/>
                <w:i w:val="0"/>
                <w:color w:val="000000"/>
                <w:sz w:val="24"/>
                <w:szCs w:val="24"/>
                <w:u w:val="none"/>
              </w:rPr>
            </w:pPr>
            <w:r>
              <w:rPr>
                <w:rFonts w:hint="eastAsia" w:ascii="仿宋_GB2312" w:hAnsi="宋体" w:eastAsia="仿宋_GB2312" w:cs="仿宋_GB2312"/>
                <w:i w:val="0"/>
                <w:color w:val="000000"/>
                <w:kern w:val="0"/>
                <w:sz w:val="24"/>
                <w:szCs w:val="24"/>
                <w:u w:val="none"/>
                <w:lang w:val="en-US" w:eastAsia="zh-CN" w:bidi="ar"/>
              </w:rPr>
              <w:t>（二）实行实绩与绩效挂钩制度。</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1906" w:h="16838"/>
          <w:pgMar w:top="720" w:right="720" w:bottom="720" w:left="720" w:header="851" w:footer="992" w:gutter="0"/>
          <w:pgNumType w:fmt="numberInDash"/>
          <w:cols w:space="425" w:num="1"/>
          <w:docGrid w:type="lines" w:linePitch="312" w:charSpace="0"/>
        </w:sectPr>
      </w:pPr>
    </w:p>
    <w:p>
      <w:pPr>
        <w:pStyle w:val="2"/>
        <w:ind w:left="0" w:leftChars="0" w:firstLine="0" w:firstLineChars="0"/>
        <w:rPr>
          <w:rFonts w:hint="default" w:ascii="Times New Roman" w:hAnsi="Times New Roman" w:eastAsia="仿宋_GB2312" w:cs="Times New Roman"/>
          <w:color w:val="auto"/>
          <w:sz w:val="32"/>
          <w:szCs w:val="32"/>
          <w:lang w:val="en-US" w:eastAsia="zh-CN"/>
        </w:rPr>
      </w:pPr>
    </w:p>
    <w:tbl>
      <w:tblPr>
        <w:tblStyle w:val="5"/>
        <w:tblW w:w="14864" w:type="dxa"/>
        <w:tblInd w:w="290" w:type="dxa"/>
        <w:shd w:val="clear" w:color="auto" w:fill="auto"/>
        <w:tblLayout w:type="fixed"/>
        <w:tblCellMar>
          <w:top w:w="0" w:type="dxa"/>
          <w:left w:w="0" w:type="dxa"/>
          <w:bottom w:w="0" w:type="dxa"/>
          <w:right w:w="0" w:type="dxa"/>
        </w:tblCellMar>
      </w:tblPr>
      <w:tblGrid>
        <w:gridCol w:w="1432"/>
        <w:gridCol w:w="1391"/>
        <w:gridCol w:w="1582"/>
        <w:gridCol w:w="1282"/>
        <w:gridCol w:w="1800"/>
        <w:gridCol w:w="1636"/>
        <w:gridCol w:w="1064"/>
        <w:gridCol w:w="1609"/>
        <w:gridCol w:w="1459"/>
        <w:gridCol w:w="1609"/>
      </w:tblGrid>
      <w:tr>
        <w:tblPrEx>
          <w:shd w:val="clear" w:color="auto" w:fill="auto"/>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widowControl/>
              <w:suppressLineNumbers w:val="0"/>
              <w:jc w:val="left"/>
              <w:textAlignment w:val="center"/>
              <w:rPr>
                <w:rFonts w:ascii="黑体" w:hAnsi="宋体" w:eastAsia="黑体" w:cs="黑体"/>
                <w:i w:val="0"/>
                <w:color w:val="000000"/>
                <w:sz w:val="28"/>
                <w:szCs w:val="28"/>
                <w:u w:val="none"/>
              </w:rPr>
            </w:pPr>
            <w:r>
              <w:rPr>
                <w:rFonts w:hint="eastAsia" w:ascii="黑体" w:hAnsi="宋体" w:eastAsia="黑体" w:cs="黑体"/>
                <w:i w:val="0"/>
                <w:color w:val="000000"/>
                <w:kern w:val="0"/>
                <w:sz w:val="28"/>
                <w:szCs w:val="28"/>
                <w:u w:val="none"/>
                <w:lang w:val="en-US" w:eastAsia="zh-CN" w:bidi="ar"/>
              </w:rPr>
              <w:t>附件2-13</w:t>
            </w:r>
          </w:p>
        </w:tc>
      </w:tr>
      <w:tr>
        <w:tblPrEx>
          <w:tblCellMar>
            <w:top w:w="0" w:type="dxa"/>
            <w:left w:w="0" w:type="dxa"/>
            <w:bottom w:w="0" w:type="dxa"/>
            <w:right w:w="0" w:type="dxa"/>
          </w:tblCellMar>
        </w:tblPrEx>
        <w:trPr>
          <w:trHeight w:val="530" w:hRule="atLeast"/>
        </w:trPr>
        <w:tc>
          <w:tcPr>
            <w:tcW w:w="14864" w:type="dxa"/>
            <w:gridSpan w:val="10"/>
            <w:tcBorders>
              <w:top w:val="nil"/>
              <w:left w:val="nil"/>
              <w:bottom w:val="nil"/>
              <w:right w:val="nil"/>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60" w:lineRule="exact"/>
              <w:jc w:val="center"/>
              <w:textAlignment w:val="center"/>
              <w:rPr>
                <w:rFonts w:hint="default" w:ascii="Times New Roman" w:hAnsi="Times New Roman" w:eastAsia="宋体" w:cs="Times New Roman"/>
                <w:i w:val="0"/>
                <w:color w:val="000000"/>
                <w:sz w:val="40"/>
                <w:szCs w:val="40"/>
                <w:u w:val="none"/>
              </w:rPr>
            </w:pPr>
            <w:r>
              <w:rPr>
                <w:rFonts w:hint="eastAsia" w:ascii="方正小标宋简体" w:hAnsi="方正小标宋简体" w:eastAsia="方正小标宋简体" w:cs="方正小标宋简体"/>
                <w:i w:val="0"/>
                <w:color w:val="000000"/>
                <w:kern w:val="0"/>
                <w:sz w:val="44"/>
                <w:szCs w:val="44"/>
                <w:u w:val="none"/>
                <w:lang w:val="en-US" w:eastAsia="zh-CN" w:bidi="ar"/>
              </w:rPr>
              <w:t>钦北区2020年各镇（街道）就业再就业工作目标任务表</w:t>
            </w:r>
          </w:p>
        </w:tc>
      </w:tr>
      <w:tr>
        <w:tblPrEx>
          <w:tblCellMar>
            <w:top w:w="0" w:type="dxa"/>
            <w:left w:w="0" w:type="dxa"/>
            <w:bottom w:w="0" w:type="dxa"/>
            <w:right w:w="0" w:type="dxa"/>
          </w:tblCellMar>
        </w:tblPrEx>
        <w:trPr>
          <w:trHeight w:val="270" w:hRule="atLeast"/>
        </w:trPr>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ind w:left="120" w:hanging="120" w:hangingChars="50"/>
              <w:jc w:val="left"/>
              <w:textAlignment w:val="center"/>
              <w:rPr>
                <w:rFonts w:hint="eastAsia" w:ascii="黑体" w:hAnsi="宋体" w:eastAsia="黑体" w:cs="黑体"/>
                <w:i w:val="0"/>
                <w:color w:val="000000"/>
                <w:kern w:val="0"/>
                <w:sz w:val="24"/>
                <w:szCs w:val="24"/>
                <w:u w:val="none"/>
                <w:lang w:val="en-US" w:eastAsia="zh-CN" w:bidi="ar"/>
              </w:rPr>
            </w:pPr>
            <w:r>
              <w:rPr>
                <w:sz w:val="24"/>
              </w:rPr>
              <mc:AlternateContent>
                <mc:Choice Requires="wps">
                  <w:drawing>
                    <wp:anchor distT="0" distB="0" distL="114300" distR="114300" simplePos="0" relativeHeight="251659264" behindDoc="0" locked="0" layoutInCell="1" allowOverlap="1">
                      <wp:simplePos x="0" y="0"/>
                      <wp:positionH relativeFrom="column">
                        <wp:posOffset>13970</wp:posOffset>
                      </wp:positionH>
                      <wp:positionV relativeFrom="paragraph">
                        <wp:posOffset>8890</wp:posOffset>
                      </wp:positionV>
                      <wp:extent cx="885825" cy="587375"/>
                      <wp:effectExtent l="2540" t="3810" r="6985" b="18415"/>
                      <wp:wrapNone/>
                      <wp:docPr id="6" name="直接连接符 6"/>
                      <wp:cNvGraphicFramePr/>
                      <a:graphic xmlns:a="http://schemas.openxmlformats.org/drawingml/2006/main">
                        <a:graphicData uri="http://schemas.microsoft.com/office/word/2010/wordprocessingShape">
                          <wps:wsp>
                            <wps:cNvCnPr/>
                            <wps:spPr>
                              <a:xfrm>
                                <a:off x="657860" y="1697990"/>
                                <a:ext cx="885825" cy="5873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_x0000_s1026" o:spid="_x0000_s1026" o:spt="20" style="position:absolute;left:0pt;margin-left:1.1pt;margin-top:0.7pt;height:46.25pt;width:69.75pt;z-index:251659264;mso-width-relative:page;mso-height-relative:page;" filled="f" stroked="t" coordsize="21600,21600" o:gfxdata="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coJ6atQAAAAGAQAADwAAAAAAAAABACAAAAAiAAAAZHJzL2Rvd25yZXYueG1sUEsBAhQAFAAA&#10;AAgAh07iQBoJEiLzAQAAwAMAAA4AAAAAAAAAAQAgAAAAIwEAAGRycy9lMm9Eb2MueG1sUEsFBgAA&#10;AAAGAAYAWQEAAIgFAAAAAA==&#10;">
                      <v:fill on="f" focussize="0,0"/>
                      <v:stroke weight="0.5pt" color="#000000 [3200]" miterlimit="8" joinstyle="miter"/>
                      <v:imagedata o:title=""/>
                      <o:lock v:ext="edit" aspectratio="f"/>
                    </v:line>
                  </w:pict>
                </mc:Fallback>
              </mc:AlternateContent>
            </w:r>
            <w:r>
              <w:rPr>
                <w:rFonts w:hint="default" w:ascii="Times New Roman" w:hAnsi="Times New Roman" w:eastAsia="宋体" w:cs="Times New Roman"/>
                <w:i w:val="0"/>
                <w:color w:val="000000"/>
                <w:kern w:val="0"/>
                <w:sz w:val="24"/>
                <w:szCs w:val="24"/>
                <w:u w:val="none"/>
                <w:lang w:val="en-US" w:eastAsia="zh-CN" w:bidi="ar"/>
              </w:rPr>
              <w:t xml:space="preserve">       </w:t>
            </w:r>
            <w:r>
              <w:rPr>
                <w:rFonts w:hint="eastAsia" w:ascii="黑体" w:hAnsi="宋体" w:eastAsia="黑体" w:cs="黑体"/>
                <w:i w:val="0"/>
                <w:color w:val="000000"/>
                <w:kern w:val="0"/>
                <w:sz w:val="24"/>
                <w:szCs w:val="24"/>
                <w:u w:val="none"/>
                <w:lang w:val="en-US" w:eastAsia="zh-CN" w:bidi="ar"/>
              </w:rPr>
              <w:t>项目</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镇</w:t>
            </w:r>
          </w:p>
          <w:p>
            <w:pPr>
              <w:keepNext w:val="0"/>
              <w:keepLines w:val="0"/>
              <w:widowControl/>
              <w:suppressLineNumbers w:val="0"/>
              <w:jc w:val="left"/>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（街道）</w:t>
            </w:r>
          </w:p>
        </w:tc>
        <w:tc>
          <w:tcPr>
            <w:tcW w:w="139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kern w:val="0"/>
                <w:sz w:val="24"/>
                <w:szCs w:val="24"/>
                <w:u w:val="none"/>
                <w:lang w:val="en-US" w:eastAsia="zh-CN" w:bidi="ar"/>
              </w:rPr>
            </w:pPr>
            <w:r>
              <w:rPr>
                <w:rFonts w:hint="eastAsia" w:ascii="黑体" w:hAnsi="宋体" w:eastAsia="黑体" w:cs="黑体"/>
                <w:i w:val="0"/>
                <w:color w:val="000000"/>
                <w:kern w:val="0"/>
                <w:sz w:val="24"/>
                <w:szCs w:val="24"/>
                <w:u w:val="none"/>
                <w:lang w:val="en-US" w:eastAsia="zh-CN" w:bidi="ar"/>
              </w:rPr>
              <w:t>城镇新增</w:t>
            </w:r>
          </w:p>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就业人数</w:t>
            </w:r>
          </w:p>
        </w:tc>
        <w:tc>
          <w:tcPr>
            <w:tcW w:w="15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城镇失业人员再就业人数</w:t>
            </w:r>
          </w:p>
        </w:tc>
        <w:tc>
          <w:tcPr>
            <w:tcW w:w="128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就业困难人员就业人数</w:t>
            </w:r>
          </w:p>
        </w:tc>
        <w:tc>
          <w:tcPr>
            <w:tcW w:w="18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农村劳动力转移就业新增人数</w:t>
            </w:r>
          </w:p>
        </w:tc>
        <w:tc>
          <w:tcPr>
            <w:tcW w:w="16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其中：建档立卡贫困人员人数</w:t>
            </w:r>
          </w:p>
        </w:tc>
        <w:tc>
          <w:tcPr>
            <w:tcW w:w="106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就业培训</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Times New Roman" w:hAnsi="Times New Roman" w:eastAsia="黑体" w:cs="Times New Roman"/>
                <w:i w:val="0"/>
                <w:color w:val="000000"/>
                <w:kern w:val="0"/>
                <w:sz w:val="24"/>
                <w:szCs w:val="24"/>
                <w:u w:val="none"/>
                <w:lang w:val="en-US" w:eastAsia="zh-CN" w:bidi="ar"/>
              </w:rPr>
              <w:t>目标</w:t>
            </w:r>
            <w:r>
              <w:rPr>
                <w:rFonts w:hint="eastAsia" w:ascii="黑体" w:hAnsi="宋体" w:eastAsia="黑体" w:cs="黑体"/>
                <w:i w:val="0"/>
                <w:color w:val="000000"/>
                <w:kern w:val="0"/>
                <w:sz w:val="24"/>
                <w:szCs w:val="24"/>
                <w:u w:val="none"/>
                <w:lang w:val="en-US" w:eastAsia="zh-CN" w:bidi="ar"/>
              </w:rPr>
              <w:t>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黑体" w:hAnsi="宋体" w:eastAsia="黑体" w:cs="黑体"/>
                <w:i w:val="0"/>
                <w:color w:val="000000"/>
                <w:kern w:val="0"/>
                <w:sz w:val="24"/>
                <w:szCs w:val="24"/>
                <w:u w:val="none"/>
                <w:lang w:val="en-US" w:eastAsia="zh-CN" w:bidi="ar"/>
              </w:rPr>
              <w:t>建档立卡人员培训人数</w:t>
            </w:r>
          </w:p>
        </w:tc>
        <w:tc>
          <w:tcPr>
            <w:tcW w:w="145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黑体" w:hAnsi="宋体" w:eastAsia="黑体" w:cs="黑体"/>
                <w:i w:val="0"/>
                <w:color w:val="000000"/>
                <w:sz w:val="24"/>
                <w:szCs w:val="24"/>
                <w:u w:val="none"/>
              </w:rPr>
            </w:pPr>
            <w:r>
              <w:rPr>
                <w:rFonts w:hint="eastAsia" w:ascii="黑体" w:hAnsi="宋体" w:eastAsia="黑体" w:cs="黑体"/>
                <w:i w:val="0"/>
                <w:color w:val="000000"/>
                <w:kern w:val="0"/>
                <w:sz w:val="24"/>
                <w:szCs w:val="24"/>
                <w:u w:val="none"/>
                <w:lang w:val="en-US" w:eastAsia="zh-CN" w:bidi="ar"/>
              </w:rPr>
              <w:t>新增高技能</w:t>
            </w:r>
            <w:r>
              <w:rPr>
                <w:rFonts w:hint="default" w:ascii="Times New Roman" w:hAnsi="Times New Roman" w:eastAsia="黑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人才人数</w:t>
            </w:r>
          </w:p>
        </w:tc>
        <w:tc>
          <w:tcPr>
            <w:tcW w:w="160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w:t>
            </w:r>
            <w:r>
              <w:rPr>
                <w:rFonts w:hint="eastAsia" w:ascii="黑体" w:hAnsi="宋体" w:eastAsia="黑体" w:cs="黑体"/>
                <w:i w:val="0"/>
                <w:color w:val="000000"/>
                <w:kern w:val="0"/>
                <w:sz w:val="24"/>
                <w:szCs w:val="24"/>
                <w:u w:val="none"/>
                <w:lang w:val="en-US" w:eastAsia="zh-CN" w:bidi="ar"/>
              </w:rPr>
              <w:t>两后生</w:t>
            </w:r>
            <w:r>
              <w:rPr>
                <w:rFonts w:hint="default" w:ascii="Times New Roman" w:hAnsi="Times New Roman" w:eastAsia="宋体" w:cs="Times New Roman"/>
                <w:i w:val="0"/>
                <w:color w:val="000000"/>
                <w:kern w:val="0"/>
                <w:sz w:val="24"/>
                <w:szCs w:val="24"/>
                <w:u w:val="none"/>
                <w:lang w:val="en-US" w:eastAsia="zh-CN" w:bidi="ar"/>
              </w:rPr>
              <w:t>”</w:t>
            </w:r>
            <w:r>
              <w:rPr>
                <w:rFonts w:hint="default" w:ascii="Times New Roman" w:hAnsi="Times New Roman" w:eastAsia="宋体" w:cs="Times New Roman"/>
                <w:i w:val="0"/>
                <w:color w:val="000000"/>
                <w:kern w:val="0"/>
                <w:sz w:val="24"/>
                <w:szCs w:val="24"/>
                <w:u w:val="none"/>
                <w:lang w:val="en-US" w:eastAsia="zh-CN" w:bidi="ar"/>
              </w:rPr>
              <w:br w:type="textWrapping"/>
            </w:r>
            <w:r>
              <w:rPr>
                <w:rFonts w:hint="eastAsia" w:ascii="黑体" w:hAnsi="宋体" w:eastAsia="黑体" w:cs="黑体"/>
                <w:i w:val="0"/>
                <w:color w:val="000000"/>
                <w:kern w:val="0"/>
                <w:sz w:val="24"/>
                <w:szCs w:val="24"/>
                <w:u w:val="none"/>
                <w:lang w:val="en-US" w:eastAsia="zh-CN" w:bidi="ar"/>
              </w:rPr>
              <w:t>培训人数</w:t>
            </w:r>
          </w:p>
        </w:tc>
      </w:tr>
      <w:tr>
        <w:tblPrEx>
          <w:tblCellMar>
            <w:top w:w="0" w:type="dxa"/>
            <w:left w:w="0" w:type="dxa"/>
            <w:bottom w:w="0" w:type="dxa"/>
            <w:right w:w="0" w:type="dxa"/>
          </w:tblCellMar>
        </w:tblPrEx>
        <w:trPr>
          <w:trHeight w:val="518" w:hRule="atLeast"/>
        </w:trPr>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default" w:ascii="Times New Roman" w:hAnsi="Times New Roman" w:eastAsia="宋体" w:cs="Times New Roman"/>
                <w:i w:val="0"/>
                <w:color w:val="000000"/>
                <w:sz w:val="24"/>
                <w:szCs w:val="24"/>
                <w:u w:val="none"/>
              </w:rPr>
            </w:pPr>
          </w:p>
        </w:tc>
        <w:tc>
          <w:tcPr>
            <w:tcW w:w="139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5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28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8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06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c>
          <w:tcPr>
            <w:tcW w:w="145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黑体" w:hAnsi="宋体" w:eastAsia="黑体" w:cs="黑体"/>
                <w:i w:val="0"/>
                <w:color w:val="000000"/>
                <w:sz w:val="24"/>
                <w:szCs w:val="24"/>
                <w:u w:val="none"/>
              </w:rPr>
            </w:pPr>
          </w:p>
        </w:tc>
        <w:tc>
          <w:tcPr>
            <w:tcW w:w="160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Times New Roman" w:hAnsi="Times New Roman" w:eastAsia="宋体" w:cs="Times New Roman"/>
                <w:i w:val="0"/>
                <w:color w:val="000000"/>
                <w:sz w:val="24"/>
                <w:szCs w:val="24"/>
                <w:u w:val="none"/>
              </w:rPr>
            </w:pPr>
          </w:p>
        </w:tc>
      </w:tr>
      <w:tr>
        <w:tblPrEx>
          <w:tblCellMar>
            <w:top w:w="0" w:type="dxa"/>
            <w:left w:w="0" w:type="dxa"/>
            <w:bottom w:w="0" w:type="dxa"/>
            <w:right w:w="0" w:type="dxa"/>
          </w:tblCellMar>
        </w:tblPrEx>
        <w:trPr>
          <w:trHeight w:val="465"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小董镇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板城镇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1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平吉镇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大直镇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大寺镇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长滩镇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96"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那蒙镇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369"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青塘镇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新棠镇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大垌镇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64"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ascii="仿宋_GB2312" w:hAnsi="Times New Roman" w:eastAsia="仿宋_GB2312" w:cs="仿宋_GB2312"/>
                <w:i w:val="0"/>
                <w:color w:val="000000"/>
                <w:kern w:val="0"/>
                <w:sz w:val="24"/>
                <w:szCs w:val="24"/>
                <w:u w:val="none"/>
                <w:lang w:val="en-US" w:eastAsia="zh-CN" w:bidi="ar"/>
              </w:rPr>
              <w:t>贵台镇</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r>
      <w:tr>
        <w:tblPrEx>
          <w:tblCellMar>
            <w:top w:w="0" w:type="dxa"/>
            <w:left w:w="0" w:type="dxa"/>
            <w:bottom w:w="0" w:type="dxa"/>
            <w:right w:w="0" w:type="dxa"/>
          </w:tblCellMar>
        </w:tblPrEx>
        <w:trPr>
          <w:trHeight w:val="437"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长田街道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400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451"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子材街道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鸿亭街道</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06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350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45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c>
          <w:tcPr>
            <w:tcW w:w="160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0</w:t>
            </w:r>
          </w:p>
        </w:tc>
      </w:tr>
      <w:tr>
        <w:tblPrEx>
          <w:tblCellMar>
            <w:top w:w="0" w:type="dxa"/>
            <w:left w:w="0" w:type="dxa"/>
            <w:bottom w:w="0" w:type="dxa"/>
            <w:right w:w="0" w:type="dxa"/>
          </w:tblCellMar>
        </w:tblPrEx>
        <w:trPr>
          <w:trHeight w:val="500" w:hRule="atLeast"/>
        </w:trPr>
        <w:tc>
          <w:tcPr>
            <w:tcW w:w="14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eastAsia" w:ascii="仿宋_GB2312" w:hAnsi="Times New Roman" w:eastAsia="仿宋_GB2312" w:cs="仿宋_GB2312"/>
                <w:i w:val="0"/>
                <w:color w:val="000000"/>
                <w:kern w:val="0"/>
                <w:sz w:val="24"/>
                <w:szCs w:val="24"/>
                <w:u w:val="none"/>
                <w:lang w:val="en-US" w:eastAsia="zh-CN" w:bidi="ar"/>
              </w:rPr>
              <w:t>合计</w:t>
            </w:r>
          </w:p>
        </w:tc>
        <w:tc>
          <w:tcPr>
            <w:tcW w:w="1391"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2700</w:t>
            </w:r>
          </w:p>
        </w:tc>
        <w:tc>
          <w:tcPr>
            <w:tcW w:w="15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900</w:t>
            </w:r>
          </w:p>
        </w:tc>
        <w:tc>
          <w:tcPr>
            <w:tcW w:w="1282"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110</w:t>
            </w:r>
          </w:p>
        </w:tc>
        <w:tc>
          <w:tcPr>
            <w:tcW w:w="180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4600</w:t>
            </w:r>
          </w:p>
        </w:tc>
        <w:tc>
          <w:tcPr>
            <w:tcW w:w="1636"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380</w:t>
            </w:r>
          </w:p>
        </w:tc>
        <w:tc>
          <w:tcPr>
            <w:tcW w:w="106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4400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250</w:t>
            </w:r>
          </w:p>
        </w:tc>
        <w:tc>
          <w:tcPr>
            <w:tcW w:w="145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60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27</w:t>
            </w:r>
          </w:p>
        </w:tc>
      </w:tr>
    </w:tbl>
    <w:p>
      <w:pPr>
        <w:pStyle w:val="2"/>
        <w:ind w:left="0" w:leftChars="0" w:firstLine="0" w:firstLineChars="0"/>
        <w:rPr>
          <w:rFonts w:hint="default" w:ascii="Times New Roman" w:hAnsi="Times New Roman" w:eastAsia="仿宋_GB2312" w:cs="Times New Roman"/>
          <w:color w:val="auto"/>
          <w:sz w:val="32"/>
          <w:szCs w:val="32"/>
          <w:lang w:val="en-US" w:eastAsia="zh-CN"/>
        </w:rPr>
        <w:sectPr>
          <w:pgSz w:w="16838" w:h="11906" w:orient="landscape"/>
          <w:pgMar w:top="720" w:right="720" w:bottom="720" w:left="720" w:header="851" w:footer="992" w:gutter="0"/>
          <w:pgNumType w:fmt="numberInDash"/>
          <w:cols w:space="425" w:num="1"/>
          <w:docGrid w:type="lines" w:linePitch="312" w:charSpace="0"/>
        </w:sect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仿宋_GB2312" w:cs="Times New Roman"/>
          <w:color w:val="auto"/>
          <w:sz w:val="32"/>
          <w:szCs w:val="32"/>
          <w:lang w:val="en-US" w:eastAsia="zh-CN"/>
        </w:rPr>
      </w:pPr>
      <w:bookmarkStart w:id="0" w:name="_GoBack"/>
      <w:bookmarkEnd w:id="0"/>
    </w:p>
    <w:sectPr>
      <w:footerReference r:id="rId4" w:type="default"/>
      <w:pgSz w:w="11906" w:h="16838"/>
      <w:pgMar w:top="1417" w:right="1417" w:bottom="1417" w:left="141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r>
      <w:rPr>
        <w:rFonts w:hint="eastAsia"/>
        <w:lang w:eastAsia="zh-CN"/>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653"/>
        <w:tab w:val="clear" w:pos="4153"/>
      </w:tabs>
    </w:pPr>
    <w:r>
      <w:rPr>
        <w:rFonts w:hint="eastAsia"/>
        <w:lang w:eastAsia="zh-CN"/>
      </w:rP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11BB050"/>
    <w:multiLevelType w:val="singleLevel"/>
    <w:tmpl w:val="711BB050"/>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D469E"/>
    <w:rsid w:val="00B577C8"/>
    <w:rsid w:val="00D139B1"/>
    <w:rsid w:val="01346440"/>
    <w:rsid w:val="013D63FA"/>
    <w:rsid w:val="01DC5527"/>
    <w:rsid w:val="01E04D7F"/>
    <w:rsid w:val="01F1037C"/>
    <w:rsid w:val="02186891"/>
    <w:rsid w:val="02801CE8"/>
    <w:rsid w:val="028940BC"/>
    <w:rsid w:val="028E7FF4"/>
    <w:rsid w:val="02CB5C1E"/>
    <w:rsid w:val="02F61A42"/>
    <w:rsid w:val="032F6030"/>
    <w:rsid w:val="034E028A"/>
    <w:rsid w:val="03AD5710"/>
    <w:rsid w:val="03BB48B0"/>
    <w:rsid w:val="04595A98"/>
    <w:rsid w:val="04DB2F02"/>
    <w:rsid w:val="04F51D72"/>
    <w:rsid w:val="05B935C8"/>
    <w:rsid w:val="05DE1233"/>
    <w:rsid w:val="062525A5"/>
    <w:rsid w:val="063A3EA1"/>
    <w:rsid w:val="06443449"/>
    <w:rsid w:val="070357DC"/>
    <w:rsid w:val="07D54339"/>
    <w:rsid w:val="07DE7786"/>
    <w:rsid w:val="082E522A"/>
    <w:rsid w:val="08841AA5"/>
    <w:rsid w:val="08871E8C"/>
    <w:rsid w:val="08BC4AA9"/>
    <w:rsid w:val="08EB48CA"/>
    <w:rsid w:val="093D73E1"/>
    <w:rsid w:val="09BD2982"/>
    <w:rsid w:val="09D036C1"/>
    <w:rsid w:val="0AC81632"/>
    <w:rsid w:val="0AF24918"/>
    <w:rsid w:val="0B493C17"/>
    <w:rsid w:val="0B9F13DA"/>
    <w:rsid w:val="0BE3347F"/>
    <w:rsid w:val="0C3656FC"/>
    <w:rsid w:val="0C6A2EBE"/>
    <w:rsid w:val="0EDE004B"/>
    <w:rsid w:val="0EF5245B"/>
    <w:rsid w:val="0F0276DE"/>
    <w:rsid w:val="0F0A3E1F"/>
    <w:rsid w:val="0F336EC0"/>
    <w:rsid w:val="0FB43C67"/>
    <w:rsid w:val="10552EDF"/>
    <w:rsid w:val="108B3836"/>
    <w:rsid w:val="10A55882"/>
    <w:rsid w:val="10FC44CF"/>
    <w:rsid w:val="110D4E91"/>
    <w:rsid w:val="112F0F6E"/>
    <w:rsid w:val="1174780A"/>
    <w:rsid w:val="11D11478"/>
    <w:rsid w:val="12B633E2"/>
    <w:rsid w:val="12F1411A"/>
    <w:rsid w:val="13496EDF"/>
    <w:rsid w:val="139C04F0"/>
    <w:rsid w:val="14087308"/>
    <w:rsid w:val="149326C0"/>
    <w:rsid w:val="154313F5"/>
    <w:rsid w:val="15520749"/>
    <w:rsid w:val="155701A0"/>
    <w:rsid w:val="17206439"/>
    <w:rsid w:val="17321627"/>
    <w:rsid w:val="178B37AF"/>
    <w:rsid w:val="186D15C7"/>
    <w:rsid w:val="18D83611"/>
    <w:rsid w:val="18E77F77"/>
    <w:rsid w:val="193B775A"/>
    <w:rsid w:val="198C5BFB"/>
    <w:rsid w:val="19B45C5C"/>
    <w:rsid w:val="19C45D52"/>
    <w:rsid w:val="19D202AD"/>
    <w:rsid w:val="1A2A01B7"/>
    <w:rsid w:val="1A5E5AD5"/>
    <w:rsid w:val="1A83442A"/>
    <w:rsid w:val="1AEF6B48"/>
    <w:rsid w:val="1B791634"/>
    <w:rsid w:val="1C6E335D"/>
    <w:rsid w:val="1D0E6ED6"/>
    <w:rsid w:val="1DB14A7E"/>
    <w:rsid w:val="1DE45F53"/>
    <w:rsid w:val="1E10104B"/>
    <w:rsid w:val="1E1929C9"/>
    <w:rsid w:val="1E5731A4"/>
    <w:rsid w:val="1E7B44B0"/>
    <w:rsid w:val="1F0C1B5D"/>
    <w:rsid w:val="1F725E40"/>
    <w:rsid w:val="1F9A5A46"/>
    <w:rsid w:val="20445D30"/>
    <w:rsid w:val="205E2CF2"/>
    <w:rsid w:val="20B317E5"/>
    <w:rsid w:val="20D602D7"/>
    <w:rsid w:val="20F1217B"/>
    <w:rsid w:val="21A00ABD"/>
    <w:rsid w:val="21D859FC"/>
    <w:rsid w:val="21DA6224"/>
    <w:rsid w:val="21E361E6"/>
    <w:rsid w:val="2221415E"/>
    <w:rsid w:val="234C6E40"/>
    <w:rsid w:val="23727B8C"/>
    <w:rsid w:val="239D2CD6"/>
    <w:rsid w:val="24BA45A9"/>
    <w:rsid w:val="253546C5"/>
    <w:rsid w:val="25923A23"/>
    <w:rsid w:val="27426FA3"/>
    <w:rsid w:val="274A1A19"/>
    <w:rsid w:val="27A25C33"/>
    <w:rsid w:val="27B331B9"/>
    <w:rsid w:val="28285407"/>
    <w:rsid w:val="2846450D"/>
    <w:rsid w:val="28C10A38"/>
    <w:rsid w:val="291F3872"/>
    <w:rsid w:val="29574001"/>
    <w:rsid w:val="2A731025"/>
    <w:rsid w:val="2AB971F6"/>
    <w:rsid w:val="2ACF1075"/>
    <w:rsid w:val="2AE55B4A"/>
    <w:rsid w:val="2AF33D62"/>
    <w:rsid w:val="2B555ADB"/>
    <w:rsid w:val="2B974BCD"/>
    <w:rsid w:val="2C46023F"/>
    <w:rsid w:val="2D045630"/>
    <w:rsid w:val="2D4063D9"/>
    <w:rsid w:val="2DFF33A8"/>
    <w:rsid w:val="2E9373B1"/>
    <w:rsid w:val="2EA35F53"/>
    <w:rsid w:val="2EA67CB4"/>
    <w:rsid w:val="2EBE2FA2"/>
    <w:rsid w:val="2ECB3C01"/>
    <w:rsid w:val="2EF364DF"/>
    <w:rsid w:val="2F327A95"/>
    <w:rsid w:val="2F997A58"/>
    <w:rsid w:val="2FB07A61"/>
    <w:rsid w:val="2FCD6766"/>
    <w:rsid w:val="300F7D0F"/>
    <w:rsid w:val="30180E41"/>
    <w:rsid w:val="303D55F5"/>
    <w:rsid w:val="30EB0570"/>
    <w:rsid w:val="32054B67"/>
    <w:rsid w:val="322E2B6D"/>
    <w:rsid w:val="328424E0"/>
    <w:rsid w:val="32AE092D"/>
    <w:rsid w:val="33705D63"/>
    <w:rsid w:val="337614B1"/>
    <w:rsid w:val="338F4BB0"/>
    <w:rsid w:val="33DC4695"/>
    <w:rsid w:val="33DF7227"/>
    <w:rsid w:val="3417259F"/>
    <w:rsid w:val="3444379C"/>
    <w:rsid w:val="34855E07"/>
    <w:rsid w:val="34ED6135"/>
    <w:rsid w:val="35687A9F"/>
    <w:rsid w:val="358813C7"/>
    <w:rsid w:val="35BC7CE7"/>
    <w:rsid w:val="36572189"/>
    <w:rsid w:val="366C428E"/>
    <w:rsid w:val="370054CE"/>
    <w:rsid w:val="370B1052"/>
    <w:rsid w:val="37DC5512"/>
    <w:rsid w:val="381F3878"/>
    <w:rsid w:val="38267D3C"/>
    <w:rsid w:val="385D064C"/>
    <w:rsid w:val="38660487"/>
    <w:rsid w:val="38790440"/>
    <w:rsid w:val="38EE39DF"/>
    <w:rsid w:val="39FA78F2"/>
    <w:rsid w:val="3A491007"/>
    <w:rsid w:val="3A4E2316"/>
    <w:rsid w:val="3B2F02D0"/>
    <w:rsid w:val="3B4663EB"/>
    <w:rsid w:val="3CA26D0C"/>
    <w:rsid w:val="3CCF3609"/>
    <w:rsid w:val="3CEC6F23"/>
    <w:rsid w:val="3D2617EA"/>
    <w:rsid w:val="3D4A61E0"/>
    <w:rsid w:val="3D5258FB"/>
    <w:rsid w:val="3D993E0E"/>
    <w:rsid w:val="3E5475DD"/>
    <w:rsid w:val="3EAA4383"/>
    <w:rsid w:val="3ED551FA"/>
    <w:rsid w:val="3F5C764A"/>
    <w:rsid w:val="3FD17F82"/>
    <w:rsid w:val="3FF027E0"/>
    <w:rsid w:val="408F2CF1"/>
    <w:rsid w:val="42087C57"/>
    <w:rsid w:val="420A3893"/>
    <w:rsid w:val="422B0D1B"/>
    <w:rsid w:val="42F9042A"/>
    <w:rsid w:val="43194952"/>
    <w:rsid w:val="43882A0B"/>
    <w:rsid w:val="43EC27E7"/>
    <w:rsid w:val="43F930A4"/>
    <w:rsid w:val="450834E1"/>
    <w:rsid w:val="4567670D"/>
    <w:rsid w:val="459418A9"/>
    <w:rsid w:val="45A634F8"/>
    <w:rsid w:val="45BA16C0"/>
    <w:rsid w:val="45E545E3"/>
    <w:rsid w:val="463737E0"/>
    <w:rsid w:val="466C7FBA"/>
    <w:rsid w:val="46F040EB"/>
    <w:rsid w:val="470258D2"/>
    <w:rsid w:val="47211ECF"/>
    <w:rsid w:val="47565F28"/>
    <w:rsid w:val="479E4561"/>
    <w:rsid w:val="482D5FC2"/>
    <w:rsid w:val="49255EE9"/>
    <w:rsid w:val="49822027"/>
    <w:rsid w:val="49E34A7A"/>
    <w:rsid w:val="4A332BB8"/>
    <w:rsid w:val="4A376E28"/>
    <w:rsid w:val="4A5837A0"/>
    <w:rsid w:val="4A5D15F7"/>
    <w:rsid w:val="4A9E06B1"/>
    <w:rsid w:val="4B4D1B24"/>
    <w:rsid w:val="4B8329BF"/>
    <w:rsid w:val="4BC663B3"/>
    <w:rsid w:val="4BE145FD"/>
    <w:rsid w:val="4C801F9A"/>
    <w:rsid w:val="4CE94F90"/>
    <w:rsid w:val="4D5F45E2"/>
    <w:rsid w:val="4DA93765"/>
    <w:rsid w:val="4DBA0B94"/>
    <w:rsid w:val="4DE222DB"/>
    <w:rsid w:val="4DE56F64"/>
    <w:rsid w:val="4E7971EF"/>
    <w:rsid w:val="4EBA5A4C"/>
    <w:rsid w:val="4F6D2990"/>
    <w:rsid w:val="4F845A7F"/>
    <w:rsid w:val="503D48EF"/>
    <w:rsid w:val="508B4D20"/>
    <w:rsid w:val="50F2135E"/>
    <w:rsid w:val="51625726"/>
    <w:rsid w:val="516948E9"/>
    <w:rsid w:val="51E001A7"/>
    <w:rsid w:val="532F31AA"/>
    <w:rsid w:val="53743139"/>
    <w:rsid w:val="539D082B"/>
    <w:rsid w:val="545F6885"/>
    <w:rsid w:val="54E45F5F"/>
    <w:rsid w:val="5574421D"/>
    <w:rsid w:val="559C022C"/>
    <w:rsid w:val="55E07CC9"/>
    <w:rsid w:val="5647743F"/>
    <w:rsid w:val="56C0661E"/>
    <w:rsid w:val="56C71D44"/>
    <w:rsid w:val="56CE11BE"/>
    <w:rsid w:val="56F151C4"/>
    <w:rsid w:val="570961CE"/>
    <w:rsid w:val="57B31B3C"/>
    <w:rsid w:val="585415D3"/>
    <w:rsid w:val="58874F77"/>
    <w:rsid w:val="58B23E4B"/>
    <w:rsid w:val="58E337EF"/>
    <w:rsid w:val="592B3683"/>
    <w:rsid w:val="597A26AD"/>
    <w:rsid w:val="59CD3554"/>
    <w:rsid w:val="5A4B7615"/>
    <w:rsid w:val="5AB802CD"/>
    <w:rsid w:val="5C0A0FEF"/>
    <w:rsid w:val="5C3E107E"/>
    <w:rsid w:val="5CC32644"/>
    <w:rsid w:val="5D7C67C9"/>
    <w:rsid w:val="5D854BCE"/>
    <w:rsid w:val="5E445417"/>
    <w:rsid w:val="5E802690"/>
    <w:rsid w:val="5F444404"/>
    <w:rsid w:val="5F543E0F"/>
    <w:rsid w:val="5F974D98"/>
    <w:rsid w:val="60881FEE"/>
    <w:rsid w:val="61402324"/>
    <w:rsid w:val="614E0B95"/>
    <w:rsid w:val="61C46B4C"/>
    <w:rsid w:val="61D552CC"/>
    <w:rsid w:val="61F41515"/>
    <w:rsid w:val="621F3668"/>
    <w:rsid w:val="62494357"/>
    <w:rsid w:val="62BF366F"/>
    <w:rsid w:val="62C533D6"/>
    <w:rsid w:val="62F74913"/>
    <w:rsid w:val="63214364"/>
    <w:rsid w:val="638733B4"/>
    <w:rsid w:val="638B4A08"/>
    <w:rsid w:val="63EE502F"/>
    <w:rsid w:val="64372302"/>
    <w:rsid w:val="646117EC"/>
    <w:rsid w:val="653874D2"/>
    <w:rsid w:val="656D5864"/>
    <w:rsid w:val="675B745D"/>
    <w:rsid w:val="679F0CF5"/>
    <w:rsid w:val="67BE1AAD"/>
    <w:rsid w:val="67C2680F"/>
    <w:rsid w:val="67CE77F2"/>
    <w:rsid w:val="685C5901"/>
    <w:rsid w:val="6891699E"/>
    <w:rsid w:val="689304A9"/>
    <w:rsid w:val="68CE45CA"/>
    <w:rsid w:val="69095DCE"/>
    <w:rsid w:val="69864D2E"/>
    <w:rsid w:val="699B76F1"/>
    <w:rsid w:val="69B32411"/>
    <w:rsid w:val="6AC076AD"/>
    <w:rsid w:val="6B1239FB"/>
    <w:rsid w:val="6B2D2629"/>
    <w:rsid w:val="6B8A2052"/>
    <w:rsid w:val="6BB01DCF"/>
    <w:rsid w:val="6C3A1255"/>
    <w:rsid w:val="6C6953E2"/>
    <w:rsid w:val="6CB44641"/>
    <w:rsid w:val="6CEB4301"/>
    <w:rsid w:val="6CF64598"/>
    <w:rsid w:val="6D0E383F"/>
    <w:rsid w:val="6D1B6F2E"/>
    <w:rsid w:val="6DCF5203"/>
    <w:rsid w:val="6DD67333"/>
    <w:rsid w:val="6E2573C5"/>
    <w:rsid w:val="6E6810E4"/>
    <w:rsid w:val="6ECB1BE3"/>
    <w:rsid w:val="6EEE32CD"/>
    <w:rsid w:val="6F070076"/>
    <w:rsid w:val="6F850AAE"/>
    <w:rsid w:val="705E3707"/>
    <w:rsid w:val="709A2651"/>
    <w:rsid w:val="710E4BED"/>
    <w:rsid w:val="713F79AC"/>
    <w:rsid w:val="720C38AC"/>
    <w:rsid w:val="72C93FB0"/>
    <w:rsid w:val="74056E20"/>
    <w:rsid w:val="744C60E8"/>
    <w:rsid w:val="747D597B"/>
    <w:rsid w:val="74924075"/>
    <w:rsid w:val="74C8613E"/>
    <w:rsid w:val="74F20D03"/>
    <w:rsid w:val="755C4B88"/>
    <w:rsid w:val="758049E8"/>
    <w:rsid w:val="758E49D6"/>
    <w:rsid w:val="75AA0D23"/>
    <w:rsid w:val="761868E4"/>
    <w:rsid w:val="76B7562B"/>
    <w:rsid w:val="772F5D08"/>
    <w:rsid w:val="77896D5A"/>
    <w:rsid w:val="783E7084"/>
    <w:rsid w:val="784F7694"/>
    <w:rsid w:val="786C27D7"/>
    <w:rsid w:val="78963464"/>
    <w:rsid w:val="78DC62B3"/>
    <w:rsid w:val="799F5F51"/>
    <w:rsid w:val="79A6003E"/>
    <w:rsid w:val="79D0797D"/>
    <w:rsid w:val="7A2A5EB9"/>
    <w:rsid w:val="7A72186A"/>
    <w:rsid w:val="7AC8609B"/>
    <w:rsid w:val="7AF74B2F"/>
    <w:rsid w:val="7B070964"/>
    <w:rsid w:val="7BEE10EB"/>
    <w:rsid w:val="7BF34B54"/>
    <w:rsid w:val="7C5F5707"/>
    <w:rsid w:val="7C821061"/>
    <w:rsid w:val="7C961F83"/>
    <w:rsid w:val="7CBD13BA"/>
    <w:rsid w:val="7CBF0E62"/>
    <w:rsid w:val="7CD32A51"/>
    <w:rsid w:val="7CFD6EA2"/>
    <w:rsid w:val="7D7014B2"/>
    <w:rsid w:val="7D8F3BDF"/>
    <w:rsid w:val="7DC4708D"/>
    <w:rsid w:val="7DDE3279"/>
    <w:rsid w:val="7E546039"/>
    <w:rsid w:val="7F4E760E"/>
    <w:rsid w:val="7FDC5B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jc w:val="left"/>
    </w:pPr>
    <w:rPr>
      <w:rFonts w:eastAsia="仿宋_GB2312" w:cs="宋体"/>
      <w:szCs w:val="21"/>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41"/>
    <w:basedOn w:val="7"/>
    <w:qFormat/>
    <w:uiPriority w:val="0"/>
    <w:rPr>
      <w:rFonts w:hint="eastAsia" w:ascii="黑体" w:hAnsi="宋体" w:eastAsia="黑体" w:cs="黑体"/>
      <w:color w:val="000000"/>
      <w:sz w:val="24"/>
      <w:szCs w:val="24"/>
      <w:u w:val="none"/>
    </w:rPr>
  </w:style>
  <w:style w:type="character" w:customStyle="1" w:styleId="9">
    <w:name w:val="font11"/>
    <w:basedOn w:val="7"/>
    <w:qFormat/>
    <w:uiPriority w:val="0"/>
    <w:rPr>
      <w:rFonts w:hint="default" w:ascii="Times New Roman" w:hAnsi="Times New Roman" w:cs="Times New Roman"/>
      <w:color w:val="000000"/>
      <w:sz w:val="22"/>
      <w:szCs w:val="22"/>
      <w:u w:val="none"/>
    </w:rPr>
  </w:style>
  <w:style w:type="character" w:customStyle="1" w:styleId="10">
    <w:name w:val="font21"/>
    <w:basedOn w:val="7"/>
    <w:qFormat/>
    <w:uiPriority w:val="0"/>
    <w:rPr>
      <w:rFonts w:hint="eastAsia" w:ascii="黑体" w:hAnsi="宋体" w:eastAsia="黑体" w:cs="黑体"/>
      <w:color w:val="000000"/>
      <w:sz w:val="22"/>
      <w:szCs w:val="22"/>
      <w:u w:val="none"/>
    </w:rPr>
  </w:style>
  <w:style w:type="character" w:customStyle="1" w:styleId="11">
    <w:name w:val="font31"/>
    <w:basedOn w:val="7"/>
    <w:qFormat/>
    <w:uiPriority w:val="0"/>
    <w:rPr>
      <w:rFonts w:hint="default" w:ascii="Times New Roman" w:hAnsi="Times New Roman" w:cs="Times New Roman"/>
      <w:color w:val="000000"/>
      <w:sz w:val="24"/>
      <w:szCs w:val="24"/>
      <w:u w:val="none"/>
    </w:rPr>
  </w:style>
  <w:style w:type="character" w:customStyle="1" w:styleId="12">
    <w:name w:val="font91"/>
    <w:basedOn w:val="7"/>
    <w:qFormat/>
    <w:uiPriority w:val="0"/>
    <w:rPr>
      <w:rFonts w:hint="eastAsia" w:ascii="宋体" w:hAnsi="宋体" w:eastAsia="宋体" w:cs="宋体"/>
      <w:color w:val="000000"/>
      <w:sz w:val="24"/>
      <w:szCs w:val="24"/>
      <w:u w:val="none"/>
    </w:rPr>
  </w:style>
  <w:style w:type="character" w:customStyle="1" w:styleId="13">
    <w:name w:val="font101"/>
    <w:basedOn w:val="7"/>
    <w:qFormat/>
    <w:uiPriority w:val="0"/>
    <w:rPr>
      <w:rFonts w:hint="eastAsia" w:ascii="仿宋_GB2312" w:eastAsia="仿宋_GB2312" w:cs="仿宋_GB2312"/>
      <w:color w:val="000000"/>
      <w:sz w:val="24"/>
      <w:szCs w:val="24"/>
      <w:u w:val="none"/>
    </w:rPr>
  </w:style>
  <w:style w:type="character" w:customStyle="1" w:styleId="14">
    <w:name w:val="font01"/>
    <w:basedOn w:val="7"/>
    <w:qFormat/>
    <w:uiPriority w:val="0"/>
    <w:rPr>
      <w:rFonts w:hint="eastAsia" w:ascii="宋体" w:hAnsi="宋体" w:eastAsia="宋体" w:cs="宋体"/>
      <w:color w:val="000000"/>
      <w:sz w:val="24"/>
      <w:szCs w:val="24"/>
      <w:u w:val="none"/>
    </w:rPr>
  </w:style>
  <w:style w:type="character" w:customStyle="1" w:styleId="15">
    <w:name w:val="font12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131"/>
    <w:basedOn w:val="7"/>
    <w:qFormat/>
    <w:uiPriority w:val="0"/>
    <w:rPr>
      <w:rFonts w:hint="default" w:ascii="Times New Roman" w:hAnsi="Times New Roman" w:cs="Times New Roman"/>
      <w:color w:val="000000"/>
      <w:sz w:val="40"/>
      <w:szCs w:val="40"/>
      <w:u w:val="none"/>
    </w:rPr>
  </w:style>
  <w:style w:type="character" w:customStyle="1" w:styleId="17">
    <w:name w:val="font51"/>
    <w:basedOn w:val="7"/>
    <w:qFormat/>
    <w:uiPriority w:val="0"/>
    <w:rPr>
      <w:rFonts w:hint="eastAsia" w:ascii="黑体" w:hAnsi="宋体" w:eastAsia="黑体" w:cs="黑体"/>
      <w:color w:val="000000"/>
      <w:sz w:val="24"/>
      <w:szCs w:val="24"/>
      <w:u w:val="none"/>
    </w:rPr>
  </w:style>
  <w:style w:type="character" w:customStyle="1" w:styleId="18">
    <w:name w:val="font141"/>
    <w:basedOn w:val="7"/>
    <w:qFormat/>
    <w:uiPriority w:val="0"/>
    <w:rPr>
      <w:rFonts w:hint="default" w:ascii="Times New Roman" w:hAnsi="Times New Roman" w:cs="Times New Roman"/>
      <w:color w:val="000000"/>
      <w:sz w:val="24"/>
      <w:szCs w:val="24"/>
      <w:u w:val="none"/>
    </w:rPr>
  </w:style>
  <w:style w:type="character" w:customStyle="1" w:styleId="19">
    <w:name w:val="font61"/>
    <w:basedOn w:val="7"/>
    <w:qFormat/>
    <w:uiPriority w:val="0"/>
    <w:rPr>
      <w:rFonts w:hint="eastAsia" w:ascii="仿宋_GB2312" w:eastAsia="仿宋_GB2312" w:cs="仿宋_GB2312"/>
      <w:b/>
      <w:color w:val="000000"/>
      <w:sz w:val="24"/>
      <w:szCs w:val="24"/>
      <w:u w:val="none"/>
    </w:rPr>
  </w:style>
  <w:style w:type="character" w:customStyle="1" w:styleId="20">
    <w:name w:val="font71"/>
    <w:basedOn w:val="7"/>
    <w:qFormat/>
    <w:uiPriority w:val="0"/>
    <w:rPr>
      <w:rFonts w:hint="default" w:ascii="Times New Roman" w:hAnsi="Times New Roman" w:cs="Times New Roman"/>
      <w:color w:val="000000"/>
      <w:sz w:val="24"/>
      <w:szCs w:val="24"/>
      <w:u w:val="none"/>
    </w:rPr>
  </w:style>
  <w:style w:type="character" w:customStyle="1" w:styleId="21">
    <w:name w:val="font201"/>
    <w:basedOn w:val="7"/>
    <w:qFormat/>
    <w:uiPriority w:val="0"/>
    <w:rPr>
      <w:rFonts w:hint="eastAsia" w:ascii="方正小标宋简体" w:hAnsi="方正小标宋简体" w:eastAsia="方正小标宋简体" w:cs="方正小标宋简体"/>
      <w:color w:val="000000"/>
      <w:sz w:val="40"/>
      <w:szCs w:val="40"/>
      <w:u w:val="none"/>
    </w:rPr>
  </w:style>
  <w:style w:type="character" w:customStyle="1" w:styleId="22">
    <w:name w:val="font112"/>
    <w:basedOn w:val="7"/>
    <w:qFormat/>
    <w:uiPriority w:val="0"/>
    <w:rPr>
      <w:rFonts w:ascii="仿宋_GB2312" w:eastAsia="仿宋_GB2312" w:cs="仿宋_GB2312"/>
      <w:b/>
      <w:color w:val="000000"/>
      <w:sz w:val="24"/>
      <w:szCs w:val="24"/>
      <w:u w:val="none"/>
    </w:rPr>
  </w:style>
  <w:style w:type="character" w:customStyle="1" w:styleId="23">
    <w:name w:val="font151"/>
    <w:basedOn w:val="7"/>
    <w:qFormat/>
    <w:uiPriority w:val="0"/>
    <w:rPr>
      <w:rFonts w:hint="default" w:ascii="Times New Roman" w:hAnsi="Times New Roman" w:cs="Times New Roman"/>
      <w:color w:val="000000"/>
      <w:sz w:val="24"/>
      <w:szCs w:val="24"/>
      <w:u w:val="none"/>
    </w:rPr>
  </w:style>
  <w:style w:type="character" w:customStyle="1" w:styleId="24">
    <w:name w:val="font111"/>
    <w:basedOn w:val="7"/>
    <w:qFormat/>
    <w:uiPriority w:val="0"/>
    <w:rPr>
      <w:rFonts w:hint="eastAsia" w:ascii="黑体" w:hAnsi="宋体" w:eastAsia="黑体" w:cs="黑体"/>
      <w:color w:val="000000"/>
      <w:sz w:val="24"/>
      <w:szCs w:val="24"/>
      <w:u w:val="none"/>
    </w:rPr>
  </w:style>
  <w:style w:type="character" w:customStyle="1" w:styleId="25">
    <w:name w:val="font81"/>
    <w:basedOn w:val="7"/>
    <w:qFormat/>
    <w:uiPriority w:val="0"/>
    <w:rPr>
      <w:rFonts w:hint="eastAsia" w:ascii="黑体" w:hAnsi="宋体" w:eastAsia="黑体" w:cs="黑体"/>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11045</Words>
  <Characters>12330</Characters>
  <Lines>0</Lines>
  <Paragraphs>0</Paragraphs>
  <TotalTime>458</TotalTime>
  <ScaleCrop>false</ScaleCrop>
  <LinksUpToDate>false</LinksUpToDate>
  <CharactersWithSpaces>12631</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9995656</dc:creator>
  <cp:lastModifiedBy>小白</cp:lastModifiedBy>
  <cp:lastPrinted>2020-07-30T00:17:00Z</cp:lastPrinted>
  <dcterms:modified xsi:type="dcterms:W3CDTF">2020-10-13T03:14:24Z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